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2DDEF" w14:textId="77777777" w:rsidR="00304B58" w:rsidRPr="00304B58" w:rsidRDefault="00304B58" w:rsidP="0015320B">
      <w:pPr>
        <w:spacing w:before="100" w:beforeAutospacing="1" w:after="100" w:afterAutospacing="1" w:line="276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304B58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KLAUZULA SANKCYJNA – WERSJA PRZETARGOWA</w:t>
      </w:r>
    </w:p>
    <w:p w14:paraId="0FC8EA27" w14:textId="629FE060" w:rsidR="00304B58" w:rsidRPr="00304B58" w:rsidRDefault="00304B58" w:rsidP="0015320B">
      <w:pPr>
        <w:spacing w:before="100" w:beforeAutospacing="1" w:after="100" w:afterAutospacing="1" w:line="276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304B58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Oświadczenia sankcyjne Oferenta</w:t>
      </w:r>
    </w:p>
    <w:p w14:paraId="29CB82DB" w14:textId="71A9EB32" w:rsidR="00304B58" w:rsidRPr="00304B58" w:rsidRDefault="00304B58" w:rsidP="0015320B">
      <w:pPr>
        <w:numPr>
          <w:ilvl w:val="0"/>
          <w:numId w:val="1"/>
        </w:numPr>
        <w:spacing w:before="100" w:beforeAutospacing="1" w:after="100" w:afterAutospacing="1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304B58">
        <w:rPr>
          <w:rFonts w:ascii="Calibri" w:eastAsia="Times New Roman" w:hAnsi="Calibri" w:cs="Calibri"/>
          <w:kern w:val="0"/>
          <w:lang w:eastAsia="pl-PL"/>
          <w14:ligatures w14:val="none"/>
        </w:rPr>
        <w:t>Oferent oświadcza, że zgodnie z jego najlepszą wiedzą, na dzień złożenia oferty oraz na dzień zawarcia umowy sprzedaży</w:t>
      </w:r>
      <w:r w:rsidR="003D5A61" w:rsidRPr="003D5A6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3D5A61"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on sam, jego podmioty dominujące i zależne, członkowie jego organów, beneficjenci rzeczywiści oraz osoby działające w jego imieniu lub na jego rzecz</w:t>
      </w:r>
      <w:r w:rsidRPr="00304B58">
        <w:rPr>
          <w:rFonts w:ascii="Calibri" w:eastAsia="Times New Roman" w:hAnsi="Calibri" w:cs="Calibri"/>
          <w:kern w:val="0"/>
          <w:lang w:eastAsia="pl-PL"/>
          <w14:ligatures w14:val="none"/>
        </w:rPr>
        <w:t>:</w:t>
      </w:r>
    </w:p>
    <w:p w14:paraId="7F67D73C" w14:textId="273FBF1F" w:rsidR="00304B58" w:rsidRPr="00927E6D" w:rsidRDefault="00304B58" w:rsidP="0015320B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pozostają w zgodności z przepisami sankcyjnymi wprowadzonymi przez Organizację Narodów Zjednoczonych, Unię Europejską, państwa członkowskie UE i EOG, Stany Zjednoczone Ameryki, Zjednoczone Królestwo oraz przepisami prawa polskiego, w szczególności:</w:t>
      </w:r>
    </w:p>
    <w:p w14:paraId="0A9152A4" w14:textId="77777777" w:rsidR="00304B58" w:rsidRPr="00927E6D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Ustawie z dnia 13 kwietnia 2022 r. o szczególnych rozwiązaniach w zakresie przeciwdziałania wspieraniu agresji na Ukrainę oraz służących ochronie bezpieczeństwa narodowego;</w:t>
      </w:r>
    </w:p>
    <w:p w14:paraId="041C1062" w14:textId="77777777" w:rsidR="00304B58" w:rsidRPr="00927E6D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Decyzji 2014/119/WPZiB w sprawie środków ograniczających skierowanych przeciwko niektórym osobom, podmiotom i organom w związku z sytuacją na Ukrainie;</w:t>
      </w:r>
    </w:p>
    <w:p w14:paraId="43AD38EC" w14:textId="77777777" w:rsidR="00304B58" w:rsidRPr="00927E6D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Rozporządzeniu (UE) nr 208/2014 w sprawie środków ograniczających skierowanych przeciwko niektórym osobom, podmiotom i organom w związku z sytuacją na Ukrainie;</w:t>
      </w:r>
    </w:p>
    <w:p w14:paraId="676D8DD9" w14:textId="77777777" w:rsidR="00304B58" w:rsidRPr="00927E6D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Decyzji 2014/145/WPZiB w sprawie środków ograniczających w związku z działaniami podważającymi integralność terytorialną, suwerenność i niezależność Ukrainy lub im zagrażającymi;</w:t>
      </w:r>
    </w:p>
    <w:p w14:paraId="70E7AF0C" w14:textId="77777777" w:rsidR="00304B58" w:rsidRPr="00927E6D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Rozporządzeniu (UE) nr 269/2014 w sprawie środków ograniczających w odniesieniu do działań podważających integralność terytorialną, suwerenność i niezależność Ukrainy lub im zagrażających;</w:t>
      </w:r>
    </w:p>
    <w:p w14:paraId="03334AD0" w14:textId="77777777" w:rsidR="00304B58" w:rsidRPr="00927E6D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Decyzji 2014/386/WPZiB dotycząca środków ograniczających w odpowiedzi na bezprawne przyłączenie Krymu i Sewastopola;</w:t>
      </w:r>
    </w:p>
    <w:p w14:paraId="61C9ACF5" w14:textId="77777777" w:rsidR="00304B58" w:rsidRPr="00927E6D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Rozporządzeniu (UE) nr 692/2014 dotyczące środków ograniczających w odpowiedzi na bezprawne przyłączenie Krymu i Sewastopola;</w:t>
      </w:r>
    </w:p>
    <w:p w14:paraId="10FD10F8" w14:textId="77777777" w:rsidR="00304B58" w:rsidRPr="00927E6D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Decyzji 2014/512/WPZiB dotycząca środków ograniczających w związku z działaniami Rosji destabilizującymi sytuację na Ukrainie;</w:t>
      </w:r>
    </w:p>
    <w:p w14:paraId="5780BC08" w14:textId="77777777" w:rsidR="00304B58" w:rsidRPr="00927E6D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Rozporządzeniu (UE) nr 833/2014 dotyczące środków ograniczających w związku z działaniami Rosji destabilizującymi sytuację na Ukrainie;</w:t>
      </w:r>
    </w:p>
    <w:p w14:paraId="00BA52C1" w14:textId="77777777" w:rsidR="00304B58" w:rsidRPr="00927E6D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Rozporządzeniu (WPZiB) 2022/266 w sprawie środków ograniczających w odpowiedzi na nielegalne uznanie, okupację lub aneksję przez Federację Rosyjską niektórych niekontrolowanych przez rząd obszarów ukraińskich;</w:t>
      </w:r>
    </w:p>
    <w:p w14:paraId="4E2F89D9" w14:textId="3BC8A29D" w:rsidR="00304B58" w:rsidRPr="00304B58" w:rsidRDefault="00304B58" w:rsidP="0015320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Rozporządzeniu (UE) 2022/263 w sprawie środków ograniczających w odpowiedzi na nielegalne uznanie, okupację lub aneksję przez Federację Rosyjską niektórych niekontrolowanych przez rząd obszarów ukraińskich;</w:t>
      </w:r>
    </w:p>
    <w:p w14:paraId="6A2A1023" w14:textId="77777777" w:rsidR="00304B58" w:rsidRPr="00304B58" w:rsidRDefault="00304B58" w:rsidP="0015320B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304B58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(zwanymi dalej łącznie „Przepisami Sankcyjnymi”).</w:t>
      </w:r>
    </w:p>
    <w:p w14:paraId="22E0211D" w14:textId="305A5601" w:rsidR="00304B58" w:rsidRPr="00927E6D" w:rsidRDefault="00304B58" w:rsidP="0015320B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nie są obję</w:t>
      </w:r>
      <w:r w:rsidR="00ED244C">
        <w:rPr>
          <w:rFonts w:ascii="Calibri" w:eastAsia="Times New Roman" w:hAnsi="Calibri" w:cs="Calibri"/>
          <w:kern w:val="0"/>
          <w:lang w:eastAsia="pl-PL"/>
          <w14:ligatures w14:val="none"/>
        </w:rPr>
        <w:t>ci</w:t>
      </w: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jakimikolwiek sankcjami, w tym ekonomicznymi, embargami handlowymi lub innymi środkami restrykcyjnymi nałożonymi na podstawie Przepisów Sankcyjnych oraz nie są obywatelem rosyjskim lub osobą fizyczną lub prawną, podmiotem lub organem, z którymi Przepisy Sankcyjne zabraniają przeprowadzenia transakcji (dalej: „Podmiot Objęty Sankcjami”); </w:t>
      </w:r>
    </w:p>
    <w:p w14:paraId="0B630E56" w14:textId="77777777" w:rsidR="00304B58" w:rsidRPr="00927E6D" w:rsidRDefault="00304B58" w:rsidP="0015320B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nie są bezpośrednio lub pośrednio własnością lub nie są kontrolowane przez osoby prawne lub fizyczne, podmiotu lub organy spełniające kryteria opisane w punktach powyżej; </w:t>
      </w:r>
    </w:p>
    <w:p w14:paraId="7229A094" w14:textId="77777777" w:rsidR="00304B58" w:rsidRPr="00927E6D" w:rsidRDefault="00304B58" w:rsidP="0015320B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nie zamieszkują lub nie posiadają siedziby lub głównego miejsca działalności w państwie objętym Przepisami Sankcyjnymi lub nie są utworzone pod prawem państwa objętego Przepisami Sankcyjnymi; </w:t>
      </w:r>
    </w:p>
    <w:p w14:paraId="4414114A" w14:textId="6B1FD919" w:rsidR="00304B58" w:rsidRPr="00927E6D" w:rsidRDefault="00304B58" w:rsidP="0015320B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nie uczestniczą w żadnym postępowaniu lub dochodzeniu prowadzonym przeciwko nim w związku z naruszeniem jakichkolwiek Przepisów Sankcyjnych. </w:t>
      </w:r>
    </w:p>
    <w:p w14:paraId="50E811CF" w14:textId="77777777" w:rsidR="00304B58" w:rsidRPr="00304B58" w:rsidRDefault="00304B58" w:rsidP="0015320B">
      <w:pPr>
        <w:numPr>
          <w:ilvl w:val="0"/>
          <w:numId w:val="1"/>
        </w:numPr>
        <w:spacing w:before="100" w:beforeAutospacing="1" w:after="100" w:afterAutospacing="1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304B58">
        <w:rPr>
          <w:rFonts w:ascii="Calibri" w:eastAsia="Times New Roman" w:hAnsi="Calibri" w:cs="Calibri"/>
          <w:kern w:val="0"/>
          <w:lang w:eastAsia="pl-PL"/>
          <w14:ligatures w14:val="none"/>
        </w:rPr>
        <w:t>Oferent zobowiązuje się, że do dnia zawarcia umowy sprzedaży:</w:t>
      </w:r>
    </w:p>
    <w:p w14:paraId="4D6B6BD6" w14:textId="19ABB102" w:rsidR="00304B58" w:rsidRPr="00927E6D" w:rsidRDefault="00304B58" w:rsidP="0015320B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zarówno on, jak i jego podmioty zależne oraz członkowie jego organów oraz osoby działające w jego imieniu i na jego rzecz będą prowadzić działalność zgodnie z Przepisami Sankcyjnymi; </w:t>
      </w:r>
    </w:p>
    <w:p w14:paraId="2D14D0BA" w14:textId="1BCA39C8" w:rsidR="00304B58" w:rsidRPr="00927E6D" w:rsidRDefault="00304B58" w:rsidP="0015320B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jakiekolwiek przysługujące mu na podstawie niniejszej umowy wynagrodzenie nie będzie bezpośrednio lub pośrednio dostępne dla Podmiotu Objętego Sankcjami lub nie zostanie użyte do osiągnięcia korzyści przez Podmiot Objęty Sankcjami, w zakresie, w jakim takie działanie jest niedozwolone na mocy Przepisów Sankcyjnych; </w:t>
      </w:r>
    </w:p>
    <w:p w14:paraId="0650B384" w14:textId="494FECE9" w:rsidR="00304B58" w:rsidRPr="00304B58" w:rsidRDefault="00304B58" w:rsidP="0015320B">
      <w:pPr>
        <w:pStyle w:val="Akapitzlist"/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wszelkie oświadczenia złożone w ust. 1 powyżej pozostaną prawdziwe.</w:t>
      </w:r>
    </w:p>
    <w:p w14:paraId="1BF1E80C" w14:textId="0AF849E6" w:rsidR="00927E6D" w:rsidRPr="00927E6D" w:rsidRDefault="00927E6D" w:rsidP="0015320B">
      <w:pPr>
        <w:numPr>
          <w:ilvl w:val="0"/>
          <w:numId w:val="1"/>
        </w:numPr>
        <w:spacing w:before="100" w:beforeAutospacing="1" w:after="100" w:afterAutospacing="1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Spółka jest uprawniona do żądania od Oferenta, na każdym etapie postępowania przetargowego, dokumentów i informacji niezbędnych do weryfikacji złożonych oświadczeń, w szczególności dotyczących struktury właścicielskiej oraz beneficjenta rzeczywistego.</w:t>
      </w:r>
    </w:p>
    <w:p w14:paraId="5EADC5F6" w14:textId="317F44FE" w:rsidR="00927E6D" w:rsidRPr="00927E6D" w:rsidRDefault="00927E6D" w:rsidP="0015320B">
      <w:pPr>
        <w:numPr>
          <w:ilvl w:val="0"/>
          <w:numId w:val="1"/>
        </w:numPr>
        <w:spacing w:before="100" w:beforeAutospacing="1" w:after="100" w:afterAutospacing="1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W przypadku stwierdzenia, że którekolwiek z oświadczeń Oferenta jest nieprawdziwe, niekompletne lub wprowadzające w błąd, bądź gdy zawarcie umowy mogłoby prowadzić do naruszenia Przepisów Sankcyjnych, Spółka może</w:t>
      </w: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:</w:t>
      </w:r>
    </w:p>
    <w:p w14:paraId="5D934F3C" w14:textId="77777777" w:rsidR="00927E6D" w:rsidRPr="00927E6D" w:rsidRDefault="00927E6D" w:rsidP="0015320B">
      <w:pPr>
        <w:pStyle w:val="Akapitzlist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wykluczyć Oferenta z postępowania przetargowego,</w:t>
      </w:r>
    </w:p>
    <w:p w14:paraId="19EB0A85" w14:textId="19FD157E" w:rsidR="00927E6D" w:rsidRPr="00927E6D" w:rsidRDefault="00927E6D" w:rsidP="0015320B">
      <w:pPr>
        <w:pStyle w:val="Akapitzlist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odmówić zawarcia umowy sprzedaży</w:t>
      </w:r>
      <w:r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0A2BFC8D" w14:textId="56EEC37C" w:rsidR="00304B58" w:rsidRPr="00304B58" w:rsidRDefault="00304B58" w:rsidP="0015320B">
      <w:pPr>
        <w:numPr>
          <w:ilvl w:val="0"/>
          <w:numId w:val="1"/>
        </w:numPr>
        <w:spacing w:before="100" w:beforeAutospacing="1" w:after="100" w:afterAutospacing="1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304B58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przypadku wykluczenia Oferenta z przyczyn określonych w ust. </w:t>
      </w:r>
      <w:r w:rsidR="00927E6D" w:rsidRPr="00927E6D">
        <w:rPr>
          <w:rFonts w:ascii="Calibri" w:eastAsia="Times New Roman" w:hAnsi="Calibri" w:cs="Calibri"/>
          <w:kern w:val="0"/>
          <w:lang w:eastAsia="pl-PL"/>
          <w14:ligatures w14:val="none"/>
        </w:rPr>
        <w:t>4</w:t>
      </w:r>
      <w:r w:rsidRPr="00304B58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powyżej, Oferentowi nie przysługują wobec Spółki jakiekolwiek roszczenia, poza prawem do zwrotu wniesionego wadium (o ile przepisy prawa nie stanowią inaczej).</w:t>
      </w:r>
    </w:p>
    <w:p w14:paraId="6AE8F734" w14:textId="77777777" w:rsidR="002767EA" w:rsidRPr="00927E6D" w:rsidRDefault="002767EA" w:rsidP="0015320B">
      <w:pPr>
        <w:spacing w:line="276" w:lineRule="auto"/>
        <w:jc w:val="both"/>
        <w:rPr>
          <w:rFonts w:ascii="Calibri" w:hAnsi="Calibri" w:cs="Calibri"/>
        </w:rPr>
      </w:pPr>
    </w:p>
    <w:sectPr w:rsidR="002767EA" w:rsidRPr="0092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7ED"/>
    <w:multiLevelType w:val="multilevel"/>
    <w:tmpl w:val="5D44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823F3"/>
    <w:multiLevelType w:val="hybridMultilevel"/>
    <w:tmpl w:val="9EAA82C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2F73"/>
    <w:multiLevelType w:val="hybridMultilevel"/>
    <w:tmpl w:val="9EAA82C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7B4A"/>
    <w:multiLevelType w:val="hybridMultilevel"/>
    <w:tmpl w:val="9EAA82C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E63E9"/>
    <w:multiLevelType w:val="multilevel"/>
    <w:tmpl w:val="7674B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36AF0"/>
    <w:multiLevelType w:val="multilevel"/>
    <w:tmpl w:val="47AE4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  <w:i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F26C0A"/>
    <w:multiLevelType w:val="hybridMultilevel"/>
    <w:tmpl w:val="9EAA82C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013A9"/>
    <w:multiLevelType w:val="multilevel"/>
    <w:tmpl w:val="FE56C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4D1DAE"/>
    <w:multiLevelType w:val="multilevel"/>
    <w:tmpl w:val="CCF46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BC5FCC"/>
    <w:multiLevelType w:val="multilevel"/>
    <w:tmpl w:val="EA70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398414">
    <w:abstractNumId w:val="9"/>
  </w:num>
  <w:num w:numId="2" w16cid:durableId="1389114595">
    <w:abstractNumId w:val="0"/>
  </w:num>
  <w:num w:numId="3" w16cid:durableId="469784193">
    <w:abstractNumId w:val="4"/>
  </w:num>
  <w:num w:numId="4" w16cid:durableId="1354189312">
    <w:abstractNumId w:val="8"/>
  </w:num>
  <w:num w:numId="5" w16cid:durableId="1133015728">
    <w:abstractNumId w:val="7"/>
  </w:num>
  <w:num w:numId="6" w16cid:durableId="1278683922">
    <w:abstractNumId w:val="5"/>
  </w:num>
  <w:num w:numId="7" w16cid:durableId="1848712055">
    <w:abstractNumId w:val="2"/>
  </w:num>
  <w:num w:numId="8" w16cid:durableId="302202773">
    <w:abstractNumId w:val="3"/>
  </w:num>
  <w:num w:numId="9" w16cid:durableId="1300187297">
    <w:abstractNumId w:val="1"/>
  </w:num>
  <w:num w:numId="10" w16cid:durableId="20130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A9"/>
    <w:rsid w:val="00021C37"/>
    <w:rsid w:val="0015320B"/>
    <w:rsid w:val="002767EA"/>
    <w:rsid w:val="002C3D27"/>
    <w:rsid w:val="00304B58"/>
    <w:rsid w:val="003D5A61"/>
    <w:rsid w:val="00416892"/>
    <w:rsid w:val="00927E6D"/>
    <w:rsid w:val="00BC3E9B"/>
    <w:rsid w:val="00ED244C"/>
    <w:rsid w:val="00F5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CA4A"/>
  <w15:chartTrackingRefBased/>
  <w15:docId w15:val="{C45B2ED2-4D65-4451-ACF7-E22BC725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0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0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0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0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0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0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0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0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0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0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0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0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09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09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09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09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09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09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0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0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0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0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09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09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09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0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09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09A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2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Bernacka</dc:creator>
  <cp:keywords/>
  <dc:description/>
  <cp:lastModifiedBy>Aneta Bernacka</cp:lastModifiedBy>
  <cp:revision>16</cp:revision>
  <dcterms:created xsi:type="dcterms:W3CDTF">2026-03-03T08:33:00Z</dcterms:created>
  <dcterms:modified xsi:type="dcterms:W3CDTF">2026-03-03T09:23:00Z</dcterms:modified>
</cp:coreProperties>
</file>