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38632B" w14:textId="77777777" w:rsidR="002A143B" w:rsidRPr="00AE3F1B" w:rsidRDefault="002A143B" w:rsidP="008D15C5">
      <w:pPr>
        <w:pStyle w:val="Bezodstpw"/>
        <w:ind w:right="-3"/>
        <w:jc w:val="left"/>
        <w:rPr>
          <w:rFonts w:ascii="Garamond" w:hAnsi="Garamond"/>
          <w:sz w:val="24"/>
          <w:szCs w:val="24"/>
        </w:rPr>
      </w:pPr>
    </w:p>
    <w:p w14:paraId="7B413DD0" w14:textId="77777777" w:rsidR="00B01516" w:rsidRPr="00AE3F1B" w:rsidRDefault="00B01516" w:rsidP="00175586">
      <w:pPr>
        <w:pStyle w:val="Bezodstpw"/>
        <w:ind w:left="567" w:right="-3" w:hanging="567"/>
        <w:jc w:val="left"/>
        <w:rPr>
          <w:rFonts w:ascii="Garamond" w:hAnsi="Garamond"/>
          <w:sz w:val="24"/>
          <w:szCs w:val="24"/>
        </w:rPr>
      </w:pPr>
    </w:p>
    <w:p w14:paraId="10ED428F" w14:textId="77777777" w:rsidR="00500922" w:rsidRPr="00AE3F1B" w:rsidRDefault="00500922" w:rsidP="00175586">
      <w:pPr>
        <w:pStyle w:val="Bezodstpw"/>
        <w:ind w:left="567" w:right="-3" w:hanging="567"/>
        <w:jc w:val="left"/>
        <w:rPr>
          <w:rFonts w:ascii="Garamond" w:hAnsi="Garamond"/>
          <w:b/>
          <w:bCs/>
          <w:sz w:val="24"/>
          <w:szCs w:val="24"/>
        </w:rPr>
      </w:pPr>
    </w:p>
    <w:p w14:paraId="791F344C" w14:textId="77777777" w:rsidR="00B01516" w:rsidRPr="00AE3F1B" w:rsidRDefault="00B01516" w:rsidP="00175586">
      <w:pPr>
        <w:pStyle w:val="Bezodstpw"/>
        <w:ind w:left="567" w:right="-3" w:hanging="567"/>
        <w:jc w:val="left"/>
        <w:rPr>
          <w:rFonts w:ascii="Garamond" w:hAnsi="Garamond"/>
          <w:b/>
          <w:bCs/>
          <w:sz w:val="24"/>
          <w:szCs w:val="24"/>
        </w:rPr>
      </w:pPr>
      <w:r w:rsidRPr="00AE3F1B">
        <w:rPr>
          <w:rFonts w:ascii="Garamond" w:hAnsi="Garamond"/>
          <w:b/>
          <w:bCs/>
          <w:sz w:val="24"/>
          <w:szCs w:val="24"/>
        </w:rPr>
        <w:t xml:space="preserve">  Industria Dystrybucja </w:t>
      </w:r>
      <w:r w:rsidR="007A7F96" w:rsidRPr="00AE3F1B">
        <w:rPr>
          <w:rFonts w:ascii="Garamond" w:hAnsi="Garamond"/>
          <w:b/>
          <w:bCs/>
          <w:sz w:val="24"/>
          <w:szCs w:val="24"/>
        </w:rPr>
        <w:br/>
      </w:r>
      <w:r w:rsidRPr="00AE3F1B">
        <w:rPr>
          <w:rFonts w:ascii="Garamond" w:hAnsi="Garamond"/>
          <w:b/>
          <w:bCs/>
          <w:sz w:val="24"/>
          <w:szCs w:val="24"/>
        </w:rPr>
        <w:t>Sp. z o.o.</w:t>
      </w:r>
      <w:r w:rsidR="00C8632C" w:rsidRPr="00AE3F1B">
        <w:rPr>
          <w:rFonts w:ascii="Garamond" w:hAnsi="Garamond"/>
          <w:b/>
          <w:bCs/>
          <w:sz w:val="24"/>
          <w:szCs w:val="24"/>
        </w:rPr>
        <w:t xml:space="preserve"> z siedzibą w Kielcach</w:t>
      </w:r>
    </w:p>
    <w:p w14:paraId="3D264B55" w14:textId="77777777" w:rsidR="00B01516" w:rsidRPr="00AE3F1B" w:rsidRDefault="00B01516" w:rsidP="00175586">
      <w:pPr>
        <w:pStyle w:val="Bezodstpw"/>
        <w:ind w:left="567" w:right="-3" w:hanging="567"/>
        <w:jc w:val="left"/>
        <w:rPr>
          <w:rFonts w:ascii="Garamond" w:hAnsi="Garamond"/>
          <w:sz w:val="24"/>
          <w:szCs w:val="24"/>
        </w:rPr>
      </w:pPr>
    </w:p>
    <w:p w14:paraId="0124E24F" w14:textId="77777777" w:rsidR="00B01516" w:rsidRPr="00AE3F1B" w:rsidRDefault="00B01516" w:rsidP="00175586">
      <w:pPr>
        <w:pStyle w:val="Bezodstpw"/>
        <w:ind w:left="567" w:right="-3" w:hanging="567"/>
        <w:jc w:val="left"/>
        <w:rPr>
          <w:rFonts w:ascii="Garamond" w:hAnsi="Garamond"/>
          <w:sz w:val="24"/>
          <w:szCs w:val="24"/>
        </w:rPr>
      </w:pPr>
    </w:p>
    <w:p w14:paraId="7F0AAFC9" w14:textId="77777777" w:rsidR="00B01516" w:rsidRPr="00AE3F1B" w:rsidRDefault="00B01516" w:rsidP="00175586">
      <w:pPr>
        <w:pStyle w:val="Bezodstpw"/>
        <w:ind w:left="567" w:right="-3" w:hanging="567"/>
        <w:jc w:val="left"/>
        <w:rPr>
          <w:rFonts w:ascii="Garamond" w:hAnsi="Garamond"/>
          <w:sz w:val="24"/>
          <w:szCs w:val="24"/>
        </w:rPr>
      </w:pPr>
    </w:p>
    <w:p w14:paraId="5806AFF9" w14:textId="77777777" w:rsidR="00DB7523" w:rsidRPr="00AE3F1B" w:rsidRDefault="00DB7523" w:rsidP="007A7F96">
      <w:pPr>
        <w:pStyle w:val="Nagwek1"/>
        <w:ind w:left="567" w:right="-3" w:hanging="567"/>
        <w:jc w:val="center"/>
        <w:rPr>
          <w:rFonts w:ascii="Garamond" w:hAnsi="Garamond"/>
          <w:b/>
          <w:bCs/>
          <w:i/>
          <w:iCs/>
          <w:sz w:val="24"/>
          <w:szCs w:val="24"/>
        </w:rPr>
      </w:pPr>
    </w:p>
    <w:p w14:paraId="1399D5E0" w14:textId="77777777" w:rsidR="00DB7523" w:rsidRPr="00AE3F1B" w:rsidRDefault="00DB7523" w:rsidP="007A7F96">
      <w:pPr>
        <w:pStyle w:val="Nagwek1"/>
        <w:ind w:left="567" w:right="-3" w:hanging="567"/>
        <w:jc w:val="center"/>
        <w:rPr>
          <w:rFonts w:ascii="Garamond" w:hAnsi="Garamond"/>
          <w:b/>
          <w:bCs/>
          <w:i/>
          <w:iCs/>
          <w:sz w:val="24"/>
          <w:szCs w:val="24"/>
        </w:rPr>
      </w:pPr>
    </w:p>
    <w:p w14:paraId="0FAEB3DE" w14:textId="77777777" w:rsidR="00DB7523" w:rsidRPr="00AE3F1B" w:rsidRDefault="00DB7523" w:rsidP="007A7F96">
      <w:pPr>
        <w:pStyle w:val="Nagwek1"/>
        <w:ind w:left="567" w:right="-3" w:hanging="567"/>
        <w:jc w:val="center"/>
        <w:rPr>
          <w:rFonts w:ascii="Garamond" w:hAnsi="Garamond"/>
          <w:b/>
          <w:bCs/>
          <w:i/>
          <w:iCs/>
          <w:sz w:val="24"/>
          <w:szCs w:val="24"/>
        </w:rPr>
      </w:pPr>
    </w:p>
    <w:p w14:paraId="3C36F5AF" w14:textId="77777777" w:rsidR="00DB7523" w:rsidRPr="00AE3F1B" w:rsidRDefault="00DB7523" w:rsidP="007A7F96">
      <w:pPr>
        <w:pStyle w:val="Nagwek1"/>
        <w:ind w:left="567" w:right="-3" w:hanging="567"/>
        <w:jc w:val="center"/>
        <w:rPr>
          <w:rFonts w:ascii="Garamond" w:hAnsi="Garamond"/>
          <w:b/>
          <w:bCs/>
          <w:i/>
          <w:iCs/>
          <w:sz w:val="24"/>
          <w:szCs w:val="24"/>
        </w:rPr>
      </w:pPr>
    </w:p>
    <w:p w14:paraId="237C1098" w14:textId="77777777" w:rsidR="00DB7523" w:rsidRPr="00AE3F1B" w:rsidRDefault="00DB7523" w:rsidP="007A7F96">
      <w:pPr>
        <w:pStyle w:val="Nagwek1"/>
        <w:ind w:left="567" w:right="-3" w:hanging="567"/>
        <w:jc w:val="center"/>
        <w:rPr>
          <w:rFonts w:ascii="Garamond" w:hAnsi="Garamond"/>
          <w:b/>
          <w:bCs/>
          <w:i/>
          <w:iCs/>
          <w:sz w:val="24"/>
          <w:szCs w:val="24"/>
        </w:rPr>
      </w:pPr>
    </w:p>
    <w:p w14:paraId="69955EC6" w14:textId="77777777" w:rsidR="00DB7523" w:rsidRPr="00AE3F1B" w:rsidRDefault="00DB7523" w:rsidP="007A7F96">
      <w:pPr>
        <w:pStyle w:val="Nagwek1"/>
        <w:ind w:left="567" w:right="-3" w:hanging="567"/>
        <w:jc w:val="center"/>
        <w:rPr>
          <w:rFonts w:ascii="Garamond" w:hAnsi="Garamond"/>
          <w:b/>
          <w:bCs/>
          <w:i/>
          <w:iCs/>
          <w:sz w:val="24"/>
          <w:szCs w:val="24"/>
        </w:rPr>
      </w:pPr>
    </w:p>
    <w:p w14:paraId="2261BDAE" w14:textId="77777777" w:rsidR="00500922" w:rsidRPr="0040449C" w:rsidRDefault="007A7F96" w:rsidP="007A7F96">
      <w:pPr>
        <w:pStyle w:val="Nagwek1"/>
        <w:ind w:left="567" w:right="-3" w:hanging="567"/>
        <w:jc w:val="center"/>
        <w:rPr>
          <w:rFonts w:ascii="Garamond" w:hAnsi="Garamond"/>
          <w:b/>
          <w:bCs/>
          <w:sz w:val="28"/>
          <w:szCs w:val="28"/>
        </w:rPr>
      </w:pPr>
      <w:bookmarkStart w:id="0" w:name="_Toc171860213"/>
      <w:bookmarkStart w:id="1" w:name="_Toc171861033"/>
      <w:r w:rsidRPr="0040449C">
        <w:rPr>
          <w:rFonts w:ascii="Garamond" w:hAnsi="Garamond"/>
          <w:b/>
          <w:bCs/>
          <w:sz w:val="28"/>
          <w:szCs w:val="28"/>
        </w:rPr>
        <w:t>Instrukcja Ruchu i Eksploatacji Sieci Dystrybucyjnej</w:t>
      </w:r>
      <w:bookmarkEnd w:id="0"/>
      <w:bookmarkEnd w:id="1"/>
    </w:p>
    <w:p w14:paraId="1AB67755" w14:textId="77777777" w:rsidR="00500922" w:rsidRPr="00AE3F1B" w:rsidRDefault="00500922" w:rsidP="00175586">
      <w:pPr>
        <w:spacing w:after="126" w:line="249" w:lineRule="auto"/>
        <w:ind w:left="567" w:right="-3" w:hanging="567"/>
        <w:jc w:val="left"/>
        <w:rPr>
          <w:rFonts w:ascii="Garamond" w:hAnsi="Garamond"/>
          <w:sz w:val="24"/>
          <w:szCs w:val="24"/>
        </w:rPr>
      </w:pPr>
    </w:p>
    <w:p w14:paraId="650CB76B" w14:textId="77777777" w:rsidR="00500922" w:rsidRPr="00AE3F1B" w:rsidRDefault="00500922" w:rsidP="00175586">
      <w:pPr>
        <w:spacing w:after="126" w:line="249" w:lineRule="auto"/>
        <w:ind w:left="567" w:right="-3" w:hanging="567"/>
        <w:jc w:val="left"/>
        <w:rPr>
          <w:rFonts w:ascii="Garamond" w:hAnsi="Garamond"/>
          <w:sz w:val="24"/>
          <w:szCs w:val="24"/>
        </w:rPr>
      </w:pPr>
    </w:p>
    <w:p w14:paraId="33E55EE9" w14:textId="77777777" w:rsidR="00500922" w:rsidRPr="00AE3F1B" w:rsidRDefault="00500922" w:rsidP="00175586">
      <w:pPr>
        <w:spacing w:after="126" w:line="249" w:lineRule="auto"/>
        <w:ind w:left="567" w:right="-3" w:hanging="567"/>
        <w:jc w:val="left"/>
        <w:rPr>
          <w:rFonts w:ascii="Garamond" w:hAnsi="Garamond"/>
          <w:sz w:val="24"/>
          <w:szCs w:val="24"/>
        </w:rPr>
      </w:pPr>
    </w:p>
    <w:p w14:paraId="0176DEB9" w14:textId="77777777" w:rsidR="00500922" w:rsidRPr="00AE3F1B" w:rsidRDefault="00500922" w:rsidP="00175586">
      <w:pPr>
        <w:spacing w:after="126" w:line="249" w:lineRule="auto"/>
        <w:ind w:left="567" w:right="-3" w:hanging="567"/>
        <w:jc w:val="left"/>
        <w:rPr>
          <w:rFonts w:ascii="Garamond" w:hAnsi="Garamond"/>
          <w:sz w:val="24"/>
          <w:szCs w:val="24"/>
        </w:rPr>
      </w:pPr>
    </w:p>
    <w:p w14:paraId="484B1D06" w14:textId="77777777" w:rsidR="00500922" w:rsidRPr="00AE3F1B" w:rsidRDefault="00500922" w:rsidP="00175586">
      <w:pPr>
        <w:spacing w:after="126" w:line="249" w:lineRule="auto"/>
        <w:ind w:left="567" w:right="-3" w:hanging="567"/>
        <w:jc w:val="left"/>
        <w:rPr>
          <w:rFonts w:ascii="Garamond" w:hAnsi="Garamond"/>
          <w:sz w:val="24"/>
          <w:szCs w:val="24"/>
        </w:rPr>
      </w:pPr>
    </w:p>
    <w:p w14:paraId="04A54367" w14:textId="77777777" w:rsidR="00500922" w:rsidRPr="00AE3F1B" w:rsidRDefault="00500922" w:rsidP="00175586">
      <w:pPr>
        <w:spacing w:after="126" w:line="249" w:lineRule="auto"/>
        <w:ind w:left="567" w:right="-3" w:hanging="567"/>
        <w:jc w:val="left"/>
        <w:rPr>
          <w:rFonts w:ascii="Garamond" w:hAnsi="Garamond"/>
          <w:sz w:val="24"/>
          <w:szCs w:val="24"/>
        </w:rPr>
      </w:pPr>
    </w:p>
    <w:p w14:paraId="53178BA7" w14:textId="77777777" w:rsidR="00DB7523" w:rsidRPr="00AE3F1B" w:rsidRDefault="007A7F96" w:rsidP="00175586">
      <w:pPr>
        <w:spacing w:after="126" w:line="249" w:lineRule="auto"/>
        <w:ind w:left="567" w:right="-3" w:hanging="567"/>
        <w:jc w:val="left"/>
        <w:rPr>
          <w:rFonts w:ascii="Garamond" w:hAnsi="Garamond"/>
          <w:sz w:val="24"/>
          <w:szCs w:val="24"/>
        </w:rPr>
      </w:pPr>
      <w:r w:rsidRPr="00AE3F1B">
        <w:rPr>
          <w:rFonts w:ascii="Garamond" w:hAnsi="Garamond"/>
          <w:sz w:val="24"/>
          <w:szCs w:val="24"/>
        </w:rPr>
        <w:br/>
      </w:r>
      <w:r w:rsidRPr="00AE3F1B">
        <w:rPr>
          <w:rFonts w:ascii="Garamond" w:hAnsi="Garamond"/>
          <w:sz w:val="24"/>
          <w:szCs w:val="24"/>
        </w:rPr>
        <w:br/>
      </w:r>
      <w:r w:rsidRPr="00AE3F1B">
        <w:rPr>
          <w:rFonts w:ascii="Garamond" w:hAnsi="Garamond"/>
          <w:sz w:val="24"/>
          <w:szCs w:val="24"/>
        </w:rPr>
        <w:br/>
      </w:r>
      <w:r w:rsidRPr="00AE3F1B">
        <w:rPr>
          <w:rFonts w:ascii="Garamond" w:hAnsi="Garamond"/>
          <w:sz w:val="24"/>
          <w:szCs w:val="24"/>
        </w:rPr>
        <w:br/>
      </w:r>
      <w:r w:rsidRPr="00AE3F1B">
        <w:rPr>
          <w:rFonts w:ascii="Garamond" w:hAnsi="Garamond"/>
          <w:sz w:val="24"/>
          <w:szCs w:val="24"/>
        </w:rPr>
        <w:br/>
      </w:r>
      <w:r w:rsidRPr="00AE3F1B">
        <w:rPr>
          <w:rFonts w:ascii="Garamond" w:hAnsi="Garamond"/>
          <w:sz w:val="24"/>
          <w:szCs w:val="24"/>
        </w:rPr>
        <w:br/>
      </w:r>
      <w:r w:rsidRPr="00AE3F1B">
        <w:rPr>
          <w:rFonts w:ascii="Garamond" w:hAnsi="Garamond"/>
          <w:sz w:val="24"/>
          <w:szCs w:val="24"/>
        </w:rPr>
        <w:br/>
      </w:r>
      <w:r w:rsidRPr="00AE3F1B">
        <w:rPr>
          <w:rFonts w:ascii="Garamond" w:hAnsi="Garamond"/>
          <w:sz w:val="24"/>
          <w:szCs w:val="24"/>
        </w:rPr>
        <w:br/>
      </w:r>
      <w:r w:rsidRPr="00AE3F1B">
        <w:rPr>
          <w:rFonts w:ascii="Garamond" w:hAnsi="Garamond"/>
          <w:sz w:val="24"/>
          <w:szCs w:val="24"/>
        </w:rPr>
        <w:br/>
      </w:r>
      <w:r w:rsidRPr="00AE3F1B">
        <w:rPr>
          <w:rFonts w:ascii="Garamond" w:hAnsi="Garamond"/>
          <w:sz w:val="24"/>
          <w:szCs w:val="24"/>
        </w:rPr>
        <w:br/>
      </w:r>
      <w:r w:rsidRPr="00AE3F1B">
        <w:rPr>
          <w:rFonts w:ascii="Garamond" w:hAnsi="Garamond"/>
          <w:sz w:val="24"/>
          <w:szCs w:val="24"/>
        </w:rPr>
        <w:br/>
      </w:r>
    </w:p>
    <w:p w14:paraId="49555936" w14:textId="77777777" w:rsidR="00DB7523" w:rsidRPr="00AE3F1B" w:rsidRDefault="00DB7523" w:rsidP="00175586">
      <w:pPr>
        <w:spacing w:after="126" w:line="249" w:lineRule="auto"/>
        <w:ind w:left="567" w:right="-3" w:hanging="567"/>
        <w:jc w:val="left"/>
        <w:rPr>
          <w:rFonts w:ascii="Garamond" w:hAnsi="Garamond"/>
          <w:sz w:val="24"/>
          <w:szCs w:val="24"/>
        </w:rPr>
      </w:pPr>
    </w:p>
    <w:p w14:paraId="6A4C5AC2" w14:textId="77777777" w:rsidR="00DB7523" w:rsidRPr="00AE3F1B" w:rsidRDefault="00DB7523" w:rsidP="00175586">
      <w:pPr>
        <w:spacing w:after="126" w:line="249" w:lineRule="auto"/>
        <w:ind w:left="567" w:right="-3" w:hanging="567"/>
        <w:jc w:val="left"/>
        <w:rPr>
          <w:rFonts w:ascii="Garamond" w:hAnsi="Garamond"/>
          <w:sz w:val="24"/>
          <w:szCs w:val="24"/>
        </w:rPr>
      </w:pPr>
    </w:p>
    <w:p w14:paraId="0E42C522" w14:textId="5E3326CA" w:rsidR="002A143B" w:rsidRPr="00AE3F1B" w:rsidRDefault="00DA12DF" w:rsidP="00175586">
      <w:pPr>
        <w:spacing w:after="126" w:line="249" w:lineRule="auto"/>
        <w:ind w:left="567" w:right="-3" w:hanging="567"/>
        <w:jc w:val="left"/>
        <w:rPr>
          <w:rFonts w:ascii="Garamond" w:hAnsi="Garamond"/>
          <w:sz w:val="24"/>
          <w:szCs w:val="24"/>
        </w:rPr>
      </w:pPr>
      <w:r w:rsidRPr="00AE3F1B">
        <w:rPr>
          <w:rFonts w:ascii="Garamond" w:hAnsi="Garamond"/>
          <w:sz w:val="24"/>
          <w:szCs w:val="24"/>
        </w:rPr>
        <w:t xml:space="preserve">Tekst jednolity obowiązujący od: </w:t>
      </w:r>
      <w:r w:rsidR="00B14775">
        <w:rPr>
          <w:rFonts w:ascii="Garamond" w:hAnsi="Garamond"/>
          <w:sz w:val="24"/>
          <w:szCs w:val="24"/>
        </w:rPr>
        <w:t>30.09.2024</w:t>
      </w:r>
    </w:p>
    <w:p w14:paraId="3291581C" w14:textId="77777777" w:rsidR="004E5700" w:rsidRDefault="004E5700" w:rsidP="00175586">
      <w:pPr>
        <w:spacing w:after="126" w:line="249" w:lineRule="auto"/>
        <w:ind w:left="567" w:right="-3" w:hanging="567"/>
        <w:jc w:val="left"/>
        <w:rPr>
          <w:rFonts w:ascii="Garamond" w:hAnsi="Garamond"/>
          <w:sz w:val="24"/>
          <w:szCs w:val="24"/>
        </w:rPr>
      </w:pPr>
    </w:p>
    <w:p w14:paraId="0CEDEAD7" w14:textId="77777777" w:rsidR="004E5700" w:rsidRDefault="004E5700" w:rsidP="00175586">
      <w:pPr>
        <w:spacing w:after="126" w:line="249" w:lineRule="auto"/>
        <w:ind w:left="567" w:right="-3" w:hanging="567"/>
        <w:jc w:val="left"/>
        <w:rPr>
          <w:rFonts w:ascii="Garamond" w:hAnsi="Garamond"/>
          <w:sz w:val="24"/>
          <w:szCs w:val="24"/>
        </w:rPr>
      </w:pPr>
    </w:p>
    <w:p w14:paraId="1E56E438" w14:textId="77777777" w:rsidR="004E5700" w:rsidRDefault="004E5700" w:rsidP="00175586">
      <w:pPr>
        <w:spacing w:after="126" w:line="249" w:lineRule="auto"/>
        <w:ind w:left="567" w:right="-3" w:hanging="567"/>
        <w:jc w:val="left"/>
        <w:rPr>
          <w:rFonts w:ascii="Garamond" w:hAnsi="Garamond"/>
          <w:sz w:val="24"/>
          <w:szCs w:val="24"/>
        </w:rPr>
      </w:pPr>
    </w:p>
    <w:p w14:paraId="067DEEF8" w14:textId="77777777" w:rsidR="004E5700" w:rsidRDefault="004E5700" w:rsidP="00175586">
      <w:pPr>
        <w:spacing w:after="126" w:line="249" w:lineRule="auto"/>
        <w:ind w:left="567" w:right="-3" w:hanging="567"/>
        <w:jc w:val="left"/>
        <w:rPr>
          <w:rFonts w:ascii="Garamond" w:hAnsi="Garamond"/>
          <w:sz w:val="24"/>
          <w:szCs w:val="24"/>
        </w:rPr>
      </w:pPr>
    </w:p>
    <w:p w14:paraId="28456388" w14:textId="77777777" w:rsidR="004E5700" w:rsidRDefault="004E5700" w:rsidP="00175586">
      <w:pPr>
        <w:spacing w:after="126" w:line="249" w:lineRule="auto"/>
        <w:ind w:left="567" w:right="-3" w:hanging="567"/>
        <w:jc w:val="left"/>
        <w:rPr>
          <w:rFonts w:ascii="Garamond" w:hAnsi="Garamond"/>
          <w:sz w:val="24"/>
          <w:szCs w:val="24"/>
        </w:rPr>
      </w:pPr>
    </w:p>
    <w:p w14:paraId="09081E2B" w14:textId="77777777" w:rsidR="004E5700" w:rsidRDefault="004E5700" w:rsidP="00175586">
      <w:pPr>
        <w:spacing w:after="126" w:line="249" w:lineRule="auto"/>
        <w:ind w:left="567" w:right="-3" w:hanging="567"/>
        <w:jc w:val="left"/>
        <w:rPr>
          <w:rFonts w:ascii="Garamond" w:hAnsi="Garamond"/>
          <w:sz w:val="24"/>
          <w:szCs w:val="24"/>
        </w:rPr>
      </w:pPr>
    </w:p>
    <w:p w14:paraId="177A0F38" w14:textId="77777777" w:rsidR="004E5700" w:rsidRDefault="004E5700" w:rsidP="00175586">
      <w:pPr>
        <w:spacing w:after="126" w:line="249" w:lineRule="auto"/>
        <w:ind w:left="567" w:right="-3" w:hanging="567"/>
        <w:jc w:val="left"/>
        <w:rPr>
          <w:rFonts w:ascii="Garamond" w:hAnsi="Garamond"/>
          <w:sz w:val="24"/>
          <w:szCs w:val="24"/>
        </w:rPr>
      </w:pPr>
    </w:p>
    <w:p w14:paraId="40A6A8A4" w14:textId="77777777" w:rsidR="004E5700" w:rsidRDefault="004E5700" w:rsidP="00175586">
      <w:pPr>
        <w:spacing w:after="126" w:line="249" w:lineRule="auto"/>
        <w:ind w:left="567" w:right="-3" w:hanging="567"/>
        <w:jc w:val="left"/>
        <w:rPr>
          <w:rFonts w:ascii="Garamond" w:hAnsi="Garamond"/>
          <w:sz w:val="24"/>
          <w:szCs w:val="24"/>
        </w:rPr>
      </w:pPr>
    </w:p>
    <w:p w14:paraId="54A0787D" w14:textId="77777777" w:rsidR="004E5700" w:rsidRDefault="004E5700" w:rsidP="00175586">
      <w:pPr>
        <w:spacing w:after="126" w:line="249" w:lineRule="auto"/>
        <w:ind w:left="567" w:right="-3" w:hanging="567"/>
        <w:jc w:val="left"/>
        <w:rPr>
          <w:rFonts w:ascii="Garamond" w:hAnsi="Garamond"/>
          <w:sz w:val="24"/>
          <w:szCs w:val="24"/>
        </w:rPr>
      </w:pPr>
    </w:p>
    <w:p w14:paraId="2B3B363E" w14:textId="77777777" w:rsidR="004E5700" w:rsidRDefault="004E5700" w:rsidP="00175586">
      <w:pPr>
        <w:spacing w:after="126" w:line="249" w:lineRule="auto"/>
        <w:ind w:left="567" w:right="-3" w:hanging="567"/>
        <w:jc w:val="left"/>
        <w:rPr>
          <w:rFonts w:ascii="Garamond" w:hAnsi="Garamond"/>
          <w:sz w:val="24"/>
          <w:szCs w:val="24"/>
        </w:rPr>
      </w:pPr>
    </w:p>
    <w:p w14:paraId="199CB268" w14:textId="77777777" w:rsidR="004E5700" w:rsidRDefault="004E5700" w:rsidP="00175586">
      <w:pPr>
        <w:spacing w:after="126" w:line="249" w:lineRule="auto"/>
        <w:ind w:left="567" w:right="-3" w:hanging="567"/>
        <w:jc w:val="left"/>
        <w:rPr>
          <w:rFonts w:ascii="Garamond" w:hAnsi="Garamond"/>
          <w:sz w:val="24"/>
          <w:szCs w:val="24"/>
        </w:rPr>
      </w:pPr>
    </w:p>
    <w:p w14:paraId="2B74F701" w14:textId="77777777" w:rsidR="004E5700" w:rsidRDefault="004E5700" w:rsidP="00175586">
      <w:pPr>
        <w:spacing w:after="126" w:line="249" w:lineRule="auto"/>
        <w:ind w:left="567" w:right="-3" w:hanging="567"/>
        <w:jc w:val="left"/>
        <w:rPr>
          <w:rFonts w:ascii="Garamond" w:hAnsi="Garamond"/>
          <w:sz w:val="24"/>
          <w:szCs w:val="24"/>
        </w:rPr>
      </w:pPr>
    </w:p>
    <w:p w14:paraId="4134B62F" w14:textId="77777777" w:rsidR="004E5700" w:rsidRDefault="004E5700" w:rsidP="00175586">
      <w:pPr>
        <w:spacing w:after="126" w:line="249" w:lineRule="auto"/>
        <w:ind w:left="567" w:right="-3" w:hanging="567"/>
        <w:jc w:val="left"/>
        <w:rPr>
          <w:rFonts w:ascii="Garamond" w:hAnsi="Garamond"/>
          <w:sz w:val="24"/>
          <w:szCs w:val="24"/>
        </w:rPr>
      </w:pPr>
    </w:p>
    <w:p w14:paraId="1E3DF43B" w14:textId="77777777" w:rsidR="004E5700" w:rsidRDefault="004E5700" w:rsidP="00175586">
      <w:pPr>
        <w:spacing w:after="126" w:line="249" w:lineRule="auto"/>
        <w:ind w:left="567" w:right="-3" w:hanging="567"/>
        <w:jc w:val="left"/>
        <w:rPr>
          <w:rFonts w:ascii="Garamond" w:hAnsi="Garamond"/>
          <w:sz w:val="24"/>
          <w:szCs w:val="24"/>
        </w:rPr>
      </w:pPr>
    </w:p>
    <w:p w14:paraId="49CF3607" w14:textId="77777777" w:rsidR="004E5700" w:rsidRDefault="004E5700" w:rsidP="004E5700">
      <w:pPr>
        <w:spacing w:after="0" w:line="224" w:lineRule="auto"/>
        <w:ind w:right="-3"/>
        <w:jc w:val="left"/>
        <w:rPr>
          <w:rFonts w:ascii="Garamond" w:hAnsi="Garamond"/>
          <w:b/>
          <w:bCs/>
          <w:sz w:val="28"/>
          <w:szCs w:val="28"/>
        </w:rPr>
      </w:pPr>
    </w:p>
    <w:p w14:paraId="2D588608" w14:textId="654C6396" w:rsidR="004E5700" w:rsidRPr="0040449C" w:rsidRDefault="004E5700" w:rsidP="004E5700">
      <w:pPr>
        <w:spacing w:after="0" w:line="224" w:lineRule="auto"/>
        <w:ind w:right="-3"/>
        <w:jc w:val="left"/>
        <w:rPr>
          <w:rFonts w:ascii="Garamond" w:hAnsi="Garamond"/>
          <w:b/>
          <w:bCs/>
          <w:sz w:val="24"/>
          <w:szCs w:val="24"/>
        </w:rPr>
      </w:pPr>
      <w:r w:rsidRPr="0040449C">
        <w:rPr>
          <w:rFonts w:ascii="Garamond" w:hAnsi="Garamond"/>
          <w:b/>
          <w:bCs/>
          <w:sz w:val="28"/>
          <w:szCs w:val="28"/>
        </w:rPr>
        <w:t xml:space="preserve">Niniejsza Instrukcja Ruchu i Eksploatacji Sieci Dystrybucyjnej </w:t>
      </w:r>
      <w:r w:rsidRPr="0040449C">
        <w:rPr>
          <w:rFonts w:ascii="Garamond" w:hAnsi="Garamond"/>
          <w:b/>
          <w:bCs/>
          <w:sz w:val="28"/>
          <w:szCs w:val="28"/>
        </w:rPr>
        <w:br/>
      </w:r>
      <w:r w:rsidRPr="0040449C">
        <w:rPr>
          <w:rFonts w:ascii="Garamond" w:hAnsi="Garamond"/>
          <w:b/>
          <w:bCs/>
          <w:sz w:val="24"/>
          <w:szCs w:val="24"/>
        </w:rPr>
        <w:t>przyjęta</w:t>
      </w:r>
      <w:r w:rsidR="00981B1F">
        <w:rPr>
          <w:rFonts w:ascii="Garamond" w:hAnsi="Garamond"/>
          <w:b/>
          <w:bCs/>
          <w:sz w:val="24"/>
          <w:szCs w:val="24"/>
        </w:rPr>
        <w:t xml:space="preserve"> Uchwałą </w:t>
      </w:r>
      <w:r w:rsidRPr="0040449C">
        <w:rPr>
          <w:rFonts w:ascii="Garamond" w:hAnsi="Garamond"/>
          <w:b/>
          <w:bCs/>
          <w:sz w:val="24"/>
          <w:szCs w:val="24"/>
        </w:rPr>
        <w:t>Zarząd</w:t>
      </w:r>
      <w:r w:rsidR="00981B1F">
        <w:rPr>
          <w:rFonts w:ascii="Garamond" w:hAnsi="Garamond"/>
          <w:b/>
          <w:bCs/>
          <w:sz w:val="24"/>
          <w:szCs w:val="24"/>
        </w:rPr>
        <w:t>u</w:t>
      </w:r>
      <w:r w:rsidRPr="0040449C">
        <w:rPr>
          <w:rFonts w:ascii="Garamond" w:hAnsi="Garamond"/>
          <w:b/>
          <w:bCs/>
          <w:sz w:val="24"/>
          <w:szCs w:val="24"/>
        </w:rPr>
        <w:t xml:space="preserve"> Industria Dystrybucja Sp. z. o. o.</w:t>
      </w:r>
    </w:p>
    <w:p w14:paraId="381AB26E" w14:textId="77777777" w:rsidR="004E5700" w:rsidRDefault="004E5700" w:rsidP="00175586">
      <w:pPr>
        <w:spacing w:after="126" w:line="249" w:lineRule="auto"/>
        <w:ind w:left="567" w:right="-3" w:hanging="567"/>
        <w:jc w:val="left"/>
        <w:rPr>
          <w:rFonts w:ascii="Garamond" w:hAnsi="Garamond"/>
          <w:sz w:val="24"/>
          <w:szCs w:val="24"/>
        </w:rPr>
      </w:pPr>
    </w:p>
    <w:p w14:paraId="733BF169" w14:textId="77777777" w:rsidR="004E5700" w:rsidRDefault="004E5700" w:rsidP="00175586">
      <w:pPr>
        <w:spacing w:after="126" w:line="249" w:lineRule="auto"/>
        <w:ind w:left="567" w:right="-3" w:hanging="567"/>
        <w:jc w:val="left"/>
        <w:rPr>
          <w:rFonts w:ascii="Garamond" w:hAnsi="Garamond"/>
          <w:sz w:val="24"/>
          <w:szCs w:val="24"/>
        </w:rPr>
      </w:pPr>
    </w:p>
    <w:p w14:paraId="5DA945F9" w14:textId="77777777" w:rsidR="004E5700" w:rsidRDefault="004E5700" w:rsidP="00175586">
      <w:pPr>
        <w:spacing w:after="126" w:line="249" w:lineRule="auto"/>
        <w:ind w:left="567" w:right="-3" w:hanging="567"/>
        <w:jc w:val="left"/>
        <w:rPr>
          <w:rFonts w:ascii="Garamond" w:hAnsi="Garamond"/>
          <w:sz w:val="24"/>
          <w:szCs w:val="24"/>
        </w:rPr>
      </w:pPr>
    </w:p>
    <w:p w14:paraId="41EE52F9" w14:textId="77777777" w:rsidR="004E5700" w:rsidRDefault="004E5700" w:rsidP="00175586">
      <w:pPr>
        <w:spacing w:after="126" w:line="249" w:lineRule="auto"/>
        <w:ind w:left="567" w:right="-3" w:hanging="567"/>
        <w:jc w:val="left"/>
        <w:rPr>
          <w:rFonts w:ascii="Garamond" w:hAnsi="Garamond"/>
          <w:sz w:val="24"/>
          <w:szCs w:val="24"/>
        </w:rPr>
      </w:pPr>
    </w:p>
    <w:p w14:paraId="6EF1FB69" w14:textId="77777777" w:rsidR="004E5700" w:rsidRDefault="004E5700" w:rsidP="00175586">
      <w:pPr>
        <w:spacing w:after="126" w:line="249" w:lineRule="auto"/>
        <w:ind w:left="567" w:right="-3" w:hanging="567"/>
        <w:jc w:val="left"/>
        <w:rPr>
          <w:rFonts w:ascii="Garamond" w:hAnsi="Garamond"/>
          <w:sz w:val="24"/>
          <w:szCs w:val="24"/>
        </w:rPr>
      </w:pPr>
    </w:p>
    <w:p w14:paraId="5446ECFF" w14:textId="77777777" w:rsidR="004E5700" w:rsidRDefault="004E5700" w:rsidP="00175586">
      <w:pPr>
        <w:spacing w:after="126" w:line="249" w:lineRule="auto"/>
        <w:ind w:left="567" w:right="-3" w:hanging="567"/>
        <w:jc w:val="left"/>
        <w:rPr>
          <w:rFonts w:ascii="Garamond" w:hAnsi="Garamond"/>
          <w:sz w:val="24"/>
          <w:szCs w:val="24"/>
        </w:rPr>
      </w:pPr>
    </w:p>
    <w:p w14:paraId="3FFEC43C" w14:textId="77777777" w:rsidR="004E5700" w:rsidRDefault="004E5700" w:rsidP="00175586">
      <w:pPr>
        <w:spacing w:after="126" w:line="249" w:lineRule="auto"/>
        <w:ind w:left="567" w:right="-3" w:hanging="567"/>
        <w:jc w:val="left"/>
        <w:rPr>
          <w:rFonts w:ascii="Garamond" w:hAnsi="Garamond"/>
          <w:sz w:val="24"/>
          <w:szCs w:val="24"/>
        </w:rPr>
      </w:pPr>
    </w:p>
    <w:p w14:paraId="2BBB0438" w14:textId="77777777" w:rsidR="004E5700" w:rsidRDefault="004E5700" w:rsidP="00175586">
      <w:pPr>
        <w:spacing w:after="126" w:line="249" w:lineRule="auto"/>
        <w:ind w:left="567" w:right="-3" w:hanging="567"/>
        <w:jc w:val="left"/>
        <w:rPr>
          <w:rFonts w:ascii="Garamond" w:hAnsi="Garamond"/>
          <w:sz w:val="24"/>
          <w:szCs w:val="24"/>
        </w:rPr>
      </w:pPr>
    </w:p>
    <w:p w14:paraId="409DAAB1" w14:textId="77777777" w:rsidR="004E5700" w:rsidRDefault="004E5700" w:rsidP="00175586">
      <w:pPr>
        <w:spacing w:after="126" w:line="249" w:lineRule="auto"/>
        <w:ind w:left="567" w:right="-3" w:hanging="567"/>
        <w:jc w:val="left"/>
        <w:rPr>
          <w:rFonts w:ascii="Garamond" w:hAnsi="Garamond"/>
          <w:sz w:val="24"/>
          <w:szCs w:val="24"/>
        </w:rPr>
      </w:pPr>
    </w:p>
    <w:p w14:paraId="7BAA13AD" w14:textId="77777777" w:rsidR="004E5700" w:rsidRDefault="004E5700" w:rsidP="00175586">
      <w:pPr>
        <w:spacing w:after="126" w:line="249" w:lineRule="auto"/>
        <w:ind w:left="567" w:right="-3" w:hanging="567"/>
        <w:jc w:val="left"/>
        <w:rPr>
          <w:rFonts w:ascii="Garamond" w:hAnsi="Garamond"/>
          <w:sz w:val="24"/>
          <w:szCs w:val="24"/>
        </w:rPr>
      </w:pPr>
    </w:p>
    <w:p w14:paraId="46C1C9B6" w14:textId="77777777" w:rsidR="004E5700" w:rsidRDefault="004E5700" w:rsidP="00175586">
      <w:pPr>
        <w:spacing w:after="126" w:line="249" w:lineRule="auto"/>
        <w:ind w:left="567" w:right="-3" w:hanging="567"/>
        <w:jc w:val="left"/>
        <w:rPr>
          <w:rFonts w:ascii="Garamond" w:hAnsi="Garamond"/>
          <w:sz w:val="24"/>
          <w:szCs w:val="24"/>
        </w:rPr>
      </w:pPr>
    </w:p>
    <w:p w14:paraId="13641A52" w14:textId="77777777" w:rsidR="004E5700" w:rsidRDefault="004E5700" w:rsidP="00175586">
      <w:pPr>
        <w:spacing w:after="126" w:line="249" w:lineRule="auto"/>
        <w:ind w:left="567" w:right="-3" w:hanging="567"/>
        <w:jc w:val="left"/>
        <w:rPr>
          <w:rFonts w:ascii="Garamond" w:hAnsi="Garamond"/>
          <w:sz w:val="24"/>
          <w:szCs w:val="24"/>
        </w:rPr>
      </w:pPr>
    </w:p>
    <w:p w14:paraId="02526F0B" w14:textId="77777777" w:rsidR="004E5700" w:rsidRDefault="004E5700" w:rsidP="00175586">
      <w:pPr>
        <w:spacing w:after="126" w:line="249" w:lineRule="auto"/>
        <w:ind w:left="567" w:right="-3" w:hanging="567"/>
        <w:jc w:val="left"/>
        <w:rPr>
          <w:rFonts w:ascii="Garamond" w:hAnsi="Garamond"/>
          <w:sz w:val="24"/>
          <w:szCs w:val="24"/>
        </w:rPr>
      </w:pPr>
    </w:p>
    <w:p w14:paraId="2F7AB5C4" w14:textId="77777777" w:rsidR="004E5700" w:rsidRDefault="004E5700" w:rsidP="00175586">
      <w:pPr>
        <w:spacing w:after="126" w:line="249" w:lineRule="auto"/>
        <w:ind w:left="567" w:right="-3" w:hanging="567"/>
        <w:jc w:val="left"/>
        <w:rPr>
          <w:rFonts w:ascii="Garamond" w:hAnsi="Garamond"/>
          <w:sz w:val="24"/>
          <w:szCs w:val="24"/>
        </w:rPr>
      </w:pPr>
    </w:p>
    <w:p w14:paraId="119BDF99" w14:textId="77777777" w:rsidR="004E5700" w:rsidRDefault="004E5700" w:rsidP="00175586">
      <w:pPr>
        <w:spacing w:after="126" w:line="249" w:lineRule="auto"/>
        <w:ind w:left="567" w:right="-3" w:hanging="567"/>
        <w:jc w:val="left"/>
        <w:rPr>
          <w:rFonts w:ascii="Garamond" w:hAnsi="Garamond"/>
          <w:sz w:val="24"/>
          <w:szCs w:val="24"/>
        </w:rPr>
      </w:pPr>
    </w:p>
    <w:p w14:paraId="23DDAE53" w14:textId="77777777" w:rsidR="004E5700" w:rsidRDefault="004E5700" w:rsidP="00175586">
      <w:pPr>
        <w:spacing w:after="126" w:line="249" w:lineRule="auto"/>
        <w:ind w:left="567" w:right="-3" w:hanging="567"/>
        <w:jc w:val="left"/>
        <w:rPr>
          <w:rFonts w:ascii="Garamond" w:hAnsi="Garamond"/>
          <w:sz w:val="24"/>
          <w:szCs w:val="24"/>
        </w:rPr>
      </w:pPr>
    </w:p>
    <w:p w14:paraId="65F3A912" w14:textId="489574FD" w:rsidR="008F385A" w:rsidRPr="00AE3F1B" w:rsidRDefault="008F385A" w:rsidP="00502521">
      <w:pPr>
        <w:spacing w:after="126" w:line="249" w:lineRule="auto"/>
        <w:ind w:right="-3"/>
        <w:jc w:val="left"/>
        <w:rPr>
          <w:rFonts w:ascii="Garamond" w:hAnsi="Garamond"/>
          <w:sz w:val="24"/>
          <w:szCs w:val="24"/>
        </w:rPr>
      </w:pPr>
      <w:r>
        <w:rPr>
          <w:rFonts w:ascii="Garamond" w:hAnsi="Garamond"/>
          <w:sz w:val="24"/>
          <w:szCs w:val="24"/>
        </w:rPr>
        <w:lastRenderedPageBreak/>
        <w:t xml:space="preserve">Spis treści </w:t>
      </w:r>
      <w:r>
        <w:rPr>
          <w:rFonts w:ascii="Garamond" w:hAnsi="Garamond"/>
          <w:sz w:val="24"/>
          <w:szCs w:val="24"/>
        </w:rPr>
        <w:br/>
        <w:t>Część ogólna:</w:t>
      </w:r>
    </w:p>
    <w:p w14:paraId="4FAA12DF" w14:textId="2E9E73AC" w:rsidR="00652E8D" w:rsidRDefault="00652E8D" w:rsidP="0064053B">
      <w:pPr>
        <w:pStyle w:val="Nagwek1"/>
        <w:numPr>
          <w:ilvl w:val="0"/>
          <w:numId w:val="62"/>
        </w:numPr>
        <w:ind w:left="851" w:hanging="709"/>
        <w:rPr>
          <w:rFonts w:ascii="Garamond" w:hAnsi="Garamond"/>
          <w:sz w:val="24"/>
          <w:szCs w:val="24"/>
        </w:rPr>
      </w:pPr>
      <w:r>
        <w:rPr>
          <w:rFonts w:ascii="Garamond" w:hAnsi="Garamond"/>
          <w:sz w:val="24"/>
          <w:szCs w:val="24"/>
        </w:rPr>
        <w:t>Korzystanie z systemu elektroenergetycznego</w:t>
      </w:r>
      <w:r w:rsidR="0019728B">
        <w:rPr>
          <w:rFonts w:ascii="Garamond" w:hAnsi="Garamond"/>
          <w:sz w:val="24"/>
          <w:szCs w:val="24"/>
        </w:rPr>
        <w:tab/>
      </w:r>
      <w:r w:rsidR="008D2A5B">
        <w:rPr>
          <w:rFonts w:ascii="Garamond" w:hAnsi="Garamond"/>
          <w:sz w:val="24"/>
          <w:szCs w:val="24"/>
        </w:rPr>
        <w:t>_______</w:t>
      </w:r>
      <w:r w:rsidR="00C4362D">
        <w:rPr>
          <w:rFonts w:ascii="Garamond" w:hAnsi="Garamond"/>
          <w:sz w:val="24"/>
          <w:szCs w:val="24"/>
        </w:rPr>
        <w:t>__</w:t>
      </w:r>
      <w:r w:rsidR="00384CAB">
        <w:rPr>
          <w:rFonts w:ascii="Garamond" w:hAnsi="Garamond"/>
          <w:sz w:val="24"/>
          <w:szCs w:val="24"/>
        </w:rPr>
        <w:t>____</w:t>
      </w:r>
      <w:r w:rsidR="00C4362D">
        <w:rPr>
          <w:rFonts w:ascii="Garamond" w:hAnsi="Garamond"/>
          <w:sz w:val="24"/>
          <w:szCs w:val="24"/>
        </w:rPr>
        <w:t>____________</w:t>
      </w:r>
      <w:r w:rsidR="008D2A5B">
        <w:rPr>
          <w:rFonts w:ascii="Garamond" w:hAnsi="Garamond"/>
          <w:sz w:val="24"/>
          <w:szCs w:val="24"/>
        </w:rPr>
        <w:t>5</w:t>
      </w:r>
    </w:p>
    <w:p w14:paraId="4AA2CE1A" w14:textId="19EB5E14" w:rsidR="00652E8D" w:rsidRPr="00652E8D" w:rsidRDefault="00652E8D" w:rsidP="000823D0">
      <w:pPr>
        <w:pStyle w:val="Nagwek2"/>
        <w:ind w:left="851" w:hanging="851"/>
        <w:rPr>
          <w:sz w:val="24"/>
          <w:szCs w:val="24"/>
        </w:rPr>
      </w:pPr>
      <w:r w:rsidRPr="00652E8D">
        <w:rPr>
          <w:sz w:val="24"/>
          <w:szCs w:val="24"/>
        </w:rPr>
        <w:t xml:space="preserve">    I.1.      Postanowienia ogólne</w:t>
      </w:r>
      <w:r w:rsidR="0019728B">
        <w:rPr>
          <w:sz w:val="24"/>
          <w:szCs w:val="24"/>
        </w:rPr>
        <w:tab/>
      </w:r>
      <w:r w:rsidR="008D2A5B">
        <w:rPr>
          <w:sz w:val="24"/>
          <w:szCs w:val="24"/>
        </w:rPr>
        <w:t>_</w:t>
      </w:r>
      <w:r w:rsidR="008D2A5B">
        <w:rPr>
          <w:rFonts w:ascii="Garamond" w:hAnsi="Garamond"/>
          <w:sz w:val="24"/>
          <w:szCs w:val="24"/>
        </w:rPr>
        <w:t>_____</w:t>
      </w:r>
      <w:r w:rsidR="008D2A5B">
        <w:rPr>
          <w:sz w:val="24"/>
          <w:szCs w:val="24"/>
        </w:rPr>
        <w:t>_</w:t>
      </w:r>
      <w:r w:rsidR="00C4362D">
        <w:rPr>
          <w:sz w:val="24"/>
          <w:szCs w:val="24"/>
        </w:rPr>
        <w:t>____________________________</w:t>
      </w:r>
      <w:r w:rsidR="00384CAB">
        <w:rPr>
          <w:sz w:val="24"/>
          <w:szCs w:val="24"/>
        </w:rPr>
        <w:t>__</w:t>
      </w:r>
      <w:r w:rsidR="00C4362D">
        <w:rPr>
          <w:sz w:val="24"/>
          <w:szCs w:val="24"/>
        </w:rPr>
        <w:t>__________ 5</w:t>
      </w:r>
    </w:p>
    <w:p w14:paraId="62C99429" w14:textId="4B51A7C4" w:rsidR="00652E8D" w:rsidRDefault="00652E8D" w:rsidP="000823D0">
      <w:pPr>
        <w:pStyle w:val="Nagwek2"/>
        <w:ind w:left="851" w:hanging="851"/>
        <w:rPr>
          <w:sz w:val="24"/>
          <w:szCs w:val="24"/>
        </w:rPr>
      </w:pPr>
      <w:r w:rsidRPr="00652E8D">
        <w:rPr>
          <w:sz w:val="24"/>
          <w:szCs w:val="24"/>
        </w:rPr>
        <w:t xml:space="preserve">    I.2.</w:t>
      </w:r>
      <w:r>
        <w:rPr>
          <w:sz w:val="24"/>
          <w:szCs w:val="24"/>
        </w:rPr>
        <w:t xml:space="preserve">      Charakterystyka korzystania z sieci dystrybucyjnej</w:t>
      </w:r>
      <w:r w:rsidR="0064053B">
        <w:rPr>
          <w:sz w:val="24"/>
          <w:szCs w:val="24"/>
        </w:rPr>
        <w:t>___</w:t>
      </w:r>
      <w:r w:rsidR="0019728B">
        <w:rPr>
          <w:sz w:val="24"/>
          <w:szCs w:val="24"/>
        </w:rPr>
        <w:t>__</w:t>
      </w:r>
      <w:r w:rsidR="00C4362D">
        <w:rPr>
          <w:sz w:val="24"/>
          <w:szCs w:val="24"/>
        </w:rPr>
        <w:t>____</w:t>
      </w:r>
      <w:r w:rsidR="00384CAB">
        <w:rPr>
          <w:sz w:val="24"/>
          <w:szCs w:val="24"/>
        </w:rPr>
        <w:t>__</w:t>
      </w:r>
      <w:r w:rsidR="00C4362D">
        <w:rPr>
          <w:sz w:val="24"/>
          <w:szCs w:val="24"/>
        </w:rPr>
        <w:t xml:space="preserve">_________ </w:t>
      </w:r>
      <w:r w:rsidR="00C90447">
        <w:rPr>
          <w:sz w:val="24"/>
          <w:szCs w:val="24"/>
        </w:rPr>
        <w:t>10</w:t>
      </w:r>
    </w:p>
    <w:p w14:paraId="6A45C521" w14:textId="055635B3" w:rsidR="00652E8D" w:rsidRDefault="00652E8D" w:rsidP="000823D0">
      <w:pPr>
        <w:pStyle w:val="Nagwek2"/>
        <w:ind w:left="851" w:hanging="851"/>
        <w:rPr>
          <w:sz w:val="24"/>
          <w:szCs w:val="24"/>
        </w:rPr>
      </w:pPr>
      <w:r w:rsidRPr="00652E8D">
        <w:rPr>
          <w:sz w:val="24"/>
          <w:szCs w:val="24"/>
        </w:rPr>
        <w:t xml:space="preserve">    I.3.</w:t>
      </w:r>
      <w:r>
        <w:rPr>
          <w:sz w:val="24"/>
          <w:szCs w:val="24"/>
        </w:rPr>
        <w:t xml:space="preserve"> </w:t>
      </w:r>
      <w:r w:rsidR="008D2A5B">
        <w:rPr>
          <w:sz w:val="24"/>
          <w:szCs w:val="24"/>
        </w:rPr>
        <w:t xml:space="preserve">     </w:t>
      </w:r>
      <w:r>
        <w:rPr>
          <w:sz w:val="24"/>
          <w:szCs w:val="24"/>
        </w:rPr>
        <w:t xml:space="preserve">Charakterystyka, zakres oraz warunki formalnoprawne usług dystrybucji </w:t>
      </w:r>
      <w:r>
        <w:rPr>
          <w:sz w:val="24"/>
          <w:szCs w:val="24"/>
        </w:rPr>
        <w:br/>
        <w:t>świadczone przez ID Sp. z o.o.</w:t>
      </w:r>
      <w:r w:rsidR="00C4362D">
        <w:rPr>
          <w:sz w:val="24"/>
          <w:szCs w:val="24"/>
        </w:rPr>
        <w:t xml:space="preserve"> </w:t>
      </w:r>
      <w:r w:rsidR="008D2A5B">
        <w:rPr>
          <w:sz w:val="24"/>
          <w:szCs w:val="24"/>
        </w:rPr>
        <w:t>_</w:t>
      </w:r>
      <w:r w:rsidR="0019728B">
        <w:rPr>
          <w:sz w:val="24"/>
          <w:szCs w:val="24"/>
        </w:rPr>
        <w:t>____</w:t>
      </w:r>
      <w:r w:rsidR="00C4362D">
        <w:rPr>
          <w:sz w:val="24"/>
          <w:szCs w:val="24"/>
        </w:rPr>
        <w:t>_________________________</w:t>
      </w:r>
      <w:r w:rsidR="00384CAB">
        <w:rPr>
          <w:sz w:val="24"/>
          <w:szCs w:val="24"/>
        </w:rPr>
        <w:t>__</w:t>
      </w:r>
      <w:r w:rsidR="00C4362D">
        <w:rPr>
          <w:sz w:val="24"/>
          <w:szCs w:val="24"/>
        </w:rPr>
        <w:t xml:space="preserve">________ </w:t>
      </w:r>
      <w:r w:rsidR="00C90447">
        <w:rPr>
          <w:sz w:val="24"/>
          <w:szCs w:val="24"/>
        </w:rPr>
        <w:t>10</w:t>
      </w:r>
    </w:p>
    <w:p w14:paraId="11A873D5" w14:textId="16403C07" w:rsidR="00652E8D" w:rsidRDefault="00652E8D" w:rsidP="000823D0">
      <w:pPr>
        <w:pStyle w:val="Nagwek2"/>
        <w:ind w:left="851" w:hanging="851"/>
        <w:rPr>
          <w:sz w:val="24"/>
          <w:szCs w:val="24"/>
        </w:rPr>
      </w:pPr>
      <w:r>
        <w:rPr>
          <w:sz w:val="24"/>
          <w:szCs w:val="24"/>
        </w:rPr>
        <w:t xml:space="preserve">    I.4.     </w:t>
      </w:r>
      <w:r w:rsidR="008D2A5B">
        <w:rPr>
          <w:sz w:val="24"/>
          <w:szCs w:val="24"/>
        </w:rPr>
        <w:t xml:space="preserve"> </w:t>
      </w:r>
      <w:r>
        <w:rPr>
          <w:sz w:val="24"/>
          <w:szCs w:val="24"/>
        </w:rPr>
        <w:t>Ogólne standardy jakościowe obsługi użytkowników systemu</w:t>
      </w:r>
      <w:r w:rsidR="00D5704C">
        <w:rPr>
          <w:sz w:val="24"/>
          <w:szCs w:val="24"/>
        </w:rPr>
        <w:t xml:space="preserve"> </w:t>
      </w:r>
      <w:r>
        <w:rPr>
          <w:sz w:val="24"/>
          <w:szCs w:val="24"/>
        </w:rPr>
        <w:t>dystrybucyjnego</w:t>
      </w:r>
      <w:r w:rsidR="00C4362D">
        <w:rPr>
          <w:sz w:val="24"/>
          <w:szCs w:val="24"/>
        </w:rPr>
        <w:t xml:space="preserve"> </w:t>
      </w:r>
      <w:r w:rsidR="008D2A5B">
        <w:rPr>
          <w:sz w:val="24"/>
          <w:szCs w:val="24"/>
        </w:rPr>
        <w:t>_</w:t>
      </w:r>
      <w:r w:rsidR="00C4362D">
        <w:rPr>
          <w:sz w:val="24"/>
          <w:szCs w:val="24"/>
        </w:rPr>
        <w:t>___________________</w:t>
      </w:r>
      <w:r w:rsidR="0019728B">
        <w:rPr>
          <w:sz w:val="24"/>
          <w:szCs w:val="24"/>
        </w:rPr>
        <w:t>____</w:t>
      </w:r>
      <w:r w:rsidR="00C4362D">
        <w:rPr>
          <w:sz w:val="24"/>
          <w:szCs w:val="24"/>
        </w:rPr>
        <w:t>__________________</w:t>
      </w:r>
      <w:r w:rsidR="00384CAB">
        <w:rPr>
          <w:sz w:val="24"/>
          <w:szCs w:val="24"/>
        </w:rPr>
        <w:t>__</w:t>
      </w:r>
      <w:r w:rsidR="00C4362D">
        <w:rPr>
          <w:sz w:val="24"/>
          <w:szCs w:val="24"/>
        </w:rPr>
        <w:t>________ 1</w:t>
      </w:r>
      <w:r w:rsidR="008D2A5B">
        <w:rPr>
          <w:sz w:val="24"/>
          <w:szCs w:val="24"/>
        </w:rPr>
        <w:t>1</w:t>
      </w:r>
    </w:p>
    <w:p w14:paraId="2F5FC32F" w14:textId="1A1C7CBC" w:rsidR="00D5704C" w:rsidRPr="00D5704C" w:rsidRDefault="00D5704C" w:rsidP="00D5704C">
      <w:pPr>
        <w:pStyle w:val="Nagwek2"/>
        <w:rPr>
          <w:color w:val="0B769F" w:themeColor="accent4" w:themeShade="BF"/>
          <w:sz w:val="24"/>
          <w:szCs w:val="24"/>
        </w:rPr>
      </w:pPr>
      <w:r>
        <w:rPr>
          <w:b/>
          <w:bCs/>
        </w:rPr>
        <w:t xml:space="preserve">   </w:t>
      </w:r>
      <w:r w:rsidRPr="00D5704C">
        <w:rPr>
          <w:b/>
          <w:bCs/>
          <w:color w:val="0B769F" w:themeColor="accent4" w:themeShade="BF"/>
          <w:sz w:val="24"/>
          <w:szCs w:val="24"/>
        </w:rPr>
        <w:t xml:space="preserve">I.5.     </w:t>
      </w:r>
      <w:r w:rsidRPr="00D5704C">
        <w:rPr>
          <w:color w:val="0B769F" w:themeColor="accent4" w:themeShade="BF"/>
          <w:sz w:val="24"/>
          <w:szCs w:val="24"/>
        </w:rPr>
        <w:t>REJESTR MAGAZYNÓW ENERGII ELEKTRYCZNEJ_____</w:t>
      </w:r>
      <w:r>
        <w:rPr>
          <w:color w:val="0B769F" w:themeColor="accent4" w:themeShade="BF"/>
          <w:sz w:val="24"/>
          <w:szCs w:val="24"/>
        </w:rPr>
        <w:t>___________</w:t>
      </w:r>
      <w:r w:rsidRPr="00D5704C">
        <w:rPr>
          <w:color w:val="0B769F" w:themeColor="accent4" w:themeShade="BF"/>
          <w:sz w:val="24"/>
          <w:szCs w:val="24"/>
        </w:rPr>
        <w:t>_______12</w:t>
      </w:r>
    </w:p>
    <w:p w14:paraId="06707AFD" w14:textId="48AFB386" w:rsidR="00652E8D" w:rsidRDefault="00652E8D" w:rsidP="0064053B">
      <w:pPr>
        <w:pStyle w:val="Nagwek1"/>
        <w:numPr>
          <w:ilvl w:val="0"/>
          <w:numId w:val="62"/>
        </w:numPr>
        <w:ind w:left="851" w:hanging="709"/>
        <w:rPr>
          <w:rFonts w:ascii="Garamond" w:hAnsi="Garamond"/>
          <w:sz w:val="24"/>
          <w:szCs w:val="24"/>
        </w:rPr>
      </w:pPr>
      <w:r>
        <w:rPr>
          <w:rFonts w:ascii="Garamond" w:hAnsi="Garamond"/>
          <w:sz w:val="24"/>
          <w:szCs w:val="24"/>
        </w:rPr>
        <w:t xml:space="preserve">Przyłączenie do sieci dystrybucyjnej wytwórców, sieci urządzeń odbiorców końcowych </w:t>
      </w:r>
      <w:r w:rsidR="00C4362D">
        <w:rPr>
          <w:rFonts w:ascii="Garamond" w:hAnsi="Garamond"/>
          <w:sz w:val="24"/>
          <w:szCs w:val="24"/>
        </w:rPr>
        <w:t>________________________________</w:t>
      </w:r>
      <w:r w:rsidR="0019728B">
        <w:rPr>
          <w:rFonts w:ascii="Garamond" w:hAnsi="Garamond"/>
          <w:sz w:val="24"/>
          <w:szCs w:val="24"/>
        </w:rPr>
        <w:t>___</w:t>
      </w:r>
      <w:r w:rsidR="00C4362D">
        <w:rPr>
          <w:rFonts w:ascii="Garamond" w:hAnsi="Garamond"/>
          <w:sz w:val="24"/>
          <w:szCs w:val="24"/>
        </w:rPr>
        <w:t>__________</w:t>
      </w:r>
      <w:r w:rsidR="00384CAB">
        <w:rPr>
          <w:rFonts w:ascii="Garamond" w:hAnsi="Garamond"/>
          <w:sz w:val="24"/>
          <w:szCs w:val="24"/>
        </w:rPr>
        <w:t>____</w:t>
      </w:r>
      <w:r w:rsidR="00C4362D">
        <w:rPr>
          <w:rFonts w:ascii="Garamond" w:hAnsi="Garamond"/>
          <w:sz w:val="24"/>
          <w:szCs w:val="24"/>
        </w:rPr>
        <w:t>_____</w:t>
      </w:r>
      <w:r w:rsidR="005A5594">
        <w:rPr>
          <w:rFonts w:ascii="Garamond" w:hAnsi="Garamond"/>
          <w:sz w:val="24"/>
          <w:szCs w:val="24"/>
        </w:rPr>
        <w:t>_</w:t>
      </w:r>
      <w:r w:rsidR="00C4362D">
        <w:rPr>
          <w:rFonts w:ascii="Garamond" w:hAnsi="Garamond"/>
          <w:sz w:val="24"/>
          <w:szCs w:val="24"/>
        </w:rPr>
        <w:t>__ 1</w:t>
      </w:r>
      <w:r w:rsidR="00C90447">
        <w:rPr>
          <w:rFonts w:ascii="Garamond" w:hAnsi="Garamond"/>
          <w:sz w:val="24"/>
          <w:szCs w:val="24"/>
        </w:rPr>
        <w:t>3</w:t>
      </w:r>
    </w:p>
    <w:p w14:paraId="242AEFC3" w14:textId="313AAD55" w:rsidR="00EC14FB" w:rsidRDefault="00EC14FB" w:rsidP="000823D0">
      <w:pPr>
        <w:pStyle w:val="Nagwek2"/>
        <w:ind w:left="851" w:hanging="851"/>
        <w:rPr>
          <w:sz w:val="24"/>
          <w:szCs w:val="24"/>
        </w:rPr>
      </w:pPr>
      <w:r w:rsidRPr="00EC14FB">
        <w:rPr>
          <w:sz w:val="24"/>
          <w:szCs w:val="24"/>
        </w:rPr>
        <w:t xml:space="preserve">   II.1.  </w:t>
      </w:r>
      <w:r w:rsidR="008D2A5B">
        <w:rPr>
          <w:sz w:val="24"/>
          <w:szCs w:val="24"/>
        </w:rPr>
        <w:t xml:space="preserve"> </w:t>
      </w:r>
      <w:r w:rsidR="00030736">
        <w:rPr>
          <w:sz w:val="24"/>
          <w:szCs w:val="24"/>
        </w:rPr>
        <w:t xml:space="preserve"> </w:t>
      </w:r>
      <w:r w:rsidR="005A5594">
        <w:rPr>
          <w:sz w:val="24"/>
          <w:szCs w:val="24"/>
        </w:rPr>
        <w:t xml:space="preserve"> </w:t>
      </w:r>
      <w:r w:rsidRPr="00EC14FB">
        <w:rPr>
          <w:sz w:val="24"/>
          <w:szCs w:val="24"/>
        </w:rPr>
        <w:t>Zasady przyłączania</w:t>
      </w:r>
      <w:r w:rsidR="00C4362D">
        <w:rPr>
          <w:sz w:val="24"/>
          <w:szCs w:val="24"/>
        </w:rPr>
        <w:t xml:space="preserve"> _______</w:t>
      </w:r>
      <w:r w:rsidR="0019728B">
        <w:rPr>
          <w:sz w:val="24"/>
          <w:szCs w:val="24"/>
        </w:rPr>
        <w:t>___</w:t>
      </w:r>
      <w:r w:rsidR="00C4362D">
        <w:rPr>
          <w:sz w:val="24"/>
          <w:szCs w:val="24"/>
        </w:rPr>
        <w:t>______________________________</w:t>
      </w:r>
      <w:r w:rsidR="00384CAB">
        <w:rPr>
          <w:sz w:val="24"/>
          <w:szCs w:val="24"/>
        </w:rPr>
        <w:t>____</w:t>
      </w:r>
      <w:r w:rsidR="00C4362D">
        <w:rPr>
          <w:sz w:val="24"/>
          <w:szCs w:val="24"/>
        </w:rPr>
        <w:t>____ 1</w:t>
      </w:r>
      <w:r w:rsidR="00C90447">
        <w:rPr>
          <w:sz w:val="24"/>
          <w:szCs w:val="24"/>
        </w:rPr>
        <w:t>3</w:t>
      </w:r>
    </w:p>
    <w:p w14:paraId="77CE50F1" w14:textId="498E8E05" w:rsidR="00685EEC" w:rsidRPr="00685EEC" w:rsidRDefault="00685EEC" w:rsidP="00685EEC">
      <w:pPr>
        <w:pStyle w:val="Nagwek2"/>
        <w:rPr>
          <w:color w:val="0B769F" w:themeColor="accent4" w:themeShade="BF"/>
          <w:sz w:val="24"/>
          <w:szCs w:val="24"/>
        </w:rPr>
      </w:pPr>
      <w:r>
        <w:rPr>
          <w:color w:val="0B769F" w:themeColor="accent4" w:themeShade="BF"/>
          <w:sz w:val="24"/>
          <w:szCs w:val="24"/>
        </w:rPr>
        <w:t xml:space="preserve">   </w:t>
      </w:r>
      <w:r w:rsidRPr="00685EEC">
        <w:rPr>
          <w:color w:val="0B769F" w:themeColor="accent4" w:themeShade="BF"/>
          <w:sz w:val="24"/>
          <w:szCs w:val="24"/>
        </w:rPr>
        <w:t xml:space="preserve">II.2. </w:t>
      </w:r>
      <w:r w:rsidR="005A5594">
        <w:rPr>
          <w:color w:val="0B769F" w:themeColor="accent4" w:themeShade="BF"/>
          <w:sz w:val="24"/>
          <w:szCs w:val="24"/>
        </w:rPr>
        <w:t xml:space="preserve">    </w:t>
      </w:r>
      <w:r w:rsidRPr="00685EEC">
        <w:rPr>
          <w:color w:val="0B769F" w:themeColor="accent4" w:themeShade="BF"/>
          <w:sz w:val="24"/>
          <w:szCs w:val="24"/>
        </w:rPr>
        <w:t>ZASADY WZAJEMNEGO POŁĄCZENIA SIECI Z INNYMI OPERATORAMI</w:t>
      </w:r>
      <w:r>
        <w:rPr>
          <w:color w:val="0B769F" w:themeColor="accent4" w:themeShade="BF"/>
          <w:sz w:val="24"/>
          <w:szCs w:val="24"/>
        </w:rPr>
        <w:t>___20</w:t>
      </w:r>
    </w:p>
    <w:p w14:paraId="1E3CD9FE" w14:textId="765073BC" w:rsidR="00EC14FB" w:rsidRDefault="00EC14FB" w:rsidP="000823D0">
      <w:pPr>
        <w:pStyle w:val="Nagwek2"/>
        <w:ind w:left="851" w:hanging="851"/>
        <w:rPr>
          <w:sz w:val="24"/>
          <w:szCs w:val="24"/>
        </w:rPr>
      </w:pPr>
      <w:r w:rsidRPr="00EC14FB">
        <w:rPr>
          <w:sz w:val="24"/>
          <w:szCs w:val="24"/>
        </w:rPr>
        <w:t xml:space="preserve">  </w:t>
      </w:r>
      <w:r w:rsidR="00685EEC">
        <w:rPr>
          <w:sz w:val="24"/>
          <w:szCs w:val="24"/>
        </w:rPr>
        <w:t xml:space="preserve"> </w:t>
      </w:r>
      <w:r w:rsidRPr="00EC14FB">
        <w:rPr>
          <w:sz w:val="24"/>
          <w:szCs w:val="24"/>
        </w:rPr>
        <w:t>II.</w:t>
      </w:r>
      <w:r w:rsidR="00685EEC">
        <w:rPr>
          <w:sz w:val="24"/>
          <w:szCs w:val="24"/>
        </w:rPr>
        <w:t>3</w:t>
      </w:r>
      <w:r w:rsidRPr="00EC14FB">
        <w:rPr>
          <w:sz w:val="24"/>
          <w:szCs w:val="24"/>
        </w:rPr>
        <w:t xml:space="preserve">.   </w:t>
      </w:r>
      <w:r w:rsidR="00030736">
        <w:rPr>
          <w:sz w:val="24"/>
          <w:szCs w:val="24"/>
        </w:rPr>
        <w:t xml:space="preserve"> </w:t>
      </w:r>
      <w:r w:rsidR="005A5594">
        <w:rPr>
          <w:sz w:val="24"/>
          <w:szCs w:val="24"/>
        </w:rPr>
        <w:t xml:space="preserve"> </w:t>
      </w:r>
      <w:r w:rsidRPr="00EC14FB">
        <w:rPr>
          <w:sz w:val="24"/>
          <w:szCs w:val="24"/>
        </w:rPr>
        <w:t>Zasady odłączania</w:t>
      </w:r>
      <w:r w:rsidR="0019728B">
        <w:rPr>
          <w:sz w:val="24"/>
          <w:szCs w:val="24"/>
        </w:rPr>
        <w:t xml:space="preserve"> </w:t>
      </w:r>
      <w:r w:rsidR="00C4362D">
        <w:rPr>
          <w:sz w:val="24"/>
          <w:szCs w:val="24"/>
        </w:rPr>
        <w:t>____________</w:t>
      </w:r>
      <w:r w:rsidR="0019728B">
        <w:rPr>
          <w:sz w:val="24"/>
          <w:szCs w:val="24"/>
        </w:rPr>
        <w:t>___</w:t>
      </w:r>
      <w:r w:rsidR="00C4362D">
        <w:rPr>
          <w:sz w:val="24"/>
          <w:szCs w:val="24"/>
        </w:rPr>
        <w:t>__________________________</w:t>
      </w:r>
      <w:r w:rsidR="00384CAB">
        <w:rPr>
          <w:sz w:val="24"/>
          <w:szCs w:val="24"/>
        </w:rPr>
        <w:t>____</w:t>
      </w:r>
      <w:r w:rsidR="00C4362D">
        <w:rPr>
          <w:sz w:val="24"/>
          <w:szCs w:val="24"/>
        </w:rPr>
        <w:t>__</w:t>
      </w:r>
      <w:r w:rsidR="005A5594">
        <w:rPr>
          <w:sz w:val="24"/>
          <w:szCs w:val="24"/>
        </w:rPr>
        <w:t>_</w:t>
      </w:r>
      <w:r w:rsidR="00C4362D">
        <w:rPr>
          <w:sz w:val="24"/>
          <w:szCs w:val="24"/>
        </w:rPr>
        <w:t xml:space="preserve">__ </w:t>
      </w:r>
      <w:r w:rsidR="00384CAB">
        <w:rPr>
          <w:sz w:val="24"/>
          <w:szCs w:val="24"/>
        </w:rPr>
        <w:t>2</w:t>
      </w:r>
      <w:r w:rsidR="00C90447">
        <w:rPr>
          <w:sz w:val="24"/>
          <w:szCs w:val="24"/>
        </w:rPr>
        <w:t>0</w:t>
      </w:r>
    </w:p>
    <w:p w14:paraId="1F83AA0F" w14:textId="0C9D65B0" w:rsidR="00EC14FB" w:rsidRDefault="00EC14FB" w:rsidP="000823D0">
      <w:pPr>
        <w:pStyle w:val="Nagwek2"/>
        <w:ind w:left="851" w:hanging="851"/>
        <w:rPr>
          <w:sz w:val="24"/>
          <w:szCs w:val="24"/>
        </w:rPr>
      </w:pPr>
      <w:r w:rsidRPr="00EC14FB">
        <w:rPr>
          <w:sz w:val="24"/>
          <w:szCs w:val="24"/>
        </w:rPr>
        <w:t xml:space="preserve">   II.</w:t>
      </w:r>
      <w:r w:rsidR="00685EEC">
        <w:rPr>
          <w:sz w:val="24"/>
          <w:szCs w:val="24"/>
        </w:rPr>
        <w:t>4</w:t>
      </w:r>
      <w:r w:rsidRPr="00EC14FB">
        <w:rPr>
          <w:sz w:val="24"/>
          <w:szCs w:val="24"/>
        </w:rPr>
        <w:t xml:space="preserve">.   </w:t>
      </w:r>
      <w:r w:rsidR="00030736">
        <w:rPr>
          <w:sz w:val="24"/>
          <w:szCs w:val="24"/>
        </w:rPr>
        <w:t xml:space="preserve"> </w:t>
      </w:r>
      <w:r w:rsidR="005A5594">
        <w:rPr>
          <w:sz w:val="24"/>
          <w:szCs w:val="24"/>
        </w:rPr>
        <w:t xml:space="preserve"> </w:t>
      </w:r>
      <w:r w:rsidRPr="00EC14FB">
        <w:rPr>
          <w:sz w:val="24"/>
          <w:szCs w:val="24"/>
        </w:rPr>
        <w:t>Zasady wstrzymywania oraz wznawiania dostarczania energii elektrycznej</w:t>
      </w:r>
      <w:r w:rsidR="005A5594">
        <w:rPr>
          <w:sz w:val="24"/>
          <w:szCs w:val="24"/>
        </w:rPr>
        <w:t>________________________________________________________21</w:t>
      </w:r>
    </w:p>
    <w:p w14:paraId="605F37EE" w14:textId="77777777" w:rsidR="005A5594" w:rsidRPr="005A5594" w:rsidRDefault="00EC14FB" w:rsidP="00C90447">
      <w:pPr>
        <w:pStyle w:val="Nagwek2"/>
        <w:ind w:left="709" w:hanging="567"/>
        <w:rPr>
          <w:sz w:val="24"/>
          <w:szCs w:val="24"/>
        </w:rPr>
      </w:pPr>
      <w:r>
        <w:rPr>
          <w:sz w:val="24"/>
          <w:szCs w:val="24"/>
        </w:rPr>
        <w:t>II.</w:t>
      </w:r>
      <w:r w:rsidR="00685EEC">
        <w:rPr>
          <w:sz w:val="24"/>
          <w:szCs w:val="24"/>
        </w:rPr>
        <w:t>5</w:t>
      </w:r>
      <w:r>
        <w:rPr>
          <w:sz w:val="24"/>
          <w:szCs w:val="24"/>
        </w:rPr>
        <w:t xml:space="preserve">.   </w:t>
      </w:r>
      <w:r w:rsidR="00030736">
        <w:rPr>
          <w:sz w:val="24"/>
          <w:szCs w:val="24"/>
        </w:rPr>
        <w:t xml:space="preserve"> </w:t>
      </w:r>
      <w:r w:rsidR="005A5594">
        <w:rPr>
          <w:sz w:val="24"/>
          <w:szCs w:val="24"/>
        </w:rPr>
        <w:t xml:space="preserve"> </w:t>
      </w:r>
      <w:r w:rsidR="005A5594" w:rsidRPr="005A5594">
        <w:rPr>
          <w:sz w:val="24"/>
          <w:szCs w:val="24"/>
        </w:rPr>
        <w:t xml:space="preserve">Wymagania techniczne dla urządzeń wytwórczych, sieci, urządzeń     </w:t>
      </w:r>
    </w:p>
    <w:p w14:paraId="123A49CD" w14:textId="77777777" w:rsidR="005A5594" w:rsidRPr="005A5594" w:rsidRDefault="005A5594" w:rsidP="00C90447">
      <w:pPr>
        <w:pStyle w:val="Nagwek2"/>
        <w:ind w:left="709" w:hanging="567"/>
        <w:rPr>
          <w:sz w:val="24"/>
          <w:szCs w:val="24"/>
        </w:rPr>
      </w:pPr>
      <w:r w:rsidRPr="005A5594">
        <w:rPr>
          <w:sz w:val="24"/>
          <w:szCs w:val="24"/>
        </w:rPr>
        <w:t xml:space="preserve">             odbiorców, połączeń międzysystemowych, linii bezpośrednich oraz  </w:t>
      </w:r>
    </w:p>
    <w:p w14:paraId="191FD18D" w14:textId="62A530DD" w:rsidR="00EC14FB" w:rsidRDefault="005A5594" w:rsidP="005A5594">
      <w:pPr>
        <w:pStyle w:val="Nagwek2"/>
        <w:rPr>
          <w:sz w:val="24"/>
          <w:szCs w:val="24"/>
        </w:rPr>
      </w:pPr>
      <w:r w:rsidRPr="005A5594">
        <w:rPr>
          <w:sz w:val="24"/>
          <w:szCs w:val="24"/>
        </w:rPr>
        <w:t xml:space="preserve">                układów i systemów pomiarowo rozliczeniowych</w:t>
      </w:r>
      <w:r w:rsidR="00C4362D">
        <w:rPr>
          <w:sz w:val="24"/>
          <w:szCs w:val="24"/>
        </w:rPr>
        <w:t>_______</w:t>
      </w:r>
      <w:r>
        <w:rPr>
          <w:sz w:val="24"/>
          <w:szCs w:val="24"/>
        </w:rPr>
        <w:t>_</w:t>
      </w:r>
      <w:r w:rsidR="00C4362D">
        <w:rPr>
          <w:sz w:val="24"/>
          <w:szCs w:val="24"/>
        </w:rPr>
        <w:t>________</w:t>
      </w:r>
      <w:r w:rsidR="00384CAB">
        <w:rPr>
          <w:sz w:val="24"/>
          <w:szCs w:val="24"/>
        </w:rPr>
        <w:t>____</w:t>
      </w:r>
      <w:r>
        <w:rPr>
          <w:sz w:val="24"/>
          <w:szCs w:val="24"/>
        </w:rPr>
        <w:t>__</w:t>
      </w:r>
      <w:r w:rsidR="00384CAB">
        <w:rPr>
          <w:sz w:val="24"/>
          <w:szCs w:val="24"/>
        </w:rPr>
        <w:t>_</w:t>
      </w:r>
      <w:r w:rsidR="00C4362D">
        <w:rPr>
          <w:sz w:val="24"/>
          <w:szCs w:val="24"/>
        </w:rPr>
        <w:t>_2</w:t>
      </w:r>
      <w:r w:rsidR="00C90447">
        <w:rPr>
          <w:sz w:val="24"/>
          <w:szCs w:val="24"/>
        </w:rPr>
        <w:t>1</w:t>
      </w:r>
    </w:p>
    <w:p w14:paraId="74B6C85D" w14:textId="6FE0F159" w:rsidR="00652E8D" w:rsidRPr="009271A8" w:rsidRDefault="00652E8D" w:rsidP="0064053B">
      <w:pPr>
        <w:pStyle w:val="Nagwek1"/>
        <w:numPr>
          <w:ilvl w:val="0"/>
          <w:numId w:val="62"/>
        </w:numPr>
        <w:spacing w:before="100" w:beforeAutospacing="1" w:after="0"/>
        <w:ind w:left="709" w:hanging="567"/>
        <w:rPr>
          <w:rFonts w:asciiTheme="majorHAnsi" w:hAnsiTheme="majorHAnsi"/>
          <w:sz w:val="24"/>
          <w:szCs w:val="24"/>
        </w:rPr>
      </w:pPr>
      <w:r w:rsidRPr="009271A8">
        <w:rPr>
          <w:rFonts w:asciiTheme="majorHAnsi" w:hAnsiTheme="majorHAnsi"/>
          <w:sz w:val="24"/>
          <w:szCs w:val="24"/>
        </w:rPr>
        <w:t>Eksploatacja Urządzeń, instalacji i sieci</w:t>
      </w:r>
      <w:r w:rsidR="0064053B">
        <w:rPr>
          <w:rFonts w:asciiTheme="majorHAnsi" w:hAnsiTheme="majorHAnsi"/>
          <w:sz w:val="24"/>
          <w:szCs w:val="24"/>
        </w:rPr>
        <w:t>______</w:t>
      </w:r>
      <w:r w:rsidR="00C4362D">
        <w:rPr>
          <w:rFonts w:asciiTheme="majorHAnsi" w:hAnsiTheme="majorHAnsi"/>
          <w:sz w:val="24"/>
          <w:szCs w:val="24"/>
        </w:rPr>
        <w:t xml:space="preserve">__________________________ </w:t>
      </w:r>
      <w:r w:rsidR="00C90447">
        <w:rPr>
          <w:rFonts w:asciiTheme="majorHAnsi" w:hAnsiTheme="majorHAnsi"/>
          <w:sz w:val="24"/>
          <w:szCs w:val="24"/>
        </w:rPr>
        <w:t>39</w:t>
      </w:r>
    </w:p>
    <w:p w14:paraId="23319631" w14:textId="0B7051CF" w:rsidR="009271A8" w:rsidRPr="00D2057C" w:rsidRDefault="009271A8" w:rsidP="000823D0">
      <w:pPr>
        <w:pStyle w:val="Nagwek2"/>
        <w:ind w:left="851" w:hanging="851"/>
        <w:rPr>
          <w:rFonts w:asciiTheme="majorHAnsi" w:hAnsiTheme="majorHAnsi"/>
          <w:sz w:val="24"/>
          <w:szCs w:val="24"/>
        </w:rPr>
      </w:pPr>
      <w:r w:rsidRPr="00D2057C">
        <w:rPr>
          <w:rFonts w:asciiTheme="majorHAnsi" w:hAnsiTheme="majorHAnsi"/>
          <w:sz w:val="24"/>
          <w:szCs w:val="24"/>
        </w:rPr>
        <w:t xml:space="preserve">     III.1   Przepisy ogólne</w:t>
      </w:r>
      <w:r w:rsidR="0019728B">
        <w:rPr>
          <w:rFonts w:asciiTheme="majorHAnsi" w:hAnsiTheme="majorHAnsi"/>
          <w:sz w:val="24"/>
          <w:szCs w:val="24"/>
        </w:rPr>
        <w:t xml:space="preserve"> </w:t>
      </w:r>
      <w:r w:rsidR="0064053B">
        <w:rPr>
          <w:rFonts w:asciiTheme="majorHAnsi" w:hAnsiTheme="majorHAnsi"/>
          <w:sz w:val="24"/>
          <w:szCs w:val="24"/>
        </w:rPr>
        <w:t>____________</w:t>
      </w:r>
      <w:r w:rsidR="00C4362D">
        <w:rPr>
          <w:rFonts w:asciiTheme="majorHAnsi" w:hAnsiTheme="majorHAnsi"/>
          <w:sz w:val="24"/>
          <w:szCs w:val="24"/>
        </w:rPr>
        <w:t>___________________________________</w:t>
      </w:r>
      <w:r w:rsidR="004C7016">
        <w:rPr>
          <w:rFonts w:asciiTheme="majorHAnsi" w:hAnsiTheme="majorHAnsi"/>
          <w:sz w:val="24"/>
          <w:szCs w:val="24"/>
        </w:rPr>
        <w:t>_</w:t>
      </w:r>
      <w:r w:rsidR="00C4362D">
        <w:rPr>
          <w:rFonts w:asciiTheme="majorHAnsi" w:hAnsiTheme="majorHAnsi"/>
          <w:sz w:val="24"/>
          <w:szCs w:val="24"/>
        </w:rPr>
        <w:t>_____</w:t>
      </w:r>
      <w:r w:rsidR="00C90447">
        <w:rPr>
          <w:rFonts w:asciiTheme="majorHAnsi" w:hAnsiTheme="majorHAnsi"/>
          <w:sz w:val="24"/>
          <w:szCs w:val="24"/>
        </w:rPr>
        <w:t>39</w:t>
      </w:r>
    </w:p>
    <w:p w14:paraId="405B99C3" w14:textId="44642411" w:rsidR="009271A8" w:rsidRDefault="009271A8" w:rsidP="000823D0">
      <w:pPr>
        <w:pStyle w:val="Nagwek2"/>
        <w:ind w:left="851" w:hanging="851"/>
        <w:rPr>
          <w:sz w:val="24"/>
          <w:szCs w:val="24"/>
        </w:rPr>
      </w:pPr>
      <w:r w:rsidRPr="00D2057C">
        <w:rPr>
          <w:sz w:val="24"/>
          <w:szCs w:val="24"/>
        </w:rPr>
        <w:t xml:space="preserve">     III.</w:t>
      </w:r>
      <w:r w:rsidR="00D2057C" w:rsidRPr="00D2057C">
        <w:rPr>
          <w:sz w:val="24"/>
          <w:szCs w:val="24"/>
        </w:rPr>
        <w:t>2.  Przyjmowanie urządzeń, instalacji i sieci do eksploatacji</w:t>
      </w:r>
      <w:r w:rsidR="0019728B">
        <w:rPr>
          <w:sz w:val="24"/>
          <w:szCs w:val="24"/>
        </w:rPr>
        <w:t xml:space="preserve"> </w:t>
      </w:r>
      <w:r w:rsidR="0064053B">
        <w:rPr>
          <w:sz w:val="24"/>
          <w:szCs w:val="24"/>
        </w:rPr>
        <w:t>_____</w:t>
      </w:r>
      <w:r w:rsidR="00384CAB">
        <w:rPr>
          <w:sz w:val="24"/>
          <w:szCs w:val="24"/>
        </w:rPr>
        <w:t>___________ 4</w:t>
      </w:r>
      <w:r w:rsidR="00C90447">
        <w:rPr>
          <w:sz w:val="24"/>
          <w:szCs w:val="24"/>
        </w:rPr>
        <w:t>0</w:t>
      </w:r>
    </w:p>
    <w:p w14:paraId="15269E04" w14:textId="30F57E30" w:rsidR="00D2057C" w:rsidRPr="00D2057C" w:rsidRDefault="00D2057C" w:rsidP="000823D0">
      <w:pPr>
        <w:pStyle w:val="Nagwek2"/>
        <w:ind w:left="851" w:hanging="851"/>
        <w:rPr>
          <w:sz w:val="24"/>
          <w:szCs w:val="24"/>
        </w:rPr>
      </w:pPr>
      <w:r w:rsidRPr="00D2057C">
        <w:rPr>
          <w:sz w:val="24"/>
          <w:szCs w:val="24"/>
        </w:rPr>
        <w:t xml:space="preserve">     III.3.  Przekazywanie urządzeń do remontu lub wycofanie z </w:t>
      </w:r>
      <w:r>
        <w:rPr>
          <w:sz w:val="24"/>
          <w:szCs w:val="24"/>
        </w:rPr>
        <w:t>e</w:t>
      </w:r>
      <w:r w:rsidRPr="00D2057C">
        <w:rPr>
          <w:sz w:val="24"/>
          <w:szCs w:val="24"/>
        </w:rPr>
        <w:t>ksploatacji</w:t>
      </w:r>
      <w:r w:rsidR="0019728B">
        <w:rPr>
          <w:sz w:val="24"/>
          <w:szCs w:val="24"/>
        </w:rPr>
        <w:t xml:space="preserve"> </w:t>
      </w:r>
      <w:r w:rsidR="0064053B">
        <w:rPr>
          <w:sz w:val="24"/>
          <w:szCs w:val="24"/>
        </w:rPr>
        <w:t>___</w:t>
      </w:r>
      <w:r w:rsidR="0019728B">
        <w:rPr>
          <w:sz w:val="24"/>
          <w:szCs w:val="24"/>
        </w:rPr>
        <w:t>_</w:t>
      </w:r>
      <w:r w:rsidR="00384CAB">
        <w:rPr>
          <w:sz w:val="24"/>
          <w:szCs w:val="24"/>
        </w:rPr>
        <w:t>__ 4</w:t>
      </w:r>
      <w:r w:rsidR="00733A15">
        <w:rPr>
          <w:sz w:val="24"/>
          <w:szCs w:val="24"/>
        </w:rPr>
        <w:t>0</w:t>
      </w:r>
    </w:p>
    <w:p w14:paraId="0588C092" w14:textId="36FD699F" w:rsidR="00D2057C" w:rsidRPr="00D2057C" w:rsidRDefault="00D2057C" w:rsidP="000823D0">
      <w:pPr>
        <w:pStyle w:val="Nagwek2"/>
        <w:ind w:left="851" w:hanging="851"/>
        <w:rPr>
          <w:sz w:val="24"/>
          <w:szCs w:val="24"/>
        </w:rPr>
      </w:pPr>
      <w:r w:rsidRPr="00D2057C">
        <w:rPr>
          <w:sz w:val="24"/>
          <w:szCs w:val="24"/>
        </w:rPr>
        <w:t xml:space="preserve">     III.4.  Uzgodnienie prac eksploatacyjnych z PGE Dystrybucja S.A.</w:t>
      </w:r>
      <w:r w:rsidR="0019728B">
        <w:rPr>
          <w:sz w:val="24"/>
          <w:szCs w:val="24"/>
        </w:rPr>
        <w:t xml:space="preserve"> </w:t>
      </w:r>
      <w:r w:rsidR="0064053B">
        <w:rPr>
          <w:sz w:val="24"/>
          <w:szCs w:val="24"/>
        </w:rPr>
        <w:t>______</w:t>
      </w:r>
      <w:r w:rsidR="00384CAB">
        <w:rPr>
          <w:sz w:val="24"/>
          <w:szCs w:val="24"/>
        </w:rPr>
        <w:t>________4</w:t>
      </w:r>
      <w:r w:rsidR="00733A15">
        <w:rPr>
          <w:sz w:val="24"/>
          <w:szCs w:val="24"/>
        </w:rPr>
        <w:t>0</w:t>
      </w:r>
    </w:p>
    <w:p w14:paraId="6A504E98" w14:textId="08316FA4" w:rsidR="00D2057C" w:rsidRDefault="00BD127A" w:rsidP="00BD127A">
      <w:pPr>
        <w:pStyle w:val="Nagwek2"/>
        <w:ind w:left="851" w:hanging="851"/>
        <w:rPr>
          <w:sz w:val="24"/>
          <w:szCs w:val="24"/>
        </w:rPr>
      </w:pPr>
      <w:r>
        <w:rPr>
          <w:sz w:val="24"/>
          <w:szCs w:val="24"/>
        </w:rPr>
        <w:t xml:space="preserve">     </w:t>
      </w:r>
      <w:r w:rsidR="00D2057C" w:rsidRPr="00D2057C">
        <w:rPr>
          <w:sz w:val="24"/>
          <w:szCs w:val="24"/>
        </w:rPr>
        <w:t>III.5.  Dokumentacja techniczna i prawna</w:t>
      </w:r>
      <w:r w:rsidR="0019728B">
        <w:rPr>
          <w:sz w:val="24"/>
          <w:szCs w:val="24"/>
        </w:rPr>
        <w:t xml:space="preserve"> </w:t>
      </w:r>
      <w:r w:rsidR="0064053B">
        <w:rPr>
          <w:sz w:val="24"/>
          <w:szCs w:val="24"/>
        </w:rPr>
        <w:t>____</w:t>
      </w:r>
      <w:r w:rsidR="00384CAB">
        <w:rPr>
          <w:sz w:val="24"/>
          <w:szCs w:val="24"/>
        </w:rPr>
        <w:t>__________</w:t>
      </w:r>
      <w:r w:rsidR="004C7016">
        <w:rPr>
          <w:sz w:val="24"/>
          <w:szCs w:val="24"/>
        </w:rPr>
        <w:t>__</w:t>
      </w:r>
      <w:r w:rsidR="00384CAB">
        <w:rPr>
          <w:sz w:val="24"/>
          <w:szCs w:val="24"/>
        </w:rPr>
        <w:t>___________________4</w:t>
      </w:r>
      <w:r w:rsidR="00733A15">
        <w:rPr>
          <w:sz w:val="24"/>
          <w:szCs w:val="24"/>
        </w:rPr>
        <w:t>0</w:t>
      </w:r>
    </w:p>
    <w:p w14:paraId="25E407D8" w14:textId="53A6CD65" w:rsidR="00D2057C" w:rsidRPr="004E5700" w:rsidRDefault="00BD127A" w:rsidP="000823D0">
      <w:pPr>
        <w:pStyle w:val="Nagwek2"/>
        <w:ind w:left="851" w:hanging="851"/>
        <w:rPr>
          <w:sz w:val="24"/>
          <w:szCs w:val="24"/>
        </w:rPr>
      </w:pPr>
      <w:r>
        <w:rPr>
          <w:sz w:val="24"/>
          <w:szCs w:val="24"/>
        </w:rPr>
        <w:t xml:space="preserve">     </w:t>
      </w:r>
      <w:r w:rsidR="00D2057C" w:rsidRPr="004E5700">
        <w:rPr>
          <w:sz w:val="24"/>
          <w:szCs w:val="24"/>
        </w:rPr>
        <w:t xml:space="preserve">III.6. </w:t>
      </w:r>
      <w:r w:rsidR="009434A4">
        <w:rPr>
          <w:sz w:val="24"/>
          <w:szCs w:val="24"/>
        </w:rPr>
        <w:t xml:space="preserve"> </w:t>
      </w:r>
      <w:r w:rsidR="00D2057C" w:rsidRPr="004E5700">
        <w:rPr>
          <w:sz w:val="24"/>
          <w:szCs w:val="24"/>
        </w:rPr>
        <w:t>Rezerwa urządzeń i części zapasowych</w:t>
      </w:r>
      <w:r w:rsidR="00384CAB">
        <w:rPr>
          <w:sz w:val="24"/>
          <w:szCs w:val="24"/>
        </w:rPr>
        <w:t xml:space="preserve"> </w:t>
      </w:r>
      <w:r w:rsidR="0064053B">
        <w:rPr>
          <w:sz w:val="24"/>
          <w:szCs w:val="24"/>
        </w:rPr>
        <w:t>___</w:t>
      </w:r>
      <w:r w:rsidR="00384CAB">
        <w:rPr>
          <w:sz w:val="24"/>
          <w:szCs w:val="24"/>
        </w:rPr>
        <w:t>_______</w:t>
      </w:r>
      <w:r w:rsidR="004C7016">
        <w:rPr>
          <w:sz w:val="24"/>
          <w:szCs w:val="24"/>
        </w:rPr>
        <w:t>__</w:t>
      </w:r>
      <w:r w:rsidR="00384CAB">
        <w:rPr>
          <w:sz w:val="24"/>
          <w:szCs w:val="24"/>
        </w:rPr>
        <w:t>____________________ 4</w:t>
      </w:r>
      <w:r w:rsidR="00733A15">
        <w:rPr>
          <w:sz w:val="24"/>
          <w:szCs w:val="24"/>
        </w:rPr>
        <w:t>2</w:t>
      </w:r>
    </w:p>
    <w:p w14:paraId="380DAF27" w14:textId="6D44D9DC" w:rsidR="00D2057C" w:rsidRPr="004E5700" w:rsidRDefault="00BD127A" w:rsidP="000823D0">
      <w:pPr>
        <w:pStyle w:val="Nagwek2"/>
        <w:ind w:left="851" w:hanging="851"/>
        <w:rPr>
          <w:sz w:val="24"/>
          <w:szCs w:val="24"/>
        </w:rPr>
      </w:pPr>
      <w:r>
        <w:rPr>
          <w:sz w:val="24"/>
          <w:szCs w:val="24"/>
        </w:rPr>
        <w:t xml:space="preserve">     </w:t>
      </w:r>
      <w:r w:rsidR="00D2057C" w:rsidRPr="004E5700">
        <w:rPr>
          <w:sz w:val="24"/>
          <w:szCs w:val="24"/>
        </w:rPr>
        <w:t xml:space="preserve">III.7. </w:t>
      </w:r>
      <w:r w:rsidR="009434A4">
        <w:rPr>
          <w:sz w:val="24"/>
          <w:szCs w:val="24"/>
        </w:rPr>
        <w:t xml:space="preserve"> </w:t>
      </w:r>
      <w:r w:rsidR="00D2057C" w:rsidRPr="004E5700">
        <w:rPr>
          <w:sz w:val="24"/>
          <w:szCs w:val="24"/>
        </w:rPr>
        <w:t>Wymagania informacji eksploatacyjnych</w:t>
      </w:r>
      <w:r w:rsidR="0064053B">
        <w:rPr>
          <w:sz w:val="24"/>
          <w:szCs w:val="24"/>
        </w:rPr>
        <w:t>_____</w:t>
      </w:r>
      <w:r w:rsidR="00384CAB">
        <w:rPr>
          <w:sz w:val="24"/>
          <w:szCs w:val="24"/>
        </w:rPr>
        <w:t>____</w:t>
      </w:r>
      <w:r w:rsidR="004C7016">
        <w:rPr>
          <w:sz w:val="24"/>
          <w:szCs w:val="24"/>
        </w:rPr>
        <w:t>__</w:t>
      </w:r>
      <w:r w:rsidR="00384CAB">
        <w:rPr>
          <w:sz w:val="24"/>
          <w:szCs w:val="24"/>
        </w:rPr>
        <w:t>____________________ 4</w:t>
      </w:r>
      <w:r w:rsidR="00733A15">
        <w:rPr>
          <w:sz w:val="24"/>
          <w:szCs w:val="24"/>
        </w:rPr>
        <w:t>2</w:t>
      </w:r>
    </w:p>
    <w:p w14:paraId="0005422A" w14:textId="7295A398" w:rsidR="00D2057C" w:rsidRPr="004E5700" w:rsidRDefault="00BD127A" w:rsidP="000823D0">
      <w:pPr>
        <w:pStyle w:val="Nagwek2"/>
        <w:ind w:left="851" w:hanging="851"/>
        <w:rPr>
          <w:sz w:val="24"/>
          <w:szCs w:val="24"/>
        </w:rPr>
      </w:pPr>
      <w:r>
        <w:rPr>
          <w:sz w:val="24"/>
          <w:szCs w:val="24"/>
        </w:rPr>
        <w:t xml:space="preserve">     </w:t>
      </w:r>
      <w:r w:rsidR="00D2057C" w:rsidRPr="004E5700">
        <w:rPr>
          <w:sz w:val="24"/>
          <w:szCs w:val="24"/>
        </w:rPr>
        <w:t xml:space="preserve">III.8. </w:t>
      </w:r>
      <w:r w:rsidR="009434A4">
        <w:rPr>
          <w:sz w:val="24"/>
          <w:szCs w:val="24"/>
        </w:rPr>
        <w:t xml:space="preserve"> </w:t>
      </w:r>
      <w:r w:rsidR="00D2057C" w:rsidRPr="004E5700">
        <w:rPr>
          <w:sz w:val="24"/>
          <w:szCs w:val="24"/>
        </w:rPr>
        <w:t>Ochrona środowiska naturalnego</w:t>
      </w:r>
      <w:r w:rsidR="0019728B">
        <w:rPr>
          <w:sz w:val="24"/>
          <w:szCs w:val="24"/>
        </w:rPr>
        <w:t xml:space="preserve"> </w:t>
      </w:r>
      <w:r w:rsidR="0064053B">
        <w:rPr>
          <w:sz w:val="24"/>
          <w:szCs w:val="24"/>
        </w:rPr>
        <w:t>___</w:t>
      </w:r>
      <w:r w:rsidR="00384CAB">
        <w:rPr>
          <w:sz w:val="24"/>
          <w:szCs w:val="24"/>
        </w:rPr>
        <w:t>_________</w:t>
      </w:r>
      <w:r w:rsidR="004C7016">
        <w:rPr>
          <w:sz w:val="24"/>
          <w:szCs w:val="24"/>
        </w:rPr>
        <w:t>__</w:t>
      </w:r>
      <w:r w:rsidR="00384CAB">
        <w:rPr>
          <w:sz w:val="24"/>
          <w:szCs w:val="24"/>
        </w:rPr>
        <w:t>_____________________ 4</w:t>
      </w:r>
      <w:r w:rsidR="00733A15">
        <w:rPr>
          <w:sz w:val="24"/>
          <w:szCs w:val="24"/>
        </w:rPr>
        <w:t>2</w:t>
      </w:r>
    </w:p>
    <w:p w14:paraId="64C7F450" w14:textId="5769B671" w:rsidR="00D2057C" w:rsidRPr="004E5700" w:rsidRDefault="00BD127A" w:rsidP="000823D0">
      <w:pPr>
        <w:pStyle w:val="Nagwek2"/>
        <w:ind w:left="851" w:hanging="851"/>
        <w:rPr>
          <w:sz w:val="24"/>
          <w:szCs w:val="24"/>
        </w:rPr>
      </w:pPr>
      <w:r>
        <w:rPr>
          <w:sz w:val="24"/>
          <w:szCs w:val="24"/>
        </w:rPr>
        <w:t xml:space="preserve">     </w:t>
      </w:r>
      <w:r w:rsidR="00D2057C" w:rsidRPr="004E5700">
        <w:rPr>
          <w:sz w:val="24"/>
          <w:szCs w:val="24"/>
        </w:rPr>
        <w:t xml:space="preserve">III.9. </w:t>
      </w:r>
      <w:r w:rsidR="009434A4">
        <w:rPr>
          <w:sz w:val="24"/>
          <w:szCs w:val="24"/>
        </w:rPr>
        <w:t xml:space="preserve"> </w:t>
      </w:r>
      <w:r w:rsidR="00D2057C" w:rsidRPr="004E5700">
        <w:rPr>
          <w:sz w:val="24"/>
          <w:szCs w:val="24"/>
        </w:rPr>
        <w:t>Ochrona przeciwpożarowa</w:t>
      </w:r>
      <w:r w:rsidR="00384CAB">
        <w:rPr>
          <w:sz w:val="24"/>
          <w:szCs w:val="24"/>
        </w:rPr>
        <w:t xml:space="preserve"> </w:t>
      </w:r>
      <w:r w:rsidR="0064053B">
        <w:rPr>
          <w:sz w:val="24"/>
          <w:szCs w:val="24"/>
        </w:rPr>
        <w:t>_____</w:t>
      </w:r>
      <w:r w:rsidR="00384CAB">
        <w:rPr>
          <w:sz w:val="24"/>
          <w:szCs w:val="24"/>
        </w:rPr>
        <w:t>______________</w:t>
      </w:r>
      <w:r w:rsidR="004C7016">
        <w:rPr>
          <w:sz w:val="24"/>
          <w:szCs w:val="24"/>
        </w:rPr>
        <w:t>___</w:t>
      </w:r>
      <w:r w:rsidR="00384CAB">
        <w:rPr>
          <w:sz w:val="24"/>
          <w:szCs w:val="24"/>
        </w:rPr>
        <w:t>_____________________4</w:t>
      </w:r>
      <w:r w:rsidR="00733A15">
        <w:rPr>
          <w:sz w:val="24"/>
          <w:szCs w:val="24"/>
        </w:rPr>
        <w:t>2</w:t>
      </w:r>
    </w:p>
    <w:p w14:paraId="65F47D99" w14:textId="2AA949D7" w:rsidR="00D2057C" w:rsidRPr="004E5700" w:rsidRDefault="00BD127A" w:rsidP="000823D0">
      <w:pPr>
        <w:pStyle w:val="Nagwek2"/>
        <w:ind w:left="851" w:hanging="851"/>
        <w:rPr>
          <w:sz w:val="24"/>
          <w:szCs w:val="24"/>
        </w:rPr>
      </w:pPr>
      <w:r>
        <w:rPr>
          <w:sz w:val="24"/>
          <w:szCs w:val="24"/>
        </w:rPr>
        <w:t xml:space="preserve">     </w:t>
      </w:r>
      <w:r w:rsidR="00D2057C" w:rsidRPr="004E5700">
        <w:rPr>
          <w:sz w:val="24"/>
          <w:szCs w:val="24"/>
        </w:rPr>
        <w:t>III.10.Planowane prace eksploatacyjne</w:t>
      </w:r>
      <w:r w:rsidR="00384CAB">
        <w:rPr>
          <w:sz w:val="24"/>
          <w:szCs w:val="24"/>
        </w:rPr>
        <w:t xml:space="preserve"> </w:t>
      </w:r>
      <w:r w:rsidR="0064053B">
        <w:rPr>
          <w:sz w:val="24"/>
          <w:szCs w:val="24"/>
        </w:rPr>
        <w:t>__</w:t>
      </w:r>
      <w:r w:rsidR="00384CAB">
        <w:rPr>
          <w:sz w:val="24"/>
          <w:szCs w:val="24"/>
        </w:rPr>
        <w:t>__________</w:t>
      </w:r>
      <w:r w:rsidR="004C7016">
        <w:rPr>
          <w:sz w:val="24"/>
          <w:szCs w:val="24"/>
        </w:rPr>
        <w:t>___</w:t>
      </w:r>
      <w:r w:rsidR="00384CAB">
        <w:rPr>
          <w:sz w:val="24"/>
          <w:szCs w:val="24"/>
        </w:rPr>
        <w:t>______________________ 4</w:t>
      </w:r>
      <w:r w:rsidR="00733A15">
        <w:rPr>
          <w:sz w:val="24"/>
          <w:szCs w:val="24"/>
        </w:rPr>
        <w:t>2</w:t>
      </w:r>
    </w:p>
    <w:p w14:paraId="6F834ACB" w14:textId="627C7611" w:rsidR="00D2057C" w:rsidRDefault="00BD127A" w:rsidP="000823D0">
      <w:pPr>
        <w:pStyle w:val="Nagwek2"/>
        <w:ind w:left="851" w:hanging="851"/>
        <w:rPr>
          <w:sz w:val="24"/>
          <w:szCs w:val="24"/>
        </w:rPr>
      </w:pPr>
      <w:r>
        <w:rPr>
          <w:sz w:val="24"/>
          <w:szCs w:val="24"/>
        </w:rPr>
        <w:t xml:space="preserve">     </w:t>
      </w:r>
      <w:r w:rsidR="00D2057C" w:rsidRPr="004E5700">
        <w:rPr>
          <w:sz w:val="24"/>
          <w:szCs w:val="24"/>
        </w:rPr>
        <w:t xml:space="preserve">III.11.Warunki </w:t>
      </w:r>
      <w:r w:rsidR="00800F5E" w:rsidRPr="004E5700">
        <w:rPr>
          <w:sz w:val="24"/>
          <w:szCs w:val="24"/>
        </w:rPr>
        <w:t>bezpiecznego wykonania prac</w:t>
      </w:r>
      <w:r w:rsidR="00384CAB">
        <w:rPr>
          <w:sz w:val="24"/>
          <w:szCs w:val="24"/>
        </w:rPr>
        <w:t xml:space="preserve"> </w:t>
      </w:r>
      <w:r w:rsidR="0064053B">
        <w:rPr>
          <w:sz w:val="24"/>
          <w:szCs w:val="24"/>
        </w:rPr>
        <w:t>__</w:t>
      </w:r>
      <w:r w:rsidR="00384CAB">
        <w:rPr>
          <w:sz w:val="24"/>
          <w:szCs w:val="24"/>
        </w:rPr>
        <w:t>____</w:t>
      </w:r>
      <w:r w:rsidR="004C7016">
        <w:rPr>
          <w:sz w:val="24"/>
          <w:szCs w:val="24"/>
        </w:rPr>
        <w:t>____</w:t>
      </w:r>
      <w:r w:rsidR="00384CAB">
        <w:rPr>
          <w:sz w:val="24"/>
          <w:szCs w:val="24"/>
        </w:rPr>
        <w:t>______________________4</w:t>
      </w:r>
      <w:r w:rsidR="00733A15">
        <w:rPr>
          <w:sz w:val="24"/>
          <w:szCs w:val="24"/>
        </w:rPr>
        <w:t>3</w:t>
      </w:r>
    </w:p>
    <w:p w14:paraId="52EC8B1B" w14:textId="77777777" w:rsidR="00BD127A" w:rsidRPr="00BD127A" w:rsidRDefault="00BD127A" w:rsidP="00BD127A"/>
    <w:p w14:paraId="1AD94363" w14:textId="0AEAF325" w:rsidR="00800F5E" w:rsidRPr="004E5700" w:rsidRDefault="00800F5E" w:rsidP="0064053B">
      <w:pPr>
        <w:pStyle w:val="Nagwek1"/>
        <w:numPr>
          <w:ilvl w:val="0"/>
          <w:numId w:val="62"/>
        </w:numPr>
        <w:spacing w:before="0"/>
        <w:ind w:left="567" w:hanging="425"/>
        <w:rPr>
          <w:sz w:val="24"/>
          <w:szCs w:val="24"/>
        </w:rPr>
      </w:pPr>
      <w:r w:rsidRPr="004E5700">
        <w:rPr>
          <w:sz w:val="24"/>
          <w:szCs w:val="24"/>
        </w:rPr>
        <w:t>Bezpieczeństwo funkcjonowania systemu elektroenergetycznego</w:t>
      </w:r>
      <w:r w:rsidR="004C7016">
        <w:rPr>
          <w:sz w:val="24"/>
          <w:szCs w:val="24"/>
        </w:rPr>
        <w:t xml:space="preserve"> </w:t>
      </w:r>
      <w:r w:rsidR="0064053B">
        <w:rPr>
          <w:sz w:val="24"/>
          <w:szCs w:val="24"/>
        </w:rPr>
        <w:t>____</w:t>
      </w:r>
      <w:r w:rsidR="004C7016">
        <w:rPr>
          <w:sz w:val="24"/>
          <w:szCs w:val="24"/>
        </w:rPr>
        <w:t>__</w:t>
      </w:r>
      <w:r w:rsidR="00384CAB">
        <w:rPr>
          <w:sz w:val="24"/>
          <w:szCs w:val="24"/>
        </w:rPr>
        <w:t>___4</w:t>
      </w:r>
      <w:r w:rsidR="00C90447">
        <w:rPr>
          <w:sz w:val="24"/>
          <w:szCs w:val="24"/>
        </w:rPr>
        <w:t>4</w:t>
      </w:r>
    </w:p>
    <w:p w14:paraId="1BFAE756" w14:textId="07933166" w:rsidR="00800F5E" w:rsidRPr="004E5700" w:rsidRDefault="00BD127A" w:rsidP="004C7016">
      <w:pPr>
        <w:pStyle w:val="Nagwek2"/>
        <w:ind w:left="567" w:hanging="567"/>
        <w:rPr>
          <w:sz w:val="24"/>
          <w:szCs w:val="24"/>
        </w:rPr>
      </w:pPr>
      <w:r>
        <w:rPr>
          <w:sz w:val="24"/>
          <w:szCs w:val="24"/>
        </w:rPr>
        <w:t xml:space="preserve">    </w:t>
      </w:r>
      <w:r w:rsidR="00800F5E" w:rsidRPr="004E5700">
        <w:rPr>
          <w:sz w:val="24"/>
          <w:szCs w:val="24"/>
        </w:rPr>
        <w:t xml:space="preserve">IV.1. Bezpieczeństwo dostaw energii elektrycznej, awarie sieciowe i awarie </w:t>
      </w:r>
      <w:r w:rsidR="004C7016">
        <w:rPr>
          <w:sz w:val="24"/>
          <w:szCs w:val="24"/>
        </w:rPr>
        <w:br/>
      </w:r>
      <w:r w:rsidR="009434A4">
        <w:rPr>
          <w:sz w:val="24"/>
          <w:szCs w:val="24"/>
        </w:rPr>
        <w:t xml:space="preserve">    </w:t>
      </w:r>
      <w:r w:rsidR="00800F5E" w:rsidRPr="004E5700">
        <w:rPr>
          <w:sz w:val="24"/>
          <w:szCs w:val="24"/>
        </w:rPr>
        <w:t>w systemie</w:t>
      </w:r>
      <w:r w:rsidR="0019728B">
        <w:rPr>
          <w:sz w:val="24"/>
          <w:szCs w:val="24"/>
        </w:rPr>
        <w:t xml:space="preserve"> </w:t>
      </w:r>
      <w:r w:rsidR="0064053B">
        <w:rPr>
          <w:sz w:val="24"/>
          <w:szCs w:val="24"/>
        </w:rPr>
        <w:t>____</w:t>
      </w:r>
      <w:r w:rsidR="004C7016">
        <w:rPr>
          <w:sz w:val="24"/>
          <w:szCs w:val="24"/>
        </w:rPr>
        <w:t>________</w:t>
      </w:r>
      <w:r w:rsidR="00384CAB">
        <w:rPr>
          <w:sz w:val="24"/>
          <w:szCs w:val="24"/>
        </w:rPr>
        <w:t>_______________________________________________4</w:t>
      </w:r>
      <w:r w:rsidR="00C90447">
        <w:rPr>
          <w:sz w:val="24"/>
          <w:szCs w:val="24"/>
        </w:rPr>
        <w:t>4</w:t>
      </w:r>
    </w:p>
    <w:p w14:paraId="038994D4" w14:textId="4F53BDD0" w:rsidR="00800F5E" w:rsidRPr="004E5700" w:rsidRDefault="00BD127A" w:rsidP="000823D0">
      <w:pPr>
        <w:pStyle w:val="Nagwek2"/>
        <w:ind w:left="851" w:hanging="851"/>
        <w:rPr>
          <w:sz w:val="24"/>
          <w:szCs w:val="24"/>
        </w:rPr>
      </w:pPr>
      <w:r>
        <w:rPr>
          <w:sz w:val="24"/>
          <w:szCs w:val="24"/>
        </w:rPr>
        <w:t xml:space="preserve">    </w:t>
      </w:r>
      <w:r w:rsidR="00800F5E" w:rsidRPr="004E5700">
        <w:rPr>
          <w:sz w:val="24"/>
          <w:szCs w:val="24"/>
        </w:rPr>
        <w:t>IV.2.  Bezpieczeństwo pracy sieci dystrybucyjnej</w:t>
      </w:r>
      <w:r w:rsidR="0019728B">
        <w:rPr>
          <w:sz w:val="24"/>
          <w:szCs w:val="24"/>
        </w:rPr>
        <w:t xml:space="preserve"> </w:t>
      </w:r>
      <w:r w:rsidR="0064053B">
        <w:rPr>
          <w:sz w:val="24"/>
          <w:szCs w:val="24"/>
        </w:rPr>
        <w:t>___</w:t>
      </w:r>
      <w:r w:rsidR="000823D0">
        <w:rPr>
          <w:sz w:val="24"/>
          <w:szCs w:val="24"/>
        </w:rPr>
        <w:t>____</w:t>
      </w:r>
      <w:r w:rsidR="00384CAB">
        <w:rPr>
          <w:sz w:val="24"/>
          <w:szCs w:val="24"/>
        </w:rPr>
        <w:t>_______________________4</w:t>
      </w:r>
      <w:r w:rsidR="00C90447">
        <w:rPr>
          <w:sz w:val="24"/>
          <w:szCs w:val="24"/>
        </w:rPr>
        <w:t>5</w:t>
      </w:r>
    </w:p>
    <w:p w14:paraId="501F4089" w14:textId="3B59057F" w:rsidR="00C90447" w:rsidRDefault="00BD127A" w:rsidP="009434A4">
      <w:pPr>
        <w:pStyle w:val="Nagwek2"/>
        <w:ind w:left="567" w:hanging="567"/>
        <w:rPr>
          <w:sz w:val="24"/>
          <w:szCs w:val="24"/>
        </w:rPr>
      </w:pPr>
      <w:r>
        <w:rPr>
          <w:sz w:val="24"/>
          <w:szCs w:val="24"/>
        </w:rPr>
        <w:t xml:space="preserve">    </w:t>
      </w:r>
      <w:r w:rsidR="00800F5E" w:rsidRPr="0019728B">
        <w:rPr>
          <w:sz w:val="24"/>
          <w:szCs w:val="24"/>
        </w:rPr>
        <w:t>IV.3. Wprowadzanie przerw oraz ograniczeń w dostarczaniu i poborze</w:t>
      </w:r>
      <w:r w:rsidR="0019728B" w:rsidRPr="0019728B">
        <w:rPr>
          <w:sz w:val="24"/>
          <w:szCs w:val="24"/>
        </w:rPr>
        <w:t>_________45</w:t>
      </w:r>
    </w:p>
    <w:p w14:paraId="01F629FD" w14:textId="4B5D366B" w:rsidR="009434A4" w:rsidRPr="009434A4" w:rsidRDefault="009434A4" w:rsidP="009434A4">
      <w:pPr>
        <w:pStyle w:val="Nagwek2"/>
        <w:rPr>
          <w:color w:val="0B769F" w:themeColor="accent4" w:themeShade="BF"/>
          <w:sz w:val="24"/>
          <w:szCs w:val="24"/>
        </w:rPr>
      </w:pPr>
      <w:r>
        <w:rPr>
          <w:sz w:val="24"/>
          <w:szCs w:val="24"/>
        </w:rPr>
        <w:t xml:space="preserve">    </w:t>
      </w:r>
      <w:r w:rsidRPr="009434A4">
        <w:rPr>
          <w:color w:val="0B769F" w:themeColor="accent4" w:themeShade="BF"/>
          <w:sz w:val="24"/>
          <w:szCs w:val="24"/>
        </w:rPr>
        <w:t>IV.4. WYMAGANIA W ZAKRESIE PLANU OBRONY SYSTEMU I ODBUDOWY__</w:t>
      </w:r>
      <w:r>
        <w:rPr>
          <w:color w:val="0B769F" w:themeColor="accent4" w:themeShade="BF"/>
          <w:sz w:val="24"/>
          <w:szCs w:val="24"/>
        </w:rPr>
        <w:t>_</w:t>
      </w:r>
      <w:r w:rsidRPr="009434A4">
        <w:rPr>
          <w:color w:val="0B769F" w:themeColor="accent4" w:themeShade="BF"/>
          <w:sz w:val="24"/>
          <w:szCs w:val="24"/>
        </w:rPr>
        <w:t>___50</w:t>
      </w:r>
    </w:p>
    <w:p w14:paraId="5BB56FBA" w14:textId="3D0D8968" w:rsidR="009434A4" w:rsidRPr="009434A4" w:rsidRDefault="009434A4" w:rsidP="009434A4">
      <w:pPr>
        <w:pStyle w:val="Nagwek2"/>
        <w:rPr>
          <w:color w:val="0B769F" w:themeColor="accent4" w:themeShade="BF"/>
          <w:sz w:val="24"/>
          <w:szCs w:val="24"/>
        </w:rPr>
      </w:pPr>
      <w:r w:rsidRPr="009434A4">
        <w:rPr>
          <w:color w:val="0B769F" w:themeColor="accent4" w:themeShade="BF"/>
          <w:sz w:val="24"/>
          <w:szCs w:val="24"/>
        </w:rPr>
        <w:t xml:space="preserve">    IV.5. REDYSPONOWANIE NIERYNKOWE_____________________</w:t>
      </w:r>
      <w:r>
        <w:rPr>
          <w:color w:val="0B769F" w:themeColor="accent4" w:themeShade="BF"/>
          <w:sz w:val="24"/>
          <w:szCs w:val="24"/>
        </w:rPr>
        <w:t>_</w:t>
      </w:r>
      <w:r w:rsidRPr="009434A4">
        <w:rPr>
          <w:color w:val="0B769F" w:themeColor="accent4" w:themeShade="BF"/>
          <w:sz w:val="24"/>
          <w:szCs w:val="24"/>
        </w:rPr>
        <w:t>______________50</w:t>
      </w:r>
    </w:p>
    <w:p w14:paraId="1C0EE1B9" w14:textId="77777777" w:rsidR="009434A4" w:rsidRDefault="009434A4" w:rsidP="009434A4"/>
    <w:p w14:paraId="67BC5DF6" w14:textId="77777777" w:rsidR="00502521" w:rsidRPr="009434A4" w:rsidRDefault="00502521" w:rsidP="009434A4"/>
    <w:p w14:paraId="66D57802" w14:textId="77777777" w:rsidR="00BD127A" w:rsidRDefault="00BD127A" w:rsidP="00BD127A"/>
    <w:p w14:paraId="43F9B8BE" w14:textId="77777777" w:rsidR="00BD127A" w:rsidRPr="00BD127A" w:rsidRDefault="00BD127A" w:rsidP="00BD127A"/>
    <w:p w14:paraId="59FBB876" w14:textId="0F2DB22D" w:rsidR="00C90447" w:rsidRDefault="00C90447">
      <w:pPr>
        <w:pStyle w:val="Nagwek2"/>
        <w:numPr>
          <w:ilvl w:val="0"/>
          <w:numId w:val="62"/>
        </w:numPr>
        <w:ind w:left="567" w:hanging="567"/>
        <w:rPr>
          <w:sz w:val="24"/>
          <w:szCs w:val="24"/>
        </w:rPr>
      </w:pPr>
      <w:r w:rsidRPr="00C90447">
        <w:rPr>
          <w:sz w:val="24"/>
          <w:szCs w:val="24"/>
        </w:rPr>
        <w:lastRenderedPageBreak/>
        <w:t xml:space="preserve"> Współpraca z innymi operatorami i przekazywanie informacji pomiędzy operatorami oraz operatorami a użytkownikami systemu</w:t>
      </w:r>
      <w:r>
        <w:rPr>
          <w:sz w:val="24"/>
          <w:szCs w:val="24"/>
        </w:rPr>
        <w:t xml:space="preserve">  </w:t>
      </w:r>
      <w:r w:rsidR="00697CFD">
        <w:rPr>
          <w:sz w:val="24"/>
          <w:szCs w:val="24"/>
        </w:rPr>
        <w:t xml:space="preserve"> </w:t>
      </w:r>
      <w:r>
        <w:rPr>
          <w:sz w:val="24"/>
          <w:szCs w:val="24"/>
        </w:rPr>
        <w:t>_______________ 5</w:t>
      </w:r>
      <w:r w:rsidR="00450EF0">
        <w:rPr>
          <w:sz w:val="24"/>
          <w:szCs w:val="24"/>
        </w:rPr>
        <w:t>1</w:t>
      </w:r>
    </w:p>
    <w:p w14:paraId="1A5FF280" w14:textId="77777777" w:rsidR="00D6028C" w:rsidRPr="00D6028C" w:rsidRDefault="00D6028C" w:rsidP="00D6028C"/>
    <w:p w14:paraId="28E067E7" w14:textId="00A242C6" w:rsidR="00800F5E" w:rsidRDefault="00800F5E">
      <w:pPr>
        <w:pStyle w:val="Nagwek1"/>
        <w:numPr>
          <w:ilvl w:val="0"/>
          <w:numId w:val="62"/>
        </w:numPr>
        <w:spacing w:before="120"/>
        <w:ind w:left="567" w:hanging="567"/>
        <w:rPr>
          <w:sz w:val="24"/>
          <w:szCs w:val="24"/>
        </w:rPr>
      </w:pPr>
      <w:r>
        <w:rPr>
          <w:sz w:val="24"/>
          <w:szCs w:val="24"/>
        </w:rPr>
        <w:t>Prowadzenie ruchu sieciowego</w:t>
      </w:r>
      <w:r w:rsidR="000823D0">
        <w:rPr>
          <w:sz w:val="24"/>
          <w:szCs w:val="24"/>
        </w:rPr>
        <w:t xml:space="preserve"> </w:t>
      </w:r>
      <w:r w:rsidR="0064053B">
        <w:rPr>
          <w:sz w:val="24"/>
          <w:szCs w:val="24"/>
        </w:rPr>
        <w:t>____</w:t>
      </w:r>
      <w:r w:rsidR="000823D0">
        <w:rPr>
          <w:sz w:val="24"/>
          <w:szCs w:val="24"/>
        </w:rPr>
        <w:t>________</w:t>
      </w:r>
      <w:r w:rsidR="00384CAB">
        <w:rPr>
          <w:sz w:val="24"/>
          <w:szCs w:val="24"/>
        </w:rPr>
        <w:t>_____________________________5</w:t>
      </w:r>
      <w:r w:rsidR="00D6028C">
        <w:rPr>
          <w:sz w:val="24"/>
          <w:szCs w:val="24"/>
        </w:rPr>
        <w:t>2</w:t>
      </w:r>
    </w:p>
    <w:p w14:paraId="43FEC503" w14:textId="6AC829F5" w:rsidR="00800F5E" w:rsidRPr="004E5700" w:rsidRDefault="00800F5E" w:rsidP="000823D0">
      <w:pPr>
        <w:pStyle w:val="Nagwek2"/>
        <w:ind w:left="851" w:hanging="851"/>
        <w:rPr>
          <w:sz w:val="24"/>
          <w:szCs w:val="24"/>
        </w:rPr>
      </w:pPr>
      <w:r w:rsidRPr="004E5700">
        <w:rPr>
          <w:sz w:val="24"/>
          <w:szCs w:val="24"/>
        </w:rPr>
        <w:t>VI.1. Obowiązki ID Sp. z o.o.</w:t>
      </w:r>
      <w:r w:rsidR="000823D0">
        <w:rPr>
          <w:sz w:val="24"/>
          <w:szCs w:val="24"/>
        </w:rPr>
        <w:t xml:space="preserve"> </w:t>
      </w:r>
      <w:r w:rsidR="0064053B">
        <w:rPr>
          <w:sz w:val="24"/>
          <w:szCs w:val="24"/>
        </w:rPr>
        <w:t>_____</w:t>
      </w:r>
      <w:r w:rsidR="000823D0">
        <w:rPr>
          <w:sz w:val="24"/>
          <w:szCs w:val="24"/>
        </w:rPr>
        <w:t>________</w:t>
      </w:r>
      <w:r w:rsidR="00384CAB">
        <w:rPr>
          <w:sz w:val="24"/>
          <w:szCs w:val="24"/>
        </w:rPr>
        <w:t>_____________________________________52</w:t>
      </w:r>
    </w:p>
    <w:p w14:paraId="1FD8D17E" w14:textId="7D54BDF7" w:rsidR="00800F5E" w:rsidRPr="004E5700" w:rsidRDefault="00800F5E" w:rsidP="000823D0">
      <w:pPr>
        <w:pStyle w:val="Nagwek2"/>
        <w:ind w:left="851" w:hanging="851"/>
        <w:rPr>
          <w:sz w:val="24"/>
          <w:szCs w:val="24"/>
        </w:rPr>
      </w:pPr>
      <w:r w:rsidRPr="004E5700">
        <w:rPr>
          <w:sz w:val="24"/>
          <w:szCs w:val="24"/>
        </w:rPr>
        <w:t>VI.2. Struktura i podział kompetencji służb dyspozytorskich ID Sp. z o.o.</w:t>
      </w:r>
      <w:r w:rsidR="00697CFD">
        <w:rPr>
          <w:sz w:val="24"/>
          <w:szCs w:val="24"/>
        </w:rPr>
        <w:t xml:space="preserve"> </w:t>
      </w:r>
      <w:r w:rsidR="0064053B">
        <w:rPr>
          <w:sz w:val="24"/>
          <w:szCs w:val="24"/>
        </w:rPr>
        <w:t>____</w:t>
      </w:r>
      <w:r w:rsidR="000823D0">
        <w:rPr>
          <w:sz w:val="24"/>
          <w:szCs w:val="24"/>
        </w:rPr>
        <w:t>___</w:t>
      </w:r>
      <w:r w:rsidR="00384CAB">
        <w:rPr>
          <w:sz w:val="24"/>
          <w:szCs w:val="24"/>
        </w:rPr>
        <w:t>__52</w:t>
      </w:r>
    </w:p>
    <w:p w14:paraId="5BE99A99" w14:textId="4897B632" w:rsidR="00800F5E" w:rsidRPr="004E5700" w:rsidRDefault="00800F5E" w:rsidP="000823D0">
      <w:pPr>
        <w:pStyle w:val="Nagwek2"/>
        <w:ind w:left="851" w:hanging="851"/>
        <w:rPr>
          <w:sz w:val="24"/>
          <w:szCs w:val="24"/>
        </w:rPr>
      </w:pPr>
      <w:r w:rsidRPr="004E5700">
        <w:rPr>
          <w:sz w:val="24"/>
          <w:szCs w:val="24"/>
        </w:rPr>
        <w:t>VI.3. Planowanie produkcji energii elektrycznej</w:t>
      </w:r>
      <w:r w:rsidR="004C7016">
        <w:rPr>
          <w:sz w:val="24"/>
          <w:szCs w:val="24"/>
        </w:rPr>
        <w:t xml:space="preserve"> </w:t>
      </w:r>
      <w:r w:rsidR="00697CFD">
        <w:rPr>
          <w:sz w:val="24"/>
          <w:szCs w:val="24"/>
        </w:rPr>
        <w:t xml:space="preserve">  </w:t>
      </w:r>
      <w:r w:rsidR="004C7016">
        <w:rPr>
          <w:sz w:val="24"/>
          <w:szCs w:val="24"/>
        </w:rPr>
        <w:t xml:space="preserve"> _</w:t>
      </w:r>
      <w:r w:rsidR="000823D0">
        <w:rPr>
          <w:sz w:val="24"/>
          <w:szCs w:val="24"/>
        </w:rPr>
        <w:t>_________</w:t>
      </w:r>
      <w:r w:rsidR="00384CAB">
        <w:rPr>
          <w:sz w:val="24"/>
          <w:szCs w:val="24"/>
        </w:rPr>
        <w:t>_________________5</w:t>
      </w:r>
      <w:r w:rsidR="00C90447">
        <w:rPr>
          <w:sz w:val="24"/>
          <w:szCs w:val="24"/>
        </w:rPr>
        <w:t>3</w:t>
      </w:r>
    </w:p>
    <w:p w14:paraId="2BDCD8E4" w14:textId="189B60D2" w:rsidR="00800F5E" w:rsidRPr="004E5700" w:rsidRDefault="00800F5E" w:rsidP="000823D0">
      <w:pPr>
        <w:pStyle w:val="Nagwek2"/>
        <w:ind w:left="851" w:hanging="851"/>
        <w:rPr>
          <w:sz w:val="24"/>
          <w:szCs w:val="24"/>
        </w:rPr>
      </w:pPr>
      <w:r w:rsidRPr="004E5700">
        <w:rPr>
          <w:sz w:val="24"/>
          <w:szCs w:val="24"/>
        </w:rPr>
        <w:t xml:space="preserve">VI.4. </w:t>
      </w:r>
      <w:r w:rsidR="006C756F" w:rsidRPr="004E5700">
        <w:rPr>
          <w:sz w:val="24"/>
          <w:szCs w:val="24"/>
        </w:rPr>
        <w:t>Programowanie zapotrzebowania w moc i energię elektryczną</w:t>
      </w:r>
      <w:r w:rsidR="000823D0">
        <w:rPr>
          <w:sz w:val="24"/>
          <w:szCs w:val="24"/>
        </w:rPr>
        <w:t xml:space="preserve"> </w:t>
      </w:r>
      <w:r w:rsidR="00697CFD">
        <w:rPr>
          <w:sz w:val="24"/>
          <w:szCs w:val="24"/>
        </w:rPr>
        <w:t xml:space="preserve">  </w:t>
      </w:r>
      <w:r w:rsidR="000823D0">
        <w:rPr>
          <w:sz w:val="24"/>
          <w:szCs w:val="24"/>
        </w:rPr>
        <w:t>____</w:t>
      </w:r>
      <w:r w:rsidR="00384CAB">
        <w:rPr>
          <w:sz w:val="24"/>
          <w:szCs w:val="24"/>
        </w:rPr>
        <w:t>______5</w:t>
      </w:r>
      <w:r w:rsidR="00D6028C">
        <w:rPr>
          <w:sz w:val="24"/>
          <w:szCs w:val="24"/>
        </w:rPr>
        <w:t>4</w:t>
      </w:r>
    </w:p>
    <w:p w14:paraId="52797F97" w14:textId="4D1D235A" w:rsidR="006C756F" w:rsidRPr="004E5700" w:rsidRDefault="006C756F" w:rsidP="000823D0">
      <w:pPr>
        <w:pStyle w:val="Nagwek2"/>
        <w:ind w:left="851" w:hanging="851"/>
        <w:rPr>
          <w:sz w:val="24"/>
          <w:szCs w:val="24"/>
        </w:rPr>
      </w:pPr>
      <w:r w:rsidRPr="004E5700">
        <w:rPr>
          <w:sz w:val="24"/>
          <w:szCs w:val="24"/>
        </w:rPr>
        <w:t>VI.5. Układ normalnej pracy</w:t>
      </w:r>
      <w:r w:rsidR="007C2695">
        <w:rPr>
          <w:sz w:val="24"/>
          <w:szCs w:val="24"/>
        </w:rPr>
        <w:t xml:space="preserve"> </w:t>
      </w:r>
      <w:r w:rsidR="00C90447">
        <w:rPr>
          <w:sz w:val="24"/>
          <w:szCs w:val="24"/>
        </w:rPr>
        <w:t>sieci dystrybucyjnej</w:t>
      </w:r>
      <w:r w:rsidR="00697CFD">
        <w:rPr>
          <w:sz w:val="24"/>
          <w:szCs w:val="24"/>
        </w:rPr>
        <w:t xml:space="preserve">    </w:t>
      </w:r>
      <w:r w:rsidR="00384CAB">
        <w:rPr>
          <w:sz w:val="24"/>
          <w:szCs w:val="24"/>
        </w:rPr>
        <w:t>___</w:t>
      </w:r>
      <w:r w:rsidR="00190EAB">
        <w:rPr>
          <w:sz w:val="24"/>
          <w:szCs w:val="24"/>
        </w:rPr>
        <w:t>_</w:t>
      </w:r>
      <w:r w:rsidR="00384CAB">
        <w:rPr>
          <w:sz w:val="24"/>
          <w:szCs w:val="24"/>
        </w:rPr>
        <w:t>________________________5</w:t>
      </w:r>
      <w:r w:rsidR="00C90447">
        <w:rPr>
          <w:sz w:val="24"/>
          <w:szCs w:val="24"/>
        </w:rPr>
        <w:t>4</w:t>
      </w:r>
    </w:p>
    <w:p w14:paraId="1A2098C0" w14:textId="59BC21DA" w:rsidR="006C756F" w:rsidRPr="004E5700" w:rsidRDefault="006C756F" w:rsidP="000823D0">
      <w:pPr>
        <w:pStyle w:val="Nagwek2"/>
        <w:ind w:left="851" w:hanging="851"/>
        <w:rPr>
          <w:sz w:val="24"/>
          <w:szCs w:val="24"/>
        </w:rPr>
      </w:pPr>
      <w:r w:rsidRPr="004E5700">
        <w:rPr>
          <w:sz w:val="24"/>
          <w:szCs w:val="24"/>
        </w:rPr>
        <w:t>VI.6. Plan włączeń elementów sieci</w:t>
      </w:r>
      <w:r w:rsidR="00697CFD">
        <w:rPr>
          <w:sz w:val="24"/>
          <w:szCs w:val="24"/>
        </w:rPr>
        <w:t xml:space="preserve"> </w:t>
      </w:r>
      <w:r w:rsidR="00C90447">
        <w:rPr>
          <w:sz w:val="24"/>
          <w:szCs w:val="24"/>
        </w:rPr>
        <w:t>dystrybucyjnej</w:t>
      </w:r>
      <w:r w:rsidR="00697CFD">
        <w:rPr>
          <w:sz w:val="24"/>
          <w:szCs w:val="24"/>
        </w:rPr>
        <w:t xml:space="preserve"> </w:t>
      </w:r>
      <w:r w:rsidR="00190EAB">
        <w:rPr>
          <w:sz w:val="24"/>
          <w:szCs w:val="24"/>
        </w:rPr>
        <w:t>__</w:t>
      </w:r>
      <w:r w:rsidR="00697CFD">
        <w:rPr>
          <w:sz w:val="24"/>
          <w:szCs w:val="24"/>
        </w:rPr>
        <w:t>_</w:t>
      </w:r>
      <w:r w:rsidR="00384CAB">
        <w:rPr>
          <w:sz w:val="24"/>
          <w:szCs w:val="24"/>
        </w:rPr>
        <w:t>_________________________5</w:t>
      </w:r>
      <w:r w:rsidR="00C90447">
        <w:rPr>
          <w:sz w:val="24"/>
          <w:szCs w:val="24"/>
        </w:rPr>
        <w:t>4</w:t>
      </w:r>
    </w:p>
    <w:p w14:paraId="6F90CFDE" w14:textId="49666AF6" w:rsidR="006C756F" w:rsidRPr="004E5700" w:rsidRDefault="006C756F" w:rsidP="000823D0">
      <w:pPr>
        <w:pStyle w:val="Nagwek2"/>
        <w:ind w:left="851" w:hanging="851"/>
        <w:rPr>
          <w:sz w:val="24"/>
          <w:szCs w:val="24"/>
        </w:rPr>
      </w:pPr>
      <w:r w:rsidRPr="004E5700">
        <w:rPr>
          <w:sz w:val="24"/>
          <w:szCs w:val="24"/>
        </w:rPr>
        <w:t>VI.7. Programy łączeniowe</w:t>
      </w:r>
      <w:r w:rsidR="00697CFD">
        <w:rPr>
          <w:sz w:val="24"/>
          <w:szCs w:val="24"/>
        </w:rPr>
        <w:t xml:space="preserve"> _</w:t>
      </w:r>
      <w:r w:rsidR="000823D0">
        <w:rPr>
          <w:sz w:val="24"/>
          <w:szCs w:val="24"/>
        </w:rPr>
        <w:t>___________</w:t>
      </w:r>
      <w:r w:rsidR="00384CAB">
        <w:rPr>
          <w:sz w:val="24"/>
          <w:szCs w:val="24"/>
        </w:rPr>
        <w:t>____________________________________5</w:t>
      </w:r>
      <w:r w:rsidR="00C90447">
        <w:rPr>
          <w:sz w:val="24"/>
          <w:szCs w:val="24"/>
        </w:rPr>
        <w:t>5</w:t>
      </w:r>
    </w:p>
    <w:p w14:paraId="21837ADA" w14:textId="7C973CCE" w:rsidR="006C756F" w:rsidRPr="004E5700" w:rsidRDefault="006C756F" w:rsidP="00C90447">
      <w:pPr>
        <w:pStyle w:val="Nagwek2"/>
        <w:ind w:left="567" w:hanging="567"/>
        <w:rPr>
          <w:sz w:val="24"/>
          <w:szCs w:val="24"/>
        </w:rPr>
      </w:pPr>
      <w:r w:rsidRPr="004E5700">
        <w:rPr>
          <w:sz w:val="24"/>
          <w:szCs w:val="24"/>
        </w:rPr>
        <w:t>VI.8. Zasady dysponowania mocą jednostek wytwórczych przyłączonych do sieci</w:t>
      </w:r>
      <w:r w:rsidR="00697CFD">
        <w:rPr>
          <w:sz w:val="24"/>
          <w:szCs w:val="24"/>
        </w:rPr>
        <w:t xml:space="preserve"> </w:t>
      </w:r>
      <w:r w:rsidRPr="004E5700">
        <w:rPr>
          <w:sz w:val="24"/>
          <w:szCs w:val="24"/>
        </w:rPr>
        <w:t>dystrybucyjnej</w:t>
      </w:r>
      <w:r w:rsidR="00697CFD">
        <w:rPr>
          <w:sz w:val="24"/>
          <w:szCs w:val="24"/>
        </w:rPr>
        <w:t xml:space="preserve"> </w:t>
      </w:r>
      <w:r w:rsidR="0064053B">
        <w:rPr>
          <w:sz w:val="24"/>
          <w:szCs w:val="24"/>
        </w:rPr>
        <w:t>____</w:t>
      </w:r>
      <w:r w:rsidR="00C90447">
        <w:rPr>
          <w:sz w:val="24"/>
          <w:szCs w:val="24"/>
        </w:rPr>
        <w:t>____________</w:t>
      </w:r>
      <w:r w:rsidR="000823D0">
        <w:rPr>
          <w:sz w:val="24"/>
          <w:szCs w:val="24"/>
        </w:rPr>
        <w:t>___</w:t>
      </w:r>
      <w:r w:rsidR="00384CAB">
        <w:rPr>
          <w:sz w:val="24"/>
          <w:szCs w:val="24"/>
        </w:rPr>
        <w:t>___________________________________</w:t>
      </w:r>
      <w:r w:rsidR="003340D8">
        <w:rPr>
          <w:sz w:val="24"/>
          <w:szCs w:val="24"/>
        </w:rPr>
        <w:t>_</w:t>
      </w:r>
      <w:r w:rsidR="00384CAB">
        <w:rPr>
          <w:sz w:val="24"/>
          <w:szCs w:val="24"/>
        </w:rPr>
        <w:t>_5</w:t>
      </w:r>
      <w:r w:rsidR="00C90447">
        <w:rPr>
          <w:sz w:val="24"/>
          <w:szCs w:val="24"/>
        </w:rPr>
        <w:t>5</w:t>
      </w:r>
    </w:p>
    <w:p w14:paraId="4C0CB2C5" w14:textId="40E03CA7" w:rsidR="006C756F" w:rsidRDefault="006C756F" w:rsidP="000823D0">
      <w:pPr>
        <w:pStyle w:val="Nagwek2"/>
        <w:ind w:left="851" w:hanging="851"/>
        <w:rPr>
          <w:sz w:val="24"/>
          <w:szCs w:val="24"/>
        </w:rPr>
      </w:pPr>
      <w:r w:rsidRPr="004E5700">
        <w:rPr>
          <w:sz w:val="24"/>
          <w:szCs w:val="24"/>
        </w:rPr>
        <w:t>VI.9. Dane przekazywane przez podmioty do ID Sp. z o.o.</w:t>
      </w:r>
      <w:r w:rsidR="000823D0">
        <w:rPr>
          <w:sz w:val="24"/>
          <w:szCs w:val="24"/>
        </w:rPr>
        <w:t xml:space="preserve"> </w:t>
      </w:r>
      <w:r w:rsidR="0064053B">
        <w:rPr>
          <w:sz w:val="24"/>
          <w:szCs w:val="24"/>
        </w:rPr>
        <w:t>____</w:t>
      </w:r>
      <w:r w:rsidR="000823D0">
        <w:rPr>
          <w:sz w:val="24"/>
          <w:szCs w:val="24"/>
        </w:rPr>
        <w:t>________</w:t>
      </w:r>
      <w:r w:rsidR="00384CAB">
        <w:rPr>
          <w:sz w:val="24"/>
          <w:szCs w:val="24"/>
        </w:rPr>
        <w:t>___________5</w:t>
      </w:r>
      <w:r w:rsidR="00C90447">
        <w:rPr>
          <w:sz w:val="24"/>
          <w:szCs w:val="24"/>
        </w:rPr>
        <w:t>6</w:t>
      </w:r>
    </w:p>
    <w:p w14:paraId="4A9662B5" w14:textId="77777777" w:rsidR="00D6028C" w:rsidRPr="00D6028C" w:rsidRDefault="00D6028C" w:rsidP="00D6028C"/>
    <w:p w14:paraId="1E33048A" w14:textId="5418A003" w:rsidR="006C756F" w:rsidRDefault="006C756F">
      <w:pPr>
        <w:pStyle w:val="Nagwek1"/>
        <w:numPr>
          <w:ilvl w:val="0"/>
          <w:numId w:val="64"/>
        </w:numPr>
        <w:tabs>
          <w:tab w:val="left" w:pos="8931"/>
        </w:tabs>
        <w:spacing w:before="0"/>
        <w:ind w:left="567" w:hanging="567"/>
        <w:rPr>
          <w:sz w:val="24"/>
          <w:szCs w:val="24"/>
        </w:rPr>
      </w:pPr>
      <w:r w:rsidRPr="00856582">
        <w:rPr>
          <w:sz w:val="24"/>
          <w:szCs w:val="24"/>
        </w:rPr>
        <w:t>Standardy technicz</w:t>
      </w:r>
      <w:r w:rsidR="00856582" w:rsidRPr="00856582">
        <w:rPr>
          <w:sz w:val="24"/>
          <w:szCs w:val="24"/>
        </w:rPr>
        <w:t>n</w:t>
      </w:r>
      <w:r w:rsidRPr="00856582">
        <w:rPr>
          <w:sz w:val="24"/>
          <w:szCs w:val="24"/>
        </w:rPr>
        <w:t xml:space="preserve">e i bezpieczeństwo pracy sieci dystrybucyjnej </w:t>
      </w:r>
      <w:r w:rsidR="00384CAB">
        <w:rPr>
          <w:sz w:val="24"/>
          <w:szCs w:val="24"/>
        </w:rPr>
        <w:br/>
      </w:r>
      <w:r w:rsidRPr="00856582">
        <w:rPr>
          <w:sz w:val="24"/>
          <w:szCs w:val="24"/>
        </w:rPr>
        <w:t>ID Sp. z o.o.</w:t>
      </w:r>
      <w:r w:rsidR="00697CFD">
        <w:rPr>
          <w:sz w:val="24"/>
          <w:szCs w:val="24"/>
        </w:rPr>
        <w:t xml:space="preserve"> </w:t>
      </w:r>
      <w:r w:rsidR="0064053B">
        <w:rPr>
          <w:sz w:val="24"/>
          <w:szCs w:val="24"/>
        </w:rPr>
        <w:t>___</w:t>
      </w:r>
      <w:r w:rsidR="000823D0">
        <w:rPr>
          <w:sz w:val="24"/>
          <w:szCs w:val="24"/>
        </w:rPr>
        <w:t>__</w:t>
      </w:r>
      <w:r w:rsidR="00384CAB">
        <w:rPr>
          <w:sz w:val="24"/>
          <w:szCs w:val="24"/>
        </w:rPr>
        <w:t>______________________________________</w:t>
      </w:r>
      <w:r w:rsidR="00D114F2">
        <w:rPr>
          <w:sz w:val="24"/>
          <w:szCs w:val="24"/>
        </w:rPr>
        <w:t>______</w:t>
      </w:r>
      <w:r w:rsidR="00384CAB">
        <w:rPr>
          <w:sz w:val="24"/>
          <w:szCs w:val="24"/>
        </w:rPr>
        <w:t>______</w:t>
      </w:r>
      <w:r w:rsidR="003340D8">
        <w:rPr>
          <w:sz w:val="24"/>
          <w:szCs w:val="24"/>
        </w:rPr>
        <w:t>__</w:t>
      </w:r>
      <w:r w:rsidR="00384CAB">
        <w:rPr>
          <w:sz w:val="24"/>
          <w:szCs w:val="24"/>
        </w:rPr>
        <w:t>_</w:t>
      </w:r>
      <w:r w:rsidR="0018715F">
        <w:rPr>
          <w:sz w:val="24"/>
          <w:szCs w:val="24"/>
        </w:rPr>
        <w:t>5</w:t>
      </w:r>
      <w:r w:rsidR="00C90447">
        <w:rPr>
          <w:sz w:val="24"/>
          <w:szCs w:val="24"/>
        </w:rPr>
        <w:t>6</w:t>
      </w:r>
    </w:p>
    <w:p w14:paraId="1C22FEDC" w14:textId="77777777" w:rsidR="00D6028C" w:rsidRPr="00D6028C" w:rsidRDefault="00D6028C" w:rsidP="00D6028C"/>
    <w:p w14:paraId="2641D4DC" w14:textId="58042AD5" w:rsidR="00B01516" w:rsidRPr="00C412AB" w:rsidRDefault="00856582">
      <w:pPr>
        <w:pStyle w:val="Nagwek1"/>
        <w:numPr>
          <w:ilvl w:val="0"/>
          <w:numId w:val="64"/>
        </w:numPr>
        <w:spacing w:before="0"/>
        <w:ind w:left="709" w:hanging="709"/>
        <w:rPr>
          <w:rFonts w:asciiTheme="majorHAnsi" w:hAnsiTheme="majorHAnsi"/>
          <w:sz w:val="24"/>
          <w:szCs w:val="24"/>
        </w:rPr>
      </w:pPr>
      <w:r w:rsidRPr="00C412AB">
        <w:rPr>
          <w:rFonts w:asciiTheme="majorHAnsi" w:hAnsiTheme="majorHAnsi"/>
          <w:sz w:val="24"/>
          <w:szCs w:val="24"/>
        </w:rPr>
        <w:t>Parametry jakościowe energii elektrycznej</w:t>
      </w:r>
      <w:r w:rsidR="00051C84">
        <w:rPr>
          <w:rFonts w:asciiTheme="majorHAnsi" w:hAnsiTheme="majorHAnsi"/>
          <w:sz w:val="24"/>
          <w:szCs w:val="24"/>
        </w:rPr>
        <w:t>____</w:t>
      </w:r>
      <w:r w:rsidR="000823D0">
        <w:rPr>
          <w:rFonts w:asciiTheme="majorHAnsi" w:hAnsiTheme="majorHAnsi"/>
          <w:sz w:val="24"/>
          <w:szCs w:val="24"/>
        </w:rPr>
        <w:t>___</w:t>
      </w:r>
      <w:r w:rsidR="0018715F" w:rsidRPr="00C412AB">
        <w:rPr>
          <w:rFonts w:asciiTheme="majorHAnsi" w:hAnsiTheme="majorHAnsi"/>
          <w:sz w:val="24"/>
          <w:szCs w:val="24"/>
        </w:rPr>
        <w:t>__________</w:t>
      </w:r>
      <w:r w:rsidR="00D114F2">
        <w:rPr>
          <w:rFonts w:asciiTheme="majorHAnsi" w:hAnsiTheme="majorHAnsi"/>
          <w:sz w:val="24"/>
          <w:szCs w:val="24"/>
        </w:rPr>
        <w:t>______</w:t>
      </w:r>
      <w:r w:rsidR="0018715F" w:rsidRPr="00C412AB">
        <w:rPr>
          <w:rFonts w:asciiTheme="majorHAnsi" w:hAnsiTheme="majorHAnsi"/>
          <w:sz w:val="24"/>
          <w:szCs w:val="24"/>
        </w:rPr>
        <w:t>______</w:t>
      </w:r>
      <w:r w:rsidR="00C90447">
        <w:rPr>
          <w:rFonts w:asciiTheme="majorHAnsi" w:hAnsiTheme="majorHAnsi"/>
          <w:sz w:val="24"/>
          <w:szCs w:val="24"/>
        </w:rPr>
        <w:t>5</w:t>
      </w:r>
      <w:r w:rsidR="00051C84">
        <w:rPr>
          <w:rFonts w:asciiTheme="majorHAnsi" w:hAnsiTheme="majorHAnsi"/>
          <w:sz w:val="24"/>
          <w:szCs w:val="24"/>
        </w:rPr>
        <w:t>7</w:t>
      </w:r>
    </w:p>
    <w:p w14:paraId="468FD4A3" w14:textId="58B5F730" w:rsidR="00856582" w:rsidRDefault="00856582" w:rsidP="000823D0">
      <w:pPr>
        <w:pStyle w:val="Nagwek2"/>
        <w:ind w:left="851" w:hanging="851"/>
        <w:rPr>
          <w:sz w:val="24"/>
          <w:szCs w:val="24"/>
        </w:rPr>
      </w:pPr>
      <w:r w:rsidRPr="00856582">
        <w:rPr>
          <w:sz w:val="24"/>
          <w:szCs w:val="24"/>
        </w:rPr>
        <w:t>VIII.</w:t>
      </w:r>
      <w:r w:rsidR="00C412AB">
        <w:rPr>
          <w:sz w:val="24"/>
          <w:szCs w:val="24"/>
        </w:rPr>
        <w:t>2</w:t>
      </w:r>
      <w:r w:rsidRPr="00856582">
        <w:rPr>
          <w:sz w:val="24"/>
          <w:szCs w:val="24"/>
        </w:rPr>
        <w:t xml:space="preserve">. Dopuszczalne poziomy </w:t>
      </w:r>
      <w:r w:rsidR="00C412AB">
        <w:rPr>
          <w:sz w:val="24"/>
          <w:szCs w:val="24"/>
        </w:rPr>
        <w:t>zabezpieczeń</w:t>
      </w:r>
      <w:r w:rsidRPr="00856582">
        <w:rPr>
          <w:sz w:val="24"/>
          <w:szCs w:val="24"/>
        </w:rPr>
        <w:t xml:space="preserve"> parametrów jakościowych energii</w:t>
      </w:r>
      <w:r w:rsidR="00051C84">
        <w:rPr>
          <w:sz w:val="24"/>
          <w:szCs w:val="24"/>
        </w:rPr>
        <w:t xml:space="preserve"> </w:t>
      </w:r>
      <w:r w:rsidRPr="00856582">
        <w:rPr>
          <w:sz w:val="24"/>
          <w:szCs w:val="24"/>
        </w:rPr>
        <w:t>elektrycznej</w:t>
      </w:r>
      <w:r w:rsidR="00051C84">
        <w:rPr>
          <w:sz w:val="24"/>
          <w:szCs w:val="24"/>
        </w:rPr>
        <w:t>_______</w:t>
      </w:r>
      <w:r w:rsidR="00C412AB">
        <w:rPr>
          <w:sz w:val="24"/>
          <w:szCs w:val="24"/>
        </w:rPr>
        <w:t>_____________________________________</w:t>
      </w:r>
      <w:r w:rsidR="00D114F2">
        <w:rPr>
          <w:sz w:val="24"/>
          <w:szCs w:val="24"/>
        </w:rPr>
        <w:t>______</w:t>
      </w:r>
      <w:r w:rsidR="00C412AB">
        <w:rPr>
          <w:sz w:val="24"/>
          <w:szCs w:val="24"/>
        </w:rPr>
        <w:t>____5</w:t>
      </w:r>
      <w:r w:rsidR="00C90447">
        <w:rPr>
          <w:sz w:val="24"/>
          <w:szCs w:val="24"/>
        </w:rPr>
        <w:t>7</w:t>
      </w:r>
    </w:p>
    <w:p w14:paraId="16DD4D74" w14:textId="53367702" w:rsidR="00856582" w:rsidRDefault="00856582" w:rsidP="000823D0">
      <w:pPr>
        <w:pStyle w:val="Nagwek2"/>
        <w:ind w:left="851" w:hanging="851"/>
        <w:rPr>
          <w:sz w:val="24"/>
          <w:szCs w:val="24"/>
        </w:rPr>
      </w:pPr>
      <w:r w:rsidRPr="00856582">
        <w:rPr>
          <w:sz w:val="24"/>
          <w:szCs w:val="24"/>
        </w:rPr>
        <w:t>VIII.3. Wskaźniki jakości i niezawodności dostaw energii elektrycznej</w:t>
      </w:r>
      <w:r w:rsidR="00051C84">
        <w:rPr>
          <w:sz w:val="24"/>
          <w:szCs w:val="24"/>
        </w:rPr>
        <w:t>___</w:t>
      </w:r>
      <w:r w:rsidR="000823D0">
        <w:rPr>
          <w:sz w:val="24"/>
          <w:szCs w:val="24"/>
        </w:rPr>
        <w:t>_______</w:t>
      </w:r>
      <w:r w:rsidR="00C412AB">
        <w:rPr>
          <w:sz w:val="24"/>
          <w:szCs w:val="24"/>
        </w:rPr>
        <w:t>6</w:t>
      </w:r>
      <w:r w:rsidR="00051C84">
        <w:rPr>
          <w:sz w:val="24"/>
          <w:szCs w:val="24"/>
        </w:rPr>
        <w:t>0</w:t>
      </w:r>
    </w:p>
    <w:p w14:paraId="6E9AB0BE" w14:textId="77777777" w:rsidR="00D6028C" w:rsidRPr="00D6028C" w:rsidRDefault="00D6028C" w:rsidP="00D6028C"/>
    <w:p w14:paraId="42F1259F" w14:textId="306ACCDB" w:rsidR="00856582" w:rsidRPr="00856582" w:rsidRDefault="00856582" w:rsidP="000823D0">
      <w:pPr>
        <w:pStyle w:val="Nagwek2"/>
        <w:ind w:left="851" w:right="418" w:hanging="851"/>
        <w:rPr>
          <w:sz w:val="24"/>
          <w:szCs w:val="24"/>
        </w:rPr>
      </w:pPr>
      <w:r w:rsidRPr="00856582">
        <w:rPr>
          <w:sz w:val="24"/>
          <w:szCs w:val="24"/>
        </w:rPr>
        <w:t>Załącznik nr 1 – wzór karty aktualizacji</w:t>
      </w:r>
      <w:r w:rsidR="00BE3DC0">
        <w:rPr>
          <w:sz w:val="24"/>
          <w:szCs w:val="24"/>
        </w:rPr>
        <w:t xml:space="preserve"> IRiESD</w:t>
      </w:r>
      <w:r w:rsidR="00BA6D98">
        <w:rPr>
          <w:sz w:val="24"/>
          <w:szCs w:val="24"/>
        </w:rPr>
        <w:t>_</w:t>
      </w:r>
      <w:r w:rsidR="00051C84">
        <w:rPr>
          <w:sz w:val="24"/>
          <w:szCs w:val="24"/>
        </w:rPr>
        <w:t>______</w:t>
      </w:r>
      <w:r w:rsidR="00C412AB">
        <w:rPr>
          <w:sz w:val="24"/>
          <w:szCs w:val="24"/>
        </w:rPr>
        <w:t>______</w:t>
      </w:r>
      <w:r w:rsidR="00D114F2">
        <w:rPr>
          <w:sz w:val="24"/>
          <w:szCs w:val="24"/>
        </w:rPr>
        <w:t>____</w:t>
      </w:r>
      <w:r w:rsidR="00C412AB">
        <w:rPr>
          <w:sz w:val="24"/>
          <w:szCs w:val="24"/>
        </w:rPr>
        <w:t>__________6</w:t>
      </w:r>
      <w:r w:rsidR="00051C84">
        <w:rPr>
          <w:sz w:val="24"/>
          <w:szCs w:val="24"/>
        </w:rPr>
        <w:t>2</w:t>
      </w:r>
    </w:p>
    <w:p w14:paraId="610C22EF" w14:textId="77777777" w:rsidR="000823D0" w:rsidRDefault="000823D0" w:rsidP="000823D0">
      <w:pPr>
        <w:spacing w:after="0" w:line="249" w:lineRule="auto"/>
        <w:jc w:val="left"/>
        <w:rPr>
          <w:sz w:val="24"/>
          <w:szCs w:val="24"/>
        </w:rPr>
      </w:pPr>
    </w:p>
    <w:p w14:paraId="29A515F9" w14:textId="794F2798" w:rsidR="000823D0" w:rsidRDefault="00706665" w:rsidP="000823D0">
      <w:pPr>
        <w:spacing w:after="0" w:line="249" w:lineRule="auto"/>
        <w:jc w:val="left"/>
        <w:rPr>
          <w:rFonts w:ascii="Garamond" w:hAnsi="Garamond"/>
          <w:sz w:val="28"/>
          <w:szCs w:val="28"/>
        </w:rPr>
      </w:pPr>
      <w:r w:rsidRPr="000823D0">
        <w:rPr>
          <w:sz w:val="24"/>
          <w:szCs w:val="24"/>
        </w:rPr>
        <w:t>Instrukcja Ruchu i Eksploatacji Sieci Dystrybucyjnej</w:t>
      </w:r>
      <w:r w:rsidRPr="000823D0">
        <w:rPr>
          <w:sz w:val="24"/>
          <w:szCs w:val="24"/>
        </w:rPr>
        <w:br/>
      </w:r>
      <w:r w:rsidR="00AB0A89" w:rsidRPr="000823D0">
        <w:rPr>
          <w:sz w:val="24"/>
          <w:szCs w:val="24"/>
        </w:rPr>
        <w:t xml:space="preserve">część: </w:t>
      </w:r>
      <w:r w:rsidR="00AB0A89" w:rsidRPr="000823D0">
        <w:rPr>
          <w:sz w:val="24"/>
          <w:szCs w:val="24"/>
        </w:rPr>
        <w:br/>
      </w:r>
      <w:r w:rsidR="00AB0A89" w:rsidRPr="000823D0">
        <w:rPr>
          <w:rFonts w:ascii="Garamond" w:hAnsi="Garamond"/>
          <w:sz w:val="28"/>
          <w:szCs w:val="28"/>
        </w:rPr>
        <w:t>Bilansowanie Systemu Dystrybucyjnego i Zarządzanie Ograniczeniami Systemowymi</w:t>
      </w:r>
      <w:r w:rsidR="00AB0A89" w:rsidRPr="000823D0">
        <w:rPr>
          <w:rFonts w:ascii="Garamond" w:hAnsi="Garamond"/>
          <w:sz w:val="28"/>
          <w:szCs w:val="28"/>
        </w:rPr>
        <w:br/>
      </w:r>
    </w:p>
    <w:p w14:paraId="3D48C18E" w14:textId="33C1BE12" w:rsidR="000823D0" w:rsidRDefault="00AB0A89">
      <w:pPr>
        <w:pStyle w:val="Akapitzlist"/>
        <w:numPr>
          <w:ilvl w:val="0"/>
          <w:numId w:val="65"/>
        </w:numPr>
        <w:spacing w:after="0" w:line="249" w:lineRule="auto"/>
        <w:ind w:left="426" w:right="418" w:hanging="426"/>
        <w:jc w:val="left"/>
        <w:rPr>
          <w:rFonts w:asciiTheme="majorHAnsi" w:hAnsiTheme="majorHAnsi"/>
          <w:sz w:val="24"/>
          <w:szCs w:val="24"/>
        </w:rPr>
      </w:pPr>
      <w:r w:rsidRPr="000823D0">
        <w:rPr>
          <w:rFonts w:asciiTheme="majorHAnsi" w:hAnsiTheme="majorHAnsi"/>
          <w:sz w:val="24"/>
          <w:szCs w:val="24"/>
        </w:rPr>
        <w:t>Postanowienia ogólne __________________________________</w:t>
      </w:r>
      <w:r w:rsidR="00D114F2" w:rsidRPr="000823D0">
        <w:rPr>
          <w:rFonts w:asciiTheme="majorHAnsi" w:hAnsiTheme="majorHAnsi"/>
          <w:sz w:val="24"/>
          <w:szCs w:val="24"/>
        </w:rPr>
        <w:t>_____</w:t>
      </w:r>
      <w:r w:rsidR="000823D0">
        <w:rPr>
          <w:rFonts w:asciiTheme="majorHAnsi" w:hAnsiTheme="majorHAnsi"/>
          <w:sz w:val="24"/>
          <w:szCs w:val="24"/>
        </w:rPr>
        <w:t>________</w:t>
      </w:r>
      <w:r w:rsidR="00D114F2" w:rsidRPr="000823D0">
        <w:rPr>
          <w:rFonts w:asciiTheme="majorHAnsi" w:hAnsiTheme="majorHAnsi"/>
          <w:sz w:val="24"/>
          <w:szCs w:val="24"/>
        </w:rPr>
        <w:t>_</w:t>
      </w:r>
      <w:r w:rsidRPr="000823D0">
        <w:rPr>
          <w:rFonts w:asciiTheme="majorHAnsi" w:hAnsiTheme="majorHAnsi"/>
          <w:sz w:val="24"/>
          <w:szCs w:val="24"/>
        </w:rPr>
        <w:t>____</w:t>
      </w:r>
      <w:r w:rsidR="000823D0">
        <w:rPr>
          <w:rFonts w:asciiTheme="majorHAnsi" w:hAnsiTheme="majorHAnsi"/>
          <w:sz w:val="24"/>
          <w:szCs w:val="24"/>
        </w:rPr>
        <w:t>_</w:t>
      </w:r>
      <w:r w:rsidRPr="000823D0">
        <w:rPr>
          <w:rFonts w:asciiTheme="majorHAnsi" w:hAnsiTheme="majorHAnsi"/>
          <w:sz w:val="24"/>
          <w:szCs w:val="24"/>
        </w:rPr>
        <w:t xml:space="preserve"> 6</w:t>
      </w:r>
      <w:r w:rsidR="00CC4646">
        <w:rPr>
          <w:rFonts w:asciiTheme="majorHAnsi" w:hAnsiTheme="majorHAnsi"/>
          <w:sz w:val="24"/>
          <w:szCs w:val="24"/>
        </w:rPr>
        <w:t>4</w:t>
      </w:r>
    </w:p>
    <w:p w14:paraId="2B364518" w14:textId="54D0A342" w:rsidR="000823D0" w:rsidRDefault="00AB0A89">
      <w:pPr>
        <w:pStyle w:val="Akapitzlist"/>
        <w:numPr>
          <w:ilvl w:val="0"/>
          <w:numId w:val="65"/>
        </w:numPr>
        <w:spacing w:after="0" w:line="249" w:lineRule="auto"/>
        <w:ind w:left="426" w:right="418" w:hanging="426"/>
        <w:jc w:val="left"/>
        <w:rPr>
          <w:rFonts w:asciiTheme="majorHAnsi" w:hAnsiTheme="majorHAnsi"/>
          <w:sz w:val="24"/>
          <w:szCs w:val="24"/>
        </w:rPr>
      </w:pPr>
      <w:r w:rsidRPr="000823D0">
        <w:rPr>
          <w:rFonts w:asciiTheme="majorHAnsi" w:hAnsiTheme="majorHAnsi"/>
          <w:sz w:val="24"/>
          <w:szCs w:val="24"/>
        </w:rPr>
        <w:t xml:space="preserve">Procedura zgłoszenia do realizacji sprzedaży energii elektrycznej </w:t>
      </w:r>
      <w:r w:rsidRPr="000823D0">
        <w:rPr>
          <w:rFonts w:asciiTheme="majorHAnsi" w:hAnsiTheme="majorHAnsi"/>
          <w:sz w:val="24"/>
          <w:szCs w:val="24"/>
        </w:rPr>
        <w:br/>
        <w:t xml:space="preserve"> oraz zawierania umów dystrybucyjnych z URD</w:t>
      </w:r>
      <w:r w:rsidRPr="000823D0">
        <w:rPr>
          <w:rFonts w:asciiTheme="majorHAnsi" w:hAnsiTheme="majorHAnsi"/>
          <w:sz w:val="24"/>
          <w:szCs w:val="24"/>
          <w:vertAlign w:val="subscript"/>
        </w:rPr>
        <w:t xml:space="preserve">O, </w:t>
      </w:r>
      <w:r w:rsidRPr="000823D0">
        <w:rPr>
          <w:rFonts w:asciiTheme="majorHAnsi" w:hAnsiTheme="majorHAnsi"/>
          <w:sz w:val="24"/>
          <w:szCs w:val="24"/>
        </w:rPr>
        <w:t>URD</w:t>
      </w:r>
      <w:r w:rsidRPr="000823D0">
        <w:rPr>
          <w:rFonts w:asciiTheme="majorHAnsi" w:hAnsiTheme="majorHAnsi"/>
          <w:sz w:val="24"/>
          <w:szCs w:val="24"/>
          <w:vertAlign w:val="subscript"/>
        </w:rPr>
        <w:t xml:space="preserve">W </w:t>
      </w:r>
      <w:r w:rsidRPr="000823D0">
        <w:rPr>
          <w:rFonts w:asciiTheme="majorHAnsi" w:hAnsiTheme="majorHAnsi"/>
          <w:sz w:val="24"/>
          <w:szCs w:val="24"/>
        </w:rPr>
        <w:t>oraz URD</w:t>
      </w:r>
      <w:r w:rsidRPr="000823D0">
        <w:rPr>
          <w:rFonts w:asciiTheme="majorHAnsi" w:hAnsiTheme="majorHAnsi"/>
          <w:sz w:val="24"/>
          <w:szCs w:val="24"/>
          <w:vertAlign w:val="subscript"/>
        </w:rPr>
        <w:t>ME</w:t>
      </w:r>
      <w:r w:rsidR="00E43BD1">
        <w:rPr>
          <w:rFonts w:asciiTheme="majorHAnsi" w:hAnsiTheme="majorHAnsi"/>
          <w:sz w:val="24"/>
          <w:szCs w:val="24"/>
          <w:vertAlign w:val="subscript"/>
        </w:rPr>
        <w:t xml:space="preserve"> </w:t>
      </w:r>
      <w:r w:rsidRPr="000823D0">
        <w:rPr>
          <w:rFonts w:asciiTheme="majorHAnsi" w:hAnsiTheme="majorHAnsi"/>
          <w:sz w:val="24"/>
          <w:szCs w:val="24"/>
        </w:rPr>
        <w:t>_</w:t>
      </w:r>
      <w:r w:rsidR="00D114F2" w:rsidRPr="000823D0">
        <w:rPr>
          <w:rFonts w:asciiTheme="majorHAnsi" w:hAnsiTheme="majorHAnsi"/>
          <w:sz w:val="24"/>
          <w:szCs w:val="24"/>
        </w:rPr>
        <w:t>_____</w:t>
      </w:r>
      <w:r w:rsidR="000823D0">
        <w:rPr>
          <w:rFonts w:asciiTheme="majorHAnsi" w:hAnsiTheme="majorHAnsi"/>
          <w:sz w:val="24"/>
          <w:szCs w:val="24"/>
        </w:rPr>
        <w:t>___</w:t>
      </w:r>
      <w:r w:rsidR="00D114F2" w:rsidRPr="000823D0">
        <w:rPr>
          <w:rFonts w:asciiTheme="majorHAnsi" w:hAnsiTheme="majorHAnsi"/>
          <w:sz w:val="24"/>
          <w:szCs w:val="24"/>
        </w:rPr>
        <w:t>______</w:t>
      </w:r>
      <w:r w:rsidRPr="000823D0">
        <w:rPr>
          <w:rFonts w:asciiTheme="majorHAnsi" w:hAnsiTheme="majorHAnsi"/>
          <w:sz w:val="24"/>
          <w:szCs w:val="24"/>
        </w:rPr>
        <w:t>_</w:t>
      </w:r>
      <w:r w:rsidR="000823D0">
        <w:rPr>
          <w:rFonts w:asciiTheme="majorHAnsi" w:hAnsiTheme="majorHAnsi"/>
          <w:sz w:val="24"/>
          <w:szCs w:val="24"/>
        </w:rPr>
        <w:t>_</w:t>
      </w:r>
      <w:r w:rsidRPr="000823D0">
        <w:rPr>
          <w:rFonts w:asciiTheme="majorHAnsi" w:hAnsiTheme="majorHAnsi"/>
          <w:sz w:val="24"/>
          <w:szCs w:val="24"/>
        </w:rPr>
        <w:t>7</w:t>
      </w:r>
      <w:r w:rsidR="00C90447">
        <w:rPr>
          <w:rFonts w:asciiTheme="majorHAnsi" w:hAnsiTheme="majorHAnsi"/>
          <w:sz w:val="24"/>
          <w:szCs w:val="24"/>
        </w:rPr>
        <w:t>2</w:t>
      </w:r>
    </w:p>
    <w:p w14:paraId="5C0581C2" w14:textId="0F4D4656" w:rsidR="000823D0" w:rsidRDefault="00AB0A89">
      <w:pPr>
        <w:pStyle w:val="Akapitzlist"/>
        <w:numPr>
          <w:ilvl w:val="0"/>
          <w:numId w:val="65"/>
        </w:numPr>
        <w:spacing w:after="0" w:line="249" w:lineRule="auto"/>
        <w:ind w:left="426" w:right="418" w:hanging="426"/>
        <w:jc w:val="left"/>
        <w:rPr>
          <w:rFonts w:asciiTheme="majorHAnsi" w:hAnsiTheme="majorHAnsi"/>
          <w:sz w:val="24"/>
          <w:szCs w:val="24"/>
        </w:rPr>
      </w:pPr>
      <w:r w:rsidRPr="000823D0">
        <w:rPr>
          <w:rFonts w:asciiTheme="majorHAnsi" w:hAnsiTheme="majorHAnsi"/>
          <w:sz w:val="24"/>
          <w:szCs w:val="24"/>
        </w:rPr>
        <w:t xml:space="preserve">Zasady wyznaczania, przekazywanie i udostępnianie danych pomiarowych </w:t>
      </w:r>
      <w:r w:rsidR="00E43BD1">
        <w:rPr>
          <w:rFonts w:asciiTheme="majorHAnsi" w:hAnsiTheme="majorHAnsi"/>
          <w:sz w:val="24"/>
          <w:szCs w:val="24"/>
        </w:rPr>
        <w:t xml:space="preserve">   </w:t>
      </w:r>
      <w:r w:rsidR="00D114F2" w:rsidRPr="000823D0">
        <w:rPr>
          <w:rFonts w:asciiTheme="majorHAnsi" w:hAnsiTheme="majorHAnsi"/>
          <w:sz w:val="24"/>
          <w:szCs w:val="24"/>
        </w:rPr>
        <w:t>___</w:t>
      </w:r>
      <w:r w:rsidR="000823D0">
        <w:rPr>
          <w:rFonts w:asciiTheme="majorHAnsi" w:hAnsiTheme="majorHAnsi"/>
          <w:sz w:val="24"/>
          <w:szCs w:val="24"/>
        </w:rPr>
        <w:t>___</w:t>
      </w:r>
      <w:r w:rsidR="00D114F2" w:rsidRPr="000823D0">
        <w:rPr>
          <w:rFonts w:asciiTheme="majorHAnsi" w:hAnsiTheme="majorHAnsi"/>
          <w:sz w:val="24"/>
          <w:szCs w:val="24"/>
        </w:rPr>
        <w:t>_____</w:t>
      </w:r>
      <w:r w:rsidR="000823D0">
        <w:rPr>
          <w:rFonts w:asciiTheme="majorHAnsi" w:hAnsiTheme="majorHAnsi"/>
          <w:sz w:val="24"/>
          <w:szCs w:val="24"/>
        </w:rPr>
        <w:t>_</w:t>
      </w:r>
      <w:r w:rsidRPr="000823D0">
        <w:rPr>
          <w:rFonts w:asciiTheme="majorHAnsi" w:hAnsiTheme="majorHAnsi"/>
          <w:sz w:val="24"/>
          <w:szCs w:val="24"/>
        </w:rPr>
        <w:t>7</w:t>
      </w:r>
      <w:r w:rsidR="00C90447">
        <w:rPr>
          <w:rFonts w:asciiTheme="majorHAnsi" w:hAnsiTheme="majorHAnsi"/>
          <w:sz w:val="24"/>
          <w:szCs w:val="24"/>
        </w:rPr>
        <w:t>3</w:t>
      </w:r>
    </w:p>
    <w:p w14:paraId="5A4FD9B9" w14:textId="05F034CE" w:rsidR="000823D0" w:rsidRDefault="00AB0A89">
      <w:pPr>
        <w:pStyle w:val="Akapitzlist"/>
        <w:numPr>
          <w:ilvl w:val="0"/>
          <w:numId w:val="65"/>
        </w:numPr>
        <w:spacing w:after="0" w:line="249" w:lineRule="auto"/>
        <w:ind w:left="426" w:right="418" w:hanging="426"/>
        <w:jc w:val="left"/>
        <w:rPr>
          <w:rFonts w:asciiTheme="majorHAnsi" w:hAnsiTheme="majorHAnsi"/>
          <w:sz w:val="24"/>
          <w:szCs w:val="24"/>
        </w:rPr>
      </w:pPr>
      <w:r w:rsidRPr="000823D0">
        <w:rPr>
          <w:rFonts w:asciiTheme="majorHAnsi" w:hAnsiTheme="majorHAnsi"/>
          <w:sz w:val="24"/>
          <w:szCs w:val="24"/>
        </w:rPr>
        <w:t xml:space="preserve">Procedury ustanowienia i zmiany podmiotu odpowiedzialnego za bilansowanie </w:t>
      </w:r>
      <w:r w:rsidR="00E43BD1">
        <w:rPr>
          <w:rFonts w:asciiTheme="majorHAnsi" w:hAnsiTheme="majorHAnsi"/>
          <w:sz w:val="24"/>
          <w:szCs w:val="24"/>
        </w:rPr>
        <w:t xml:space="preserve"> </w:t>
      </w:r>
      <w:r w:rsidR="000823D0">
        <w:rPr>
          <w:rFonts w:asciiTheme="majorHAnsi" w:hAnsiTheme="majorHAnsi"/>
          <w:sz w:val="24"/>
          <w:szCs w:val="24"/>
        </w:rPr>
        <w:t xml:space="preserve"> ___</w:t>
      </w:r>
      <w:r w:rsidRPr="000823D0">
        <w:rPr>
          <w:rFonts w:asciiTheme="majorHAnsi" w:hAnsiTheme="majorHAnsi"/>
          <w:sz w:val="24"/>
          <w:szCs w:val="24"/>
        </w:rPr>
        <w:t>_</w:t>
      </w:r>
      <w:r w:rsidR="00D114F2" w:rsidRPr="000823D0">
        <w:rPr>
          <w:rFonts w:asciiTheme="majorHAnsi" w:hAnsiTheme="majorHAnsi"/>
          <w:sz w:val="24"/>
          <w:szCs w:val="24"/>
        </w:rPr>
        <w:t>___</w:t>
      </w:r>
      <w:r w:rsidR="000823D0">
        <w:rPr>
          <w:rFonts w:asciiTheme="majorHAnsi" w:hAnsiTheme="majorHAnsi"/>
          <w:sz w:val="24"/>
          <w:szCs w:val="24"/>
        </w:rPr>
        <w:t>_</w:t>
      </w:r>
      <w:r w:rsidRPr="000823D0">
        <w:rPr>
          <w:rFonts w:asciiTheme="majorHAnsi" w:hAnsiTheme="majorHAnsi"/>
          <w:sz w:val="24"/>
          <w:szCs w:val="24"/>
        </w:rPr>
        <w:t>_7</w:t>
      </w:r>
      <w:r w:rsidR="0023253D">
        <w:rPr>
          <w:rFonts w:asciiTheme="majorHAnsi" w:hAnsiTheme="majorHAnsi"/>
          <w:sz w:val="24"/>
          <w:szCs w:val="24"/>
        </w:rPr>
        <w:t>5</w:t>
      </w:r>
    </w:p>
    <w:p w14:paraId="44607DC6" w14:textId="16154963" w:rsidR="000823D0" w:rsidRDefault="00AB0A89">
      <w:pPr>
        <w:pStyle w:val="Akapitzlist"/>
        <w:numPr>
          <w:ilvl w:val="0"/>
          <w:numId w:val="65"/>
        </w:numPr>
        <w:spacing w:after="0" w:line="249" w:lineRule="auto"/>
        <w:ind w:left="426" w:right="418" w:hanging="426"/>
        <w:jc w:val="left"/>
        <w:rPr>
          <w:rFonts w:asciiTheme="majorHAnsi" w:hAnsiTheme="majorHAnsi"/>
          <w:sz w:val="24"/>
          <w:szCs w:val="24"/>
        </w:rPr>
      </w:pPr>
      <w:r w:rsidRPr="000823D0">
        <w:rPr>
          <w:rFonts w:asciiTheme="majorHAnsi" w:hAnsiTheme="majorHAnsi"/>
          <w:sz w:val="24"/>
          <w:szCs w:val="24"/>
        </w:rPr>
        <w:t xml:space="preserve">Postępowania </w:t>
      </w:r>
      <w:r w:rsidR="00190EAB" w:rsidRPr="000823D0">
        <w:rPr>
          <w:rFonts w:asciiTheme="majorHAnsi" w:hAnsiTheme="majorHAnsi"/>
          <w:sz w:val="24"/>
          <w:szCs w:val="24"/>
        </w:rPr>
        <w:t xml:space="preserve">reklamacyjne </w:t>
      </w:r>
      <w:r w:rsidR="00190EAB">
        <w:rPr>
          <w:rFonts w:asciiTheme="majorHAnsi" w:hAnsiTheme="majorHAnsi"/>
          <w:sz w:val="24"/>
          <w:szCs w:val="24"/>
        </w:rPr>
        <w:t>_</w:t>
      </w:r>
      <w:r w:rsidRPr="000823D0">
        <w:rPr>
          <w:rFonts w:asciiTheme="majorHAnsi" w:hAnsiTheme="majorHAnsi"/>
          <w:sz w:val="24"/>
          <w:szCs w:val="24"/>
        </w:rPr>
        <w:t>______________________________</w:t>
      </w:r>
      <w:r w:rsidR="000823D0">
        <w:rPr>
          <w:rFonts w:asciiTheme="majorHAnsi" w:hAnsiTheme="majorHAnsi"/>
          <w:sz w:val="24"/>
          <w:szCs w:val="24"/>
        </w:rPr>
        <w:t>___</w:t>
      </w:r>
      <w:r w:rsidRPr="000823D0">
        <w:rPr>
          <w:rFonts w:asciiTheme="majorHAnsi" w:hAnsiTheme="majorHAnsi"/>
          <w:sz w:val="24"/>
          <w:szCs w:val="24"/>
        </w:rPr>
        <w:t>___</w:t>
      </w:r>
      <w:r w:rsidR="00D114F2" w:rsidRPr="000823D0">
        <w:rPr>
          <w:rFonts w:asciiTheme="majorHAnsi" w:hAnsiTheme="majorHAnsi"/>
          <w:sz w:val="24"/>
          <w:szCs w:val="24"/>
        </w:rPr>
        <w:t>____</w:t>
      </w:r>
      <w:r w:rsidRPr="000823D0">
        <w:rPr>
          <w:rFonts w:asciiTheme="majorHAnsi" w:hAnsiTheme="majorHAnsi"/>
          <w:sz w:val="24"/>
          <w:szCs w:val="24"/>
        </w:rPr>
        <w:t>________7</w:t>
      </w:r>
      <w:r w:rsidR="006E032E">
        <w:rPr>
          <w:rFonts w:asciiTheme="majorHAnsi" w:hAnsiTheme="majorHAnsi"/>
          <w:sz w:val="24"/>
          <w:szCs w:val="24"/>
        </w:rPr>
        <w:t>6</w:t>
      </w:r>
    </w:p>
    <w:p w14:paraId="44C60087" w14:textId="09161766" w:rsidR="000823D0" w:rsidRDefault="00AB0A89">
      <w:pPr>
        <w:pStyle w:val="Akapitzlist"/>
        <w:numPr>
          <w:ilvl w:val="0"/>
          <w:numId w:val="65"/>
        </w:numPr>
        <w:tabs>
          <w:tab w:val="left" w:pos="9214"/>
        </w:tabs>
        <w:spacing w:after="0" w:line="249" w:lineRule="auto"/>
        <w:ind w:left="426" w:right="418" w:hanging="426"/>
        <w:jc w:val="left"/>
        <w:rPr>
          <w:rFonts w:asciiTheme="majorHAnsi" w:hAnsiTheme="majorHAnsi"/>
          <w:sz w:val="24"/>
          <w:szCs w:val="24"/>
        </w:rPr>
      </w:pPr>
      <w:r w:rsidRPr="000823D0">
        <w:rPr>
          <w:rFonts w:asciiTheme="majorHAnsi" w:hAnsiTheme="majorHAnsi"/>
          <w:sz w:val="24"/>
          <w:szCs w:val="24"/>
        </w:rPr>
        <w:t>Procedura zmiany sprzedawcy</w:t>
      </w:r>
      <w:r w:rsidR="00E43BD1">
        <w:rPr>
          <w:rFonts w:asciiTheme="majorHAnsi" w:hAnsiTheme="majorHAnsi"/>
          <w:sz w:val="24"/>
          <w:szCs w:val="24"/>
        </w:rPr>
        <w:t xml:space="preserve"> </w:t>
      </w:r>
      <w:r w:rsidRPr="000823D0">
        <w:rPr>
          <w:rFonts w:asciiTheme="majorHAnsi" w:hAnsiTheme="majorHAnsi"/>
          <w:sz w:val="24"/>
          <w:szCs w:val="24"/>
        </w:rPr>
        <w:t>________________________________</w:t>
      </w:r>
      <w:r w:rsidR="00D114F2" w:rsidRPr="000823D0">
        <w:rPr>
          <w:rFonts w:asciiTheme="majorHAnsi" w:hAnsiTheme="majorHAnsi"/>
          <w:sz w:val="24"/>
          <w:szCs w:val="24"/>
        </w:rPr>
        <w:t>_________</w:t>
      </w:r>
      <w:r w:rsidRPr="000823D0">
        <w:rPr>
          <w:rFonts w:asciiTheme="majorHAnsi" w:hAnsiTheme="majorHAnsi"/>
          <w:sz w:val="24"/>
          <w:szCs w:val="24"/>
        </w:rPr>
        <w:t>__</w:t>
      </w:r>
      <w:r w:rsidR="000823D0">
        <w:rPr>
          <w:rFonts w:asciiTheme="majorHAnsi" w:hAnsiTheme="majorHAnsi"/>
          <w:sz w:val="24"/>
          <w:szCs w:val="24"/>
        </w:rPr>
        <w:t>___</w:t>
      </w:r>
      <w:r w:rsidRPr="000823D0">
        <w:rPr>
          <w:rFonts w:asciiTheme="majorHAnsi" w:hAnsiTheme="majorHAnsi"/>
          <w:sz w:val="24"/>
          <w:szCs w:val="24"/>
        </w:rPr>
        <w:t>_</w:t>
      </w:r>
      <w:r w:rsidR="00C90447">
        <w:rPr>
          <w:rFonts w:asciiTheme="majorHAnsi" w:hAnsiTheme="majorHAnsi"/>
          <w:sz w:val="24"/>
          <w:szCs w:val="24"/>
        </w:rPr>
        <w:t>7</w:t>
      </w:r>
      <w:r w:rsidR="00AE189C">
        <w:rPr>
          <w:rFonts w:asciiTheme="majorHAnsi" w:hAnsiTheme="majorHAnsi"/>
          <w:sz w:val="24"/>
          <w:szCs w:val="24"/>
        </w:rPr>
        <w:t>8</w:t>
      </w:r>
    </w:p>
    <w:p w14:paraId="7B0F0E96" w14:textId="6A84C1A1" w:rsidR="000823D0" w:rsidRDefault="00AB0A89">
      <w:pPr>
        <w:pStyle w:val="Akapitzlist"/>
        <w:numPr>
          <w:ilvl w:val="0"/>
          <w:numId w:val="65"/>
        </w:numPr>
        <w:spacing w:after="0" w:line="249" w:lineRule="auto"/>
        <w:ind w:left="426" w:right="418" w:hanging="426"/>
        <w:jc w:val="left"/>
        <w:rPr>
          <w:rFonts w:asciiTheme="majorHAnsi" w:hAnsiTheme="majorHAnsi"/>
          <w:sz w:val="24"/>
          <w:szCs w:val="24"/>
        </w:rPr>
      </w:pPr>
      <w:r w:rsidRPr="000823D0">
        <w:rPr>
          <w:rFonts w:asciiTheme="majorHAnsi" w:hAnsiTheme="majorHAnsi"/>
          <w:sz w:val="24"/>
          <w:szCs w:val="24"/>
        </w:rPr>
        <w:t xml:space="preserve">Zasady wyznaczania, przydzielania i weryfikacji standardowych profili </w:t>
      </w:r>
      <w:r w:rsidR="00190EAB" w:rsidRPr="000823D0">
        <w:rPr>
          <w:rFonts w:asciiTheme="majorHAnsi" w:hAnsiTheme="majorHAnsi"/>
          <w:sz w:val="24"/>
          <w:szCs w:val="24"/>
        </w:rPr>
        <w:t xml:space="preserve">zużycia </w:t>
      </w:r>
      <w:r w:rsidR="00190EAB">
        <w:rPr>
          <w:rFonts w:asciiTheme="majorHAnsi" w:hAnsiTheme="majorHAnsi"/>
          <w:sz w:val="24"/>
          <w:szCs w:val="24"/>
        </w:rPr>
        <w:t>_</w:t>
      </w:r>
      <w:r w:rsidR="00D114F2" w:rsidRPr="000823D0">
        <w:rPr>
          <w:rFonts w:asciiTheme="majorHAnsi" w:hAnsiTheme="majorHAnsi"/>
          <w:sz w:val="24"/>
          <w:szCs w:val="24"/>
        </w:rPr>
        <w:t>____</w:t>
      </w:r>
      <w:r w:rsidRPr="000823D0">
        <w:rPr>
          <w:rFonts w:asciiTheme="majorHAnsi" w:hAnsiTheme="majorHAnsi"/>
          <w:sz w:val="24"/>
          <w:szCs w:val="24"/>
        </w:rPr>
        <w:t>_</w:t>
      </w:r>
      <w:r w:rsidR="000823D0">
        <w:rPr>
          <w:rFonts w:asciiTheme="majorHAnsi" w:hAnsiTheme="majorHAnsi"/>
          <w:sz w:val="24"/>
          <w:szCs w:val="24"/>
        </w:rPr>
        <w:t>____</w:t>
      </w:r>
      <w:r w:rsidRPr="000823D0">
        <w:rPr>
          <w:rFonts w:asciiTheme="majorHAnsi" w:hAnsiTheme="majorHAnsi"/>
          <w:sz w:val="24"/>
          <w:szCs w:val="24"/>
        </w:rPr>
        <w:t>8</w:t>
      </w:r>
      <w:r w:rsidR="002D2411">
        <w:rPr>
          <w:rFonts w:asciiTheme="majorHAnsi" w:hAnsiTheme="majorHAnsi"/>
          <w:sz w:val="24"/>
          <w:szCs w:val="24"/>
        </w:rPr>
        <w:t>2</w:t>
      </w:r>
    </w:p>
    <w:p w14:paraId="0BAF7EA4" w14:textId="1C9B524E" w:rsidR="000823D0" w:rsidRDefault="00AB0A89">
      <w:pPr>
        <w:pStyle w:val="Akapitzlist"/>
        <w:numPr>
          <w:ilvl w:val="0"/>
          <w:numId w:val="65"/>
        </w:numPr>
        <w:spacing w:after="0" w:line="249" w:lineRule="auto"/>
        <w:ind w:left="426" w:right="418" w:hanging="426"/>
        <w:jc w:val="left"/>
        <w:rPr>
          <w:rFonts w:asciiTheme="majorHAnsi" w:hAnsiTheme="majorHAnsi"/>
          <w:sz w:val="24"/>
          <w:szCs w:val="24"/>
        </w:rPr>
      </w:pPr>
      <w:r w:rsidRPr="000823D0">
        <w:rPr>
          <w:rFonts w:asciiTheme="majorHAnsi" w:hAnsiTheme="majorHAnsi"/>
          <w:sz w:val="24"/>
          <w:szCs w:val="24"/>
        </w:rPr>
        <w:t>Zarządzanie ograniczeniami systemowymi __________________</w:t>
      </w:r>
      <w:r w:rsidR="00D114F2" w:rsidRPr="000823D0">
        <w:rPr>
          <w:rFonts w:asciiTheme="majorHAnsi" w:hAnsiTheme="majorHAnsi"/>
          <w:sz w:val="24"/>
          <w:szCs w:val="24"/>
        </w:rPr>
        <w:t>_____________</w:t>
      </w:r>
      <w:r w:rsidRPr="000823D0">
        <w:rPr>
          <w:rFonts w:asciiTheme="majorHAnsi" w:hAnsiTheme="majorHAnsi"/>
          <w:sz w:val="24"/>
          <w:szCs w:val="24"/>
        </w:rPr>
        <w:t>__</w:t>
      </w:r>
      <w:r w:rsidR="000823D0">
        <w:rPr>
          <w:rFonts w:asciiTheme="majorHAnsi" w:hAnsiTheme="majorHAnsi"/>
          <w:sz w:val="24"/>
          <w:szCs w:val="24"/>
        </w:rPr>
        <w:t>____</w:t>
      </w:r>
      <w:r w:rsidRPr="000823D0">
        <w:rPr>
          <w:rFonts w:asciiTheme="majorHAnsi" w:hAnsiTheme="majorHAnsi"/>
          <w:sz w:val="24"/>
          <w:szCs w:val="24"/>
        </w:rPr>
        <w:t>_8</w:t>
      </w:r>
      <w:r w:rsidR="002D2411">
        <w:rPr>
          <w:rFonts w:asciiTheme="majorHAnsi" w:hAnsiTheme="majorHAnsi"/>
          <w:sz w:val="24"/>
          <w:szCs w:val="24"/>
        </w:rPr>
        <w:t>2</w:t>
      </w:r>
    </w:p>
    <w:p w14:paraId="669A0DA7" w14:textId="3C435869" w:rsidR="000823D0" w:rsidRDefault="00AB0A89">
      <w:pPr>
        <w:pStyle w:val="Akapitzlist"/>
        <w:numPr>
          <w:ilvl w:val="0"/>
          <w:numId w:val="65"/>
        </w:numPr>
        <w:spacing w:after="0" w:line="249" w:lineRule="auto"/>
        <w:ind w:left="426" w:right="418" w:hanging="426"/>
        <w:jc w:val="left"/>
        <w:rPr>
          <w:rFonts w:asciiTheme="majorHAnsi" w:hAnsiTheme="majorHAnsi"/>
          <w:sz w:val="24"/>
          <w:szCs w:val="24"/>
        </w:rPr>
      </w:pPr>
      <w:r w:rsidRPr="000823D0">
        <w:rPr>
          <w:rFonts w:asciiTheme="majorHAnsi" w:hAnsiTheme="majorHAnsi"/>
          <w:sz w:val="24"/>
          <w:szCs w:val="24"/>
        </w:rPr>
        <w:t>Zasady współpracy dotyczące regulacyjnych usług systemowych w zakresie</w:t>
      </w:r>
      <w:r w:rsidR="007C2695">
        <w:rPr>
          <w:rFonts w:asciiTheme="majorHAnsi" w:hAnsiTheme="majorHAnsi"/>
          <w:sz w:val="24"/>
          <w:szCs w:val="24"/>
        </w:rPr>
        <w:t xml:space="preserve"> </w:t>
      </w:r>
      <w:r w:rsidR="00190EAB" w:rsidRPr="000823D0">
        <w:rPr>
          <w:rFonts w:asciiTheme="majorHAnsi" w:hAnsiTheme="majorHAnsi"/>
          <w:sz w:val="24"/>
          <w:szCs w:val="24"/>
        </w:rPr>
        <w:t>rezerwy</w:t>
      </w:r>
      <w:r w:rsidR="002D2411">
        <w:rPr>
          <w:rFonts w:asciiTheme="majorHAnsi" w:hAnsiTheme="majorHAnsi"/>
          <w:sz w:val="24"/>
          <w:szCs w:val="24"/>
        </w:rPr>
        <w:t>_</w:t>
      </w:r>
      <w:r w:rsidRPr="000823D0">
        <w:rPr>
          <w:rFonts w:asciiTheme="majorHAnsi" w:hAnsiTheme="majorHAnsi"/>
          <w:sz w:val="24"/>
          <w:szCs w:val="24"/>
        </w:rPr>
        <w:t>_</w:t>
      </w:r>
      <w:r w:rsidR="002D2411">
        <w:rPr>
          <w:rFonts w:asciiTheme="majorHAnsi" w:hAnsiTheme="majorHAnsi"/>
          <w:sz w:val="24"/>
          <w:szCs w:val="24"/>
        </w:rPr>
        <w:t>_</w:t>
      </w:r>
      <w:r w:rsidR="000823D0">
        <w:rPr>
          <w:rFonts w:asciiTheme="majorHAnsi" w:hAnsiTheme="majorHAnsi"/>
          <w:sz w:val="24"/>
          <w:szCs w:val="24"/>
        </w:rPr>
        <w:t>__</w:t>
      </w:r>
      <w:r w:rsidRPr="000823D0">
        <w:rPr>
          <w:rFonts w:asciiTheme="majorHAnsi" w:hAnsiTheme="majorHAnsi"/>
          <w:sz w:val="24"/>
          <w:szCs w:val="24"/>
        </w:rPr>
        <w:t xml:space="preserve">_ </w:t>
      </w:r>
      <w:r w:rsidR="002D2411">
        <w:rPr>
          <w:rFonts w:asciiTheme="majorHAnsi" w:hAnsiTheme="majorHAnsi"/>
          <w:sz w:val="24"/>
          <w:szCs w:val="24"/>
        </w:rPr>
        <w:t>83</w:t>
      </w:r>
    </w:p>
    <w:p w14:paraId="3F0AA2B9" w14:textId="297A9477" w:rsidR="000823D0" w:rsidRDefault="00F41BEE">
      <w:pPr>
        <w:pStyle w:val="Akapitzlist"/>
        <w:numPr>
          <w:ilvl w:val="0"/>
          <w:numId w:val="65"/>
        </w:numPr>
        <w:spacing w:after="0" w:line="249" w:lineRule="auto"/>
        <w:ind w:left="426" w:right="418" w:hanging="426"/>
        <w:jc w:val="left"/>
        <w:rPr>
          <w:rFonts w:asciiTheme="majorHAnsi" w:hAnsiTheme="majorHAnsi"/>
          <w:sz w:val="24"/>
          <w:szCs w:val="24"/>
        </w:rPr>
      </w:pPr>
      <w:r w:rsidRPr="000823D0">
        <w:rPr>
          <w:rFonts w:asciiTheme="majorHAnsi" w:hAnsiTheme="majorHAnsi"/>
          <w:sz w:val="24"/>
          <w:szCs w:val="24"/>
        </w:rPr>
        <w:t>Zasady współpracy operatora ogólnodostępnej stacji ładowania OSD</w:t>
      </w:r>
      <w:r w:rsidR="00E43BD1">
        <w:rPr>
          <w:rFonts w:asciiTheme="majorHAnsi" w:hAnsiTheme="majorHAnsi"/>
          <w:sz w:val="24"/>
          <w:szCs w:val="24"/>
        </w:rPr>
        <w:t xml:space="preserve"> </w:t>
      </w:r>
      <w:r w:rsidR="0064053B">
        <w:rPr>
          <w:rFonts w:asciiTheme="majorHAnsi" w:hAnsiTheme="majorHAnsi"/>
          <w:sz w:val="24"/>
          <w:szCs w:val="24"/>
        </w:rPr>
        <w:t>_____</w:t>
      </w:r>
      <w:r w:rsidR="00D114F2" w:rsidRPr="000823D0">
        <w:rPr>
          <w:rFonts w:asciiTheme="majorHAnsi" w:hAnsiTheme="majorHAnsi"/>
          <w:sz w:val="24"/>
          <w:szCs w:val="24"/>
        </w:rPr>
        <w:t>_________</w:t>
      </w:r>
      <w:r w:rsidRPr="000823D0">
        <w:rPr>
          <w:rFonts w:asciiTheme="majorHAnsi" w:hAnsiTheme="majorHAnsi"/>
          <w:sz w:val="24"/>
          <w:szCs w:val="24"/>
        </w:rPr>
        <w:t>__ 9</w:t>
      </w:r>
      <w:r w:rsidR="007C32C5">
        <w:rPr>
          <w:rFonts w:asciiTheme="majorHAnsi" w:hAnsiTheme="majorHAnsi"/>
          <w:sz w:val="24"/>
          <w:szCs w:val="24"/>
        </w:rPr>
        <w:t>0</w:t>
      </w:r>
    </w:p>
    <w:p w14:paraId="161171FF" w14:textId="56CAE62F" w:rsidR="000823D0" w:rsidRDefault="00F41BEE">
      <w:pPr>
        <w:pStyle w:val="Akapitzlist"/>
        <w:numPr>
          <w:ilvl w:val="0"/>
          <w:numId w:val="65"/>
        </w:numPr>
        <w:spacing w:after="0" w:line="249" w:lineRule="auto"/>
        <w:ind w:left="426" w:right="418" w:hanging="426"/>
        <w:jc w:val="left"/>
        <w:rPr>
          <w:rFonts w:asciiTheme="majorHAnsi" w:hAnsiTheme="majorHAnsi"/>
          <w:sz w:val="24"/>
          <w:szCs w:val="24"/>
        </w:rPr>
      </w:pPr>
      <w:r w:rsidRPr="000823D0">
        <w:rPr>
          <w:rFonts w:asciiTheme="majorHAnsi" w:hAnsiTheme="majorHAnsi"/>
          <w:sz w:val="24"/>
          <w:szCs w:val="24"/>
        </w:rPr>
        <w:t xml:space="preserve">Słownik pojęć i definicji </w:t>
      </w:r>
      <w:r w:rsidR="0064053B">
        <w:rPr>
          <w:rFonts w:asciiTheme="majorHAnsi" w:hAnsiTheme="majorHAnsi"/>
          <w:sz w:val="24"/>
          <w:szCs w:val="24"/>
        </w:rPr>
        <w:t>_____</w:t>
      </w:r>
      <w:r w:rsidRPr="000823D0">
        <w:rPr>
          <w:rFonts w:asciiTheme="majorHAnsi" w:hAnsiTheme="majorHAnsi"/>
          <w:sz w:val="24"/>
          <w:szCs w:val="24"/>
        </w:rPr>
        <w:t>________________________</w:t>
      </w:r>
      <w:r w:rsidR="00D114F2" w:rsidRPr="000823D0">
        <w:rPr>
          <w:rFonts w:asciiTheme="majorHAnsi" w:hAnsiTheme="majorHAnsi"/>
          <w:sz w:val="24"/>
          <w:szCs w:val="24"/>
        </w:rPr>
        <w:t>_____________________</w:t>
      </w:r>
      <w:r w:rsidRPr="000823D0">
        <w:rPr>
          <w:rFonts w:asciiTheme="majorHAnsi" w:hAnsiTheme="majorHAnsi"/>
          <w:sz w:val="24"/>
          <w:szCs w:val="24"/>
        </w:rPr>
        <w:t>__9</w:t>
      </w:r>
      <w:r w:rsidR="00BE269F">
        <w:rPr>
          <w:rFonts w:asciiTheme="majorHAnsi" w:hAnsiTheme="majorHAnsi"/>
          <w:sz w:val="24"/>
          <w:szCs w:val="24"/>
        </w:rPr>
        <w:t>2</w:t>
      </w:r>
    </w:p>
    <w:p w14:paraId="364EEE7F" w14:textId="6ABECBE4" w:rsidR="000823D0" w:rsidRDefault="00C90447" w:rsidP="00C90447">
      <w:pPr>
        <w:pStyle w:val="Akapitzlist"/>
        <w:spacing w:after="0" w:line="249" w:lineRule="auto"/>
        <w:ind w:left="426" w:right="418"/>
        <w:jc w:val="left"/>
        <w:rPr>
          <w:rFonts w:asciiTheme="majorHAnsi" w:hAnsiTheme="majorHAnsi"/>
          <w:sz w:val="24"/>
          <w:szCs w:val="24"/>
        </w:rPr>
      </w:pPr>
      <w:r>
        <w:rPr>
          <w:rFonts w:asciiTheme="majorHAnsi" w:hAnsiTheme="majorHAnsi"/>
          <w:sz w:val="24"/>
          <w:szCs w:val="24"/>
        </w:rPr>
        <w:br/>
      </w:r>
      <w:r w:rsidR="00F41BEE" w:rsidRPr="000823D0">
        <w:rPr>
          <w:rFonts w:asciiTheme="majorHAnsi" w:hAnsiTheme="majorHAnsi"/>
          <w:sz w:val="24"/>
          <w:szCs w:val="24"/>
        </w:rPr>
        <w:t xml:space="preserve">Załącznik nr 1 </w:t>
      </w:r>
      <w:r w:rsidR="00E21346" w:rsidRPr="000823D0">
        <w:rPr>
          <w:rFonts w:asciiTheme="majorHAnsi" w:hAnsiTheme="majorHAnsi"/>
          <w:sz w:val="24"/>
          <w:szCs w:val="24"/>
        </w:rPr>
        <w:t xml:space="preserve">zakres informacji zawartych w powiadomieniach ID Sp. z o.o. </w:t>
      </w:r>
      <w:r w:rsidR="00E43BD1">
        <w:rPr>
          <w:rFonts w:asciiTheme="majorHAnsi" w:hAnsiTheme="majorHAnsi"/>
          <w:sz w:val="24"/>
          <w:szCs w:val="24"/>
        </w:rPr>
        <w:t xml:space="preserve"> </w:t>
      </w:r>
      <w:r w:rsidR="00E21346" w:rsidRPr="000823D0">
        <w:rPr>
          <w:rFonts w:asciiTheme="majorHAnsi" w:hAnsiTheme="majorHAnsi"/>
          <w:sz w:val="24"/>
          <w:szCs w:val="24"/>
        </w:rPr>
        <w:t>____</w:t>
      </w:r>
      <w:r w:rsidR="00D114F2" w:rsidRPr="000823D0">
        <w:rPr>
          <w:rFonts w:asciiTheme="majorHAnsi" w:hAnsiTheme="majorHAnsi"/>
          <w:sz w:val="24"/>
          <w:szCs w:val="24"/>
        </w:rPr>
        <w:t>___</w:t>
      </w:r>
      <w:r w:rsidR="00F41BEE" w:rsidRPr="000823D0">
        <w:rPr>
          <w:rFonts w:asciiTheme="majorHAnsi" w:hAnsiTheme="majorHAnsi"/>
          <w:sz w:val="24"/>
          <w:szCs w:val="24"/>
        </w:rPr>
        <w:t>__ 10</w:t>
      </w:r>
      <w:r w:rsidR="004C1AF1">
        <w:rPr>
          <w:rFonts w:asciiTheme="majorHAnsi" w:hAnsiTheme="majorHAnsi"/>
          <w:sz w:val="24"/>
          <w:szCs w:val="24"/>
        </w:rPr>
        <w:t>7</w:t>
      </w:r>
    </w:p>
    <w:p w14:paraId="0D205415" w14:textId="0A3044FC" w:rsidR="000823D0" w:rsidRDefault="00F41BEE" w:rsidP="00C90447">
      <w:pPr>
        <w:pStyle w:val="Akapitzlist"/>
        <w:spacing w:after="0" w:line="249" w:lineRule="auto"/>
        <w:ind w:left="426" w:right="418"/>
        <w:jc w:val="left"/>
        <w:rPr>
          <w:rFonts w:asciiTheme="majorHAnsi" w:hAnsiTheme="majorHAnsi"/>
          <w:sz w:val="24"/>
          <w:szCs w:val="24"/>
        </w:rPr>
      </w:pPr>
      <w:r w:rsidRPr="000823D0">
        <w:rPr>
          <w:rFonts w:asciiTheme="majorHAnsi" w:hAnsiTheme="majorHAnsi"/>
          <w:sz w:val="24"/>
          <w:szCs w:val="24"/>
        </w:rPr>
        <w:t xml:space="preserve">Załącznik nr </w:t>
      </w:r>
      <w:r w:rsidR="00190EAB" w:rsidRPr="000823D0">
        <w:rPr>
          <w:rFonts w:asciiTheme="majorHAnsi" w:hAnsiTheme="majorHAnsi"/>
          <w:sz w:val="24"/>
          <w:szCs w:val="24"/>
        </w:rPr>
        <w:t>2 lista</w:t>
      </w:r>
      <w:r w:rsidR="00E21346" w:rsidRPr="000823D0">
        <w:rPr>
          <w:rFonts w:asciiTheme="majorHAnsi" w:hAnsiTheme="majorHAnsi"/>
          <w:sz w:val="24"/>
          <w:szCs w:val="24"/>
        </w:rPr>
        <w:t xml:space="preserve"> kodów   _______________</w:t>
      </w:r>
      <w:r w:rsidRPr="000823D0">
        <w:rPr>
          <w:rFonts w:asciiTheme="majorHAnsi" w:hAnsiTheme="majorHAnsi"/>
          <w:sz w:val="24"/>
          <w:szCs w:val="24"/>
        </w:rPr>
        <w:t>_________________</w:t>
      </w:r>
      <w:r w:rsidR="00D114F2" w:rsidRPr="000823D0">
        <w:rPr>
          <w:rFonts w:asciiTheme="majorHAnsi" w:hAnsiTheme="majorHAnsi"/>
          <w:sz w:val="24"/>
          <w:szCs w:val="24"/>
        </w:rPr>
        <w:t>______________</w:t>
      </w:r>
      <w:r w:rsidRPr="000823D0">
        <w:rPr>
          <w:rFonts w:asciiTheme="majorHAnsi" w:hAnsiTheme="majorHAnsi"/>
          <w:sz w:val="24"/>
          <w:szCs w:val="24"/>
        </w:rPr>
        <w:t>_ 1</w:t>
      </w:r>
      <w:r w:rsidR="004C1AF1">
        <w:rPr>
          <w:rFonts w:asciiTheme="majorHAnsi" w:hAnsiTheme="majorHAnsi"/>
          <w:sz w:val="24"/>
          <w:szCs w:val="24"/>
        </w:rPr>
        <w:t>09</w:t>
      </w:r>
    </w:p>
    <w:p w14:paraId="2C466A38" w14:textId="1F6071B8" w:rsidR="00AB0A89" w:rsidRPr="000823D0" w:rsidRDefault="00F41BEE" w:rsidP="00C90447">
      <w:pPr>
        <w:pStyle w:val="Akapitzlist"/>
        <w:spacing w:after="0" w:line="249" w:lineRule="auto"/>
        <w:ind w:left="426" w:right="418"/>
        <w:jc w:val="left"/>
        <w:rPr>
          <w:rFonts w:asciiTheme="majorHAnsi" w:hAnsiTheme="majorHAnsi"/>
          <w:sz w:val="24"/>
          <w:szCs w:val="24"/>
        </w:rPr>
      </w:pPr>
      <w:r w:rsidRPr="000823D0">
        <w:rPr>
          <w:rFonts w:asciiTheme="majorHAnsi" w:hAnsiTheme="majorHAnsi"/>
          <w:sz w:val="24"/>
          <w:szCs w:val="24"/>
        </w:rPr>
        <w:t>Załącznik nr 3 wniosek zmiany sprzedawc</w:t>
      </w:r>
      <w:r w:rsidR="00E21346" w:rsidRPr="000823D0">
        <w:rPr>
          <w:rFonts w:asciiTheme="majorHAnsi" w:hAnsiTheme="majorHAnsi"/>
          <w:sz w:val="24"/>
          <w:szCs w:val="24"/>
        </w:rPr>
        <w:t>y ________________</w:t>
      </w:r>
      <w:r w:rsidRPr="000823D0">
        <w:rPr>
          <w:rFonts w:asciiTheme="majorHAnsi" w:hAnsiTheme="majorHAnsi"/>
          <w:sz w:val="24"/>
          <w:szCs w:val="24"/>
        </w:rPr>
        <w:t>____</w:t>
      </w:r>
      <w:r w:rsidR="00D114F2" w:rsidRPr="000823D0">
        <w:rPr>
          <w:rFonts w:asciiTheme="majorHAnsi" w:hAnsiTheme="majorHAnsi"/>
          <w:sz w:val="24"/>
          <w:szCs w:val="24"/>
        </w:rPr>
        <w:t>______________</w:t>
      </w:r>
      <w:r w:rsidRPr="000823D0">
        <w:rPr>
          <w:rFonts w:asciiTheme="majorHAnsi" w:hAnsiTheme="majorHAnsi"/>
          <w:sz w:val="24"/>
          <w:szCs w:val="24"/>
        </w:rPr>
        <w:t>__1</w:t>
      </w:r>
      <w:r w:rsidR="004C1AF1">
        <w:rPr>
          <w:rFonts w:asciiTheme="majorHAnsi" w:hAnsiTheme="majorHAnsi"/>
          <w:sz w:val="24"/>
          <w:szCs w:val="24"/>
        </w:rPr>
        <w:t>10</w:t>
      </w:r>
    </w:p>
    <w:p w14:paraId="78B7F379" w14:textId="22598C78" w:rsidR="00D6028C" w:rsidRPr="00367369" w:rsidRDefault="00DE0FBF" w:rsidP="00DE0FBF">
      <w:pPr>
        <w:pStyle w:val="Akapitzlist"/>
        <w:spacing w:after="0" w:line="249" w:lineRule="auto"/>
        <w:ind w:left="426" w:right="418"/>
        <w:jc w:val="left"/>
        <w:rPr>
          <w:rFonts w:asciiTheme="majorHAnsi" w:hAnsiTheme="majorHAnsi"/>
          <w:color w:val="0070C0"/>
          <w:sz w:val="24"/>
          <w:szCs w:val="24"/>
        </w:rPr>
      </w:pPr>
      <w:r w:rsidRPr="00367369">
        <w:rPr>
          <w:rFonts w:asciiTheme="majorHAnsi" w:hAnsiTheme="majorHAnsi"/>
          <w:color w:val="0070C0"/>
          <w:sz w:val="24"/>
          <w:szCs w:val="24"/>
        </w:rPr>
        <w:t xml:space="preserve">Załącznik nr 4 Szczegółowe wymagania techniczne dla jednostek wytwórczych oraz magazynów energii elektrycznej przyłączanych i przyłączonych do sieci </w:t>
      </w:r>
      <w:r w:rsidR="009A2B65" w:rsidRPr="00367369">
        <w:rPr>
          <w:rFonts w:asciiTheme="majorHAnsi" w:hAnsiTheme="majorHAnsi"/>
          <w:color w:val="0070C0"/>
          <w:sz w:val="24"/>
          <w:szCs w:val="24"/>
        </w:rPr>
        <w:t>dystrybucyjnej</w:t>
      </w:r>
      <w:r w:rsidRPr="00367369">
        <w:rPr>
          <w:rFonts w:asciiTheme="majorHAnsi" w:hAnsiTheme="majorHAnsi"/>
          <w:color w:val="0070C0"/>
          <w:sz w:val="24"/>
          <w:szCs w:val="24"/>
        </w:rPr>
        <w:t>___113</w:t>
      </w:r>
    </w:p>
    <w:p w14:paraId="1ED7B4AD" w14:textId="77777777" w:rsidR="002A143B" w:rsidRPr="00AE3F1B" w:rsidRDefault="006C77ED">
      <w:pPr>
        <w:pStyle w:val="Akapitzlist"/>
        <w:numPr>
          <w:ilvl w:val="0"/>
          <w:numId w:val="12"/>
        </w:numPr>
        <w:tabs>
          <w:tab w:val="center" w:pos="8945"/>
          <w:tab w:val="right" w:pos="9974"/>
        </w:tabs>
        <w:spacing w:after="206" w:line="265" w:lineRule="auto"/>
        <w:ind w:left="567" w:right="-3" w:hanging="567"/>
        <w:jc w:val="left"/>
        <w:outlineLvl w:val="0"/>
        <w:rPr>
          <w:rFonts w:ascii="Garamond" w:hAnsi="Garamond"/>
          <w:b/>
          <w:bCs/>
          <w:sz w:val="24"/>
          <w:szCs w:val="24"/>
        </w:rPr>
      </w:pPr>
      <w:r w:rsidRPr="00AE3F1B">
        <w:rPr>
          <w:rFonts w:ascii="Garamond" w:hAnsi="Garamond"/>
          <w:b/>
          <w:bCs/>
          <w:sz w:val="24"/>
          <w:szCs w:val="24"/>
        </w:rPr>
        <w:lastRenderedPageBreak/>
        <w:t>KORZYSTANIE Z SYSTEMU ELEKTROENERGETYCZNEGO</w:t>
      </w:r>
    </w:p>
    <w:p w14:paraId="543B1542" w14:textId="2F31EAF4" w:rsidR="006C77ED" w:rsidRPr="00AE3F1B" w:rsidRDefault="006C77ED" w:rsidP="006C5B5C">
      <w:pPr>
        <w:rPr>
          <w:rFonts w:ascii="Garamond" w:hAnsi="Garamond"/>
          <w:b/>
          <w:bCs/>
          <w:sz w:val="24"/>
          <w:szCs w:val="24"/>
        </w:rPr>
      </w:pPr>
      <w:r w:rsidRPr="00AE3F1B">
        <w:rPr>
          <w:rFonts w:ascii="Garamond" w:hAnsi="Garamond"/>
          <w:b/>
          <w:bCs/>
          <w:sz w:val="24"/>
          <w:szCs w:val="24"/>
        </w:rPr>
        <w:t>I.1     POSTANOWIENIA OGÓLNE</w:t>
      </w:r>
    </w:p>
    <w:p w14:paraId="79AB5898" w14:textId="290F5926" w:rsidR="002A143B" w:rsidRPr="00AE3F1B" w:rsidRDefault="006C77ED" w:rsidP="00175586">
      <w:pPr>
        <w:spacing w:after="182"/>
        <w:ind w:left="567" w:right="-3" w:hanging="567"/>
        <w:jc w:val="left"/>
        <w:rPr>
          <w:rFonts w:ascii="Garamond" w:hAnsi="Garamond"/>
          <w:b/>
          <w:bCs/>
          <w:sz w:val="24"/>
          <w:szCs w:val="24"/>
        </w:rPr>
      </w:pPr>
      <w:r w:rsidRPr="00AE3F1B">
        <w:rPr>
          <w:rFonts w:ascii="Garamond" w:hAnsi="Garamond"/>
          <w:sz w:val="24"/>
          <w:szCs w:val="24"/>
        </w:rPr>
        <w:t>I.1.1.</w:t>
      </w:r>
      <w:r w:rsidR="00DE0FBF">
        <w:rPr>
          <w:rFonts w:ascii="Garamond" w:hAnsi="Garamond"/>
          <w:sz w:val="24"/>
          <w:szCs w:val="24"/>
        </w:rPr>
        <w:tab/>
      </w:r>
      <w:r w:rsidRPr="00AE3F1B">
        <w:rPr>
          <w:rFonts w:ascii="Garamond" w:hAnsi="Garamond"/>
          <w:sz w:val="24"/>
          <w:szCs w:val="24"/>
        </w:rPr>
        <w:t>Industria Dystrybucja Sp. z o.o. (zwana dalej ID</w:t>
      </w:r>
      <w:r w:rsidR="007C2695">
        <w:rPr>
          <w:rFonts w:ascii="Garamond" w:hAnsi="Garamond"/>
          <w:sz w:val="24"/>
          <w:szCs w:val="24"/>
        </w:rPr>
        <w:t xml:space="preserve"> </w:t>
      </w:r>
      <w:r w:rsidR="00254F04" w:rsidRPr="00AE3F1B">
        <w:rPr>
          <w:rFonts w:ascii="Garamond" w:hAnsi="Garamond"/>
          <w:sz w:val="24"/>
          <w:szCs w:val="24"/>
        </w:rPr>
        <w:t>Sp. z o.o.</w:t>
      </w:r>
      <w:r w:rsidRPr="00AE3F1B">
        <w:rPr>
          <w:rFonts w:ascii="Garamond" w:hAnsi="Garamond"/>
          <w:sz w:val="24"/>
          <w:szCs w:val="24"/>
        </w:rPr>
        <w:t xml:space="preserve">) jako operator systemu </w:t>
      </w:r>
      <w:r w:rsidR="00145F39" w:rsidRPr="00AE3F1B">
        <w:rPr>
          <w:rFonts w:ascii="Garamond" w:hAnsi="Garamond"/>
          <w:sz w:val="24"/>
          <w:szCs w:val="24"/>
        </w:rPr>
        <w:br/>
      </w:r>
      <w:r w:rsidRPr="00AE3F1B">
        <w:rPr>
          <w:rFonts w:ascii="Garamond" w:hAnsi="Garamond"/>
          <w:sz w:val="24"/>
          <w:szCs w:val="24"/>
        </w:rPr>
        <w:t xml:space="preserve">dystrybucyjnego wprowadza niniejszą Instrukcję Ruchu i Eksploatacji Sieci Dystrybucyjnej </w:t>
      </w:r>
      <w:r w:rsidR="00145F39" w:rsidRPr="00AE3F1B">
        <w:rPr>
          <w:rFonts w:ascii="Garamond" w:hAnsi="Garamond"/>
          <w:sz w:val="24"/>
          <w:szCs w:val="24"/>
        </w:rPr>
        <w:br/>
      </w:r>
      <w:r w:rsidRPr="00AE3F1B">
        <w:rPr>
          <w:rFonts w:ascii="Garamond" w:hAnsi="Garamond"/>
          <w:sz w:val="24"/>
          <w:szCs w:val="24"/>
        </w:rPr>
        <w:t xml:space="preserve">(zwaną dalej </w:t>
      </w:r>
      <w:r w:rsidR="00DA5AD6" w:rsidRPr="00AE3F1B">
        <w:rPr>
          <w:rFonts w:ascii="Garamond" w:hAnsi="Garamond"/>
          <w:sz w:val="24"/>
          <w:szCs w:val="24"/>
        </w:rPr>
        <w:t>IRiESDn</w:t>
      </w:r>
      <w:r w:rsidRPr="00AE3F1B">
        <w:rPr>
          <w:rFonts w:ascii="Garamond" w:hAnsi="Garamond"/>
          <w:sz w:val="24"/>
          <w:szCs w:val="24"/>
        </w:rPr>
        <w:t>), na podstawie zapisów ustawy Prawo energetyczne.</w:t>
      </w:r>
    </w:p>
    <w:p w14:paraId="3D72B455" w14:textId="1FEB0811" w:rsidR="002A143B" w:rsidRPr="00AE3F1B" w:rsidRDefault="00190EAB" w:rsidP="00175586">
      <w:pPr>
        <w:spacing w:after="180" w:line="249" w:lineRule="auto"/>
        <w:ind w:left="567" w:right="-3" w:hanging="567"/>
        <w:jc w:val="left"/>
        <w:rPr>
          <w:rFonts w:ascii="Garamond" w:hAnsi="Garamond"/>
          <w:sz w:val="24"/>
          <w:szCs w:val="24"/>
        </w:rPr>
      </w:pPr>
      <w:r w:rsidRPr="00AE3F1B">
        <w:rPr>
          <w:rFonts w:ascii="Garamond" w:hAnsi="Garamond"/>
          <w:sz w:val="24"/>
          <w:szCs w:val="24"/>
        </w:rPr>
        <w:t>I.1.2. ID</w:t>
      </w:r>
      <w:r w:rsidR="007B4F2E" w:rsidRPr="00AE3F1B">
        <w:rPr>
          <w:rFonts w:ascii="Garamond" w:hAnsi="Garamond"/>
          <w:sz w:val="24"/>
          <w:szCs w:val="24"/>
        </w:rPr>
        <w:t xml:space="preserve"> Sp. z o.o.</w:t>
      </w:r>
      <w:r w:rsidR="00254F04" w:rsidRPr="00AE3F1B">
        <w:rPr>
          <w:rFonts w:ascii="Garamond" w:hAnsi="Garamond"/>
          <w:sz w:val="24"/>
          <w:szCs w:val="24"/>
        </w:rPr>
        <w:t xml:space="preserve"> jako operator systemu dystrybucyjnego nie posiadający bezpośredniego połączenia z sieciami przesyłowymi (operator sy</w:t>
      </w:r>
      <w:r w:rsidR="00D77525">
        <w:rPr>
          <w:rFonts w:ascii="Garamond" w:hAnsi="Garamond"/>
          <w:sz w:val="24"/>
          <w:szCs w:val="24"/>
        </w:rPr>
        <w:t>s</w:t>
      </w:r>
      <w:r w:rsidR="00254F04" w:rsidRPr="00AE3F1B">
        <w:rPr>
          <w:rFonts w:ascii="Garamond" w:hAnsi="Garamond"/>
          <w:sz w:val="24"/>
          <w:szCs w:val="24"/>
        </w:rPr>
        <w:t xml:space="preserve">temu dystrybucyjnego typu OSDn) prowadzi ruch, eksploatację i planowanie rozwoju sieci, a także bilansowanie systemu dystrybucyjnego i zarządzanie ograniczeniami systemowymi w sieci, na której został wyznaczony operatorem systemu dystrybucyjnego (zwaną dalej „siecią dystrybucyjną </w:t>
      </w:r>
      <w:r w:rsidR="007B4F2E" w:rsidRPr="00AE3F1B">
        <w:rPr>
          <w:rFonts w:ascii="Garamond" w:hAnsi="Garamond"/>
          <w:sz w:val="24"/>
          <w:szCs w:val="24"/>
        </w:rPr>
        <w:t>ID Sp. z o.o.</w:t>
      </w:r>
      <w:r w:rsidR="00254F04" w:rsidRPr="00AE3F1B">
        <w:rPr>
          <w:rFonts w:ascii="Garamond" w:hAnsi="Garamond"/>
          <w:sz w:val="24"/>
          <w:szCs w:val="24"/>
        </w:rPr>
        <w:t xml:space="preserve">”), zgodnie z </w:t>
      </w:r>
      <w:r w:rsidR="00FF23BB" w:rsidRPr="00FF23BB">
        <w:rPr>
          <w:rFonts w:ascii="Garamond" w:hAnsi="Garamond"/>
          <w:sz w:val="24"/>
          <w:szCs w:val="24"/>
        </w:rPr>
        <w:t>IRiESD</w:t>
      </w:r>
      <w:r w:rsidR="00254F04" w:rsidRPr="00AE3F1B">
        <w:rPr>
          <w:rFonts w:ascii="Garamond" w:hAnsi="Garamond"/>
          <w:sz w:val="24"/>
          <w:szCs w:val="24"/>
        </w:rPr>
        <w:t>n.</w:t>
      </w:r>
    </w:p>
    <w:p w14:paraId="747CF71E" w14:textId="0C41B558" w:rsidR="00830C5E" w:rsidRPr="00AE3F1B" w:rsidRDefault="00830C5E" w:rsidP="00175586">
      <w:pPr>
        <w:spacing w:after="180" w:line="249" w:lineRule="auto"/>
        <w:ind w:left="567" w:right="-3" w:hanging="567"/>
        <w:jc w:val="left"/>
        <w:rPr>
          <w:rFonts w:ascii="Garamond" w:hAnsi="Garamond"/>
          <w:sz w:val="24"/>
          <w:szCs w:val="24"/>
        </w:rPr>
      </w:pPr>
      <w:r w:rsidRPr="00AE3F1B">
        <w:rPr>
          <w:rFonts w:ascii="Garamond" w:hAnsi="Garamond"/>
          <w:sz w:val="24"/>
          <w:szCs w:val="24"/>
        </w:rPr>
        <w:t xml:space="preserve">I.1.3.  W zakresie realizacji obowiązków określonych </w:t>
      </w:r>
      <w:r w:rsidR="00FF23BB" w:rsidRPr="00AE3F1B">
        <w:rPr>
          <w:rFonts w:ascii="Garamond" w:hAnsi="Garamond"/>
          <w:sz w:val="24"/>
          <w:szCs w:val="24"/>
        </w:rPr>
        <w:t>w</w:t>
      </w:r>
      <w:r w:rsidR="005A49CC">
        <w:rPr>
          <w:rFonts w:ascii="Garamond" w:hAnsi="Garamond"/>
          <w:sz w:val="24"/>
          <w:szCs w:val="24"/>
        </w:rPr>
        <w:t xml:space="preserve"> </w:t>
      </w:r>
      <w:r w:rsidR="005A49CC" w:rsidRPr="005A49CC">
        <w:rPr>
          <w:rFonts w:ascii="Garamond" w:hAnsi="Garamond"/>
          <w:sz w:val="24"/>
          <w:szCs w:val="24"/>
        </w:rPr>
        <w:t>IRiESD</w:t>
      </w:r>
      <w:r w:rsidR="00FF23BB" w:rsidRPr="00AE3F1B">
        <w:rPr>
          <w:rFonts w:ascii="Garamond" w:hAnsi="Garamond"/>
          <w:sz w:val="24"/>
          <w:szCs w:val="24"/>
        </w:rPr>
        <w:t>,</w:t>
      </w:r>
      <w:r w:rsidRPr="00AE3F1B">
        <w:rPr>
          <w:rFonts w:ascii="Garamond" w:hAnsi="Garamond"/>
          <w:sz w:val="24"/>
          <w:szCs w:val="24"/>
        </w:rPr>
        <w:t xml:space="preserve"> ID Sp. z o.o. współpracuje </w:t>
      </w:r>
      <w:r w:rsidR="00145F39" w:rsidRPr="00AE3F1B">
        <w:rPr>
          <w:rFonts w:ascii="Garamond" w:hAnsi="Garamond"/>
          <w:sz w:val="24"/>
          <w:szCs w:val="24"/>
        </w:rPr>
        <w:br/>
      </w:r>
      <w:r w:rsidRPr="00AE3F1B">
        <w:rPr>
          <w:rFonts w:ascii="Garamond" w:hAnsi="Garamond"/>
          <w:sz w:val="24"/>
          <w:szCs w:val="24"/>
        </w:rPr>
        <w:t>z Operatorem Systemu Przesyłowego Elektroenergetycznego za pośrednictwem PGE Dystrybucja S.A. z siedzibą w Lublinie, która jest Operatorem typu OSDp</w:t>
      </w:r>
      <w:r w:rsidRPr="00AE3F1B">
        <w:rPr>
          <w:rFonts w:ascii="Garamond" w:hAnsi="Garamond"/>
          <w:sz w:val="24"/>
          <w:szCs w:val="24"/>
        </w:rPr>
        <w:br/>
        <w:t>tj. operatorem posiadającym bezpośrednie połączenie z sieciami przesyłowymi.</w:t>
      </w:r>
    </w:p>
    <w:p w14:paraId="79213CB8" w14:textId="01584EEB" w:rsidR="002A143B" w:rsidRPr="00AE3F1B" w:rsidRDefault="007B4F2E" w:rsidP="00175586">
      <w:pPr>
        <w:spacing w:after="160" w:line="249" w:lineRule="auto"/>
        <w:ind w:left="567" w:right="-3" w:hanging="567"/>
        <w:jc w:val="left"/>
        <w:rPr>
          <w:rFonts w:ascii="Garamond" w:hAnsi="Garamond"/>
          <w:sz w:val="24"/>
          <w:szCs w:val="24"/>
        </w:rPr>
      </w:pPr>
      <w:r w:rsidRPr="00AE3F1B">
        <w:rPr>
          <w:rFonts w:ascii="Garamond" w:hAnsi="Garamond"/>
          <w:sz w:val="24"/>
          <w:szCs w:val="24"/>
        </w:rPr>
        <w:t>I.1.</w:t>
      </w:r>
      <w:r w:rsidR="00830C5E" w:rsidRPr="00AE3F1B">
        <w:rPr>
          <w:rFonts w:ascii="Garamond" w:hAnsi="Garamond"/>
          <w:sz w:val="24"/>
          <w:szCs w:val="24"/>
        </w:rPr>
        <w:t>4</w:t>
      </w:r>
      <w:r w:rsidRPr="00AE3F1B">
        <w:rPr>
          <w:rFonts w:ascii="Garamond" w:hAnsi="Garamond"/>
          <w:sz w:val="24"/>
          <w:szCs w:val="24"/>
        </w:rPr>
        <w:t xml:space="preserve">. </w:t>
      </w:r>
      <w:r w:rsidR="00DE0FBF">
        <w:rPr>
          <w:rFonts w:ascii="Garamond" w:hAnsi="Garamond"/>
          <w:sz w:val="24"/>
          <w:szCs w:val="24"/>
        </w:rPr>
        <w:tab/>
      </w:r>
      <w:r w:rsidRPr="00AE3F1B">
        <w:rPr>
          <w:rFonts w:ascii="Garamond" w:hAnsi="Garamond"/>
          <w:sz w:val="24"/>
          <w:szCs w:val="24"/>
        </w:rPr>
        <w:t xml:space="preserve">Niniejsza </w:t>
      </w:r>
      <w:r w:rsidR="00FF23BB" w:rsidRPr="00FF23BB">
        <w:rPr>
          <w:rFonts w:ascii="Garamond" w:hAnsi="Garamond"/>
          <w:sz w:val="24"/>
          <w:szCs w:val="24"/>
        </w:rPr>
        <w:t>IRiESD</w:t>
      </w:r>
      <w:r w:rsidRPr="00AE3F1B">
        <w:rPr>
          <w:rFonts w:ascii="Garamond" w:hAnsi="Garamond"/>
          <w:sz w:val="24"/>
          <w:szCs w:val="24"/>
        </w:rPr>
        <w:t>n uwzględnia w szczególności wymagania:</w:t>
      </w:r>
    </w:p>
    <w:p w14:paraId="3C3F1474" w14:textId="3DC4769A" w:rsidR="00FE41C8" w:rsidRPr="00FE41C8" w:rsidRDefault="00844F5D">
      <w:pPr>
        <w:pStyle w:val="Akapitzlist"/>
        <w:numPr>
          <w:ilvl w:val="0"/>
          <w:numId w:val="66"/>
        </w:numPr>
        <w:spacing w:line="276" w:lineRule="auto"/>
        <w:ind w:right="-3"/>
        <w:jc w:val="left"/>
        <w:rPr>
          <w:rFonts w:ascii="Garamond" w:hAnsi="Garamond"/>
          <w:sz w:val="24"/>
          <w:szCs w:val="24"/>
        </w:rPr>
      </w:pPr>
      <w:r w:rsidRPr="00FE41C8">
        <w:rPr>
          <w:rFonts w:ascii="Garamond" w:hAnsi="Garamond"/>
          <w:sz w:val="24"/>
          <w:szCs w:val="24"/>
        </w:rPr>
        <w:t>ustawy z dnia 10 kwietnia 1997 r. Prawo energetyczne</w:t>
      </w:r>
      <w:r w:rsidR="005307B0" w:rsidRPr="00FE41C8">
        <w:rPr>
          <w:rFonts w:ascii="Garamond" w:hAnsi="Garamond"/>
          <w:sz w:val="24"/>
          <w:szCs w:val="24"/>
        </w:rPr>
        <w:t xml:space="preserve">- zwane dalej „Ustawą” lub „ustawa Prawo </w:t>
      </w:r>
      <w:r w:rsidR="00190EAB" w:rsidRPr="00FE41C8">
        <w:rPr>
          <w:rFonts w:ascii="Garamond" w:hAnsi="Garamond"/>
          <w:sz w:val="24"/>
          <w:szCs w:val="24"/>
        </w:rPr>
        <w:t>Energetyczne” (</w:t>
      </w:r>
      <w:r w:rsidRPr="00FE41C8">
        <w:rPr>
          <w:rFonts w:ascii="Garamond" w:hAnsi="Garamond"/>
          <w:sz w:val="24"/>
          <w:szCs w:val="24"/>
        </w:rPr>
        <w:t xml:space="preserve">Dz. U. z </w:t>
      </w:r>
      <w:r w:rsidR="00DA12DF" w:rsidRPr="00FE41C8">
        <w:rPr>
          <w:rFonts w:ascii="Garamond" w:hAnsi="Garamond"/>
          <w:sz w:val="24"/>
          <w:szCs w:val="24"/>
        </w:rPr>
        <w:t xml:space="preserve">2024 </w:t>
      </w:r>
      <w:r w:rsidRPr="00FE41C8">
        <w:rPr>
          <w:rFonts w:ascii="Garamond" w:hAnsi="Garamond"/>
          <w:sz w:val="24"/>
          <w:szCs w:val="24"/>
        </w:rPr>
        <w:t xml:space="preserve">r., poz. </w:t>
      </w:r>
      <w:r w:rsidR="00DA12DF" w:rsidRPr="00FE41C8">
        <w:rPr>
          <w:rFonts w:ascii="Garamond" w:hAnsi="Garamond"/>
          <w:sz w:val="24"/>
          <w:szCs w:val="24"/>
        </w:rPr>
        <w:t xml:space="preserve">266 </w:t>
      </w:r>
      <w:r w:rsidRPr="00FE41C8">
        <w:rPr>
          <w:rFonts w:ascii="Garamond" w:hAnsi="Garamond"/>
          <w:sz w:val="24"/>
          <w:szCs w:val="24"/>
        </w:rPr>
        <w:t>z późniejszymi zmianami) oraz wydanymi na jej podstawie aktami wykonawczym</w:t>
      </w:r>
      <w:r w:rsidR="005307B0" w:rsidRPr="00FE41C8">
        <w:rPr>
          <w:rFonts w:ascii="Garamond" w:hAnsi="Garamond"/>
          <w:sz w:val="24"/>
          <w:szCs w:val="24"/>
        </w:rPr>
        <w:t>i,</w:t>
      </w:r>
    </w:p>
    <w:p w14:paraId="67DC9746" w14:textId="4EDC1296" w:rsidR="002A143B" w:rsidRPr="00FE41C8" w:rsidRDefault="00DA12DF">
      <w:pPr>
        <w:pStyle w:val="Akapitzlist"/>
        <w:numPr>
          <w:ilvl w:val="0"/>
          <w:numId w:val="66"/>
        </w:numPr>
        <w:spacing w:line="276" w:lineRule="auto"/>
        <w:ind w:right="-3"/>
        <w:jc w:val="left"/>
        <w:rPr>
          <w:rFonts w:ascii="Garamond" w:hAnsi="Garamond"/>
          <w:sz w:val="24"/>
          <w:szCs w:val="24"/>
        </w:rPr>
      </w:pPr>
      <w:r w:rsidRPr="00FE41C8">
        <w:rPr>
          <w:rFonts w:ascii="Garamond" w:hAnsi="Garamond"/>
          <w:sz w:val="24"/>
          <w:szCs w:val="24"/>
        </w:rPr>
        <w:t>ustawy z dnia 2</w:t>
      </w:r>
      <w:r w:rsidR="005307B0" w:rsidRPr="00FE41C8">
        <w:rPr>
          <w:rFonts w:ascii="Garamond" w:hAnsi="Garamond"/>
          <w:sz w:val="24"/>
          <w:szCs w:val="24"/>
        </w:rPr>
        <w:t>0</w:t>
      </w:r>
      <w:r w:rsidR="00D356CE">
        <w:rPr>
          <w:rFonts w:ascii="Garamond" w:hAnsi="Garamond"/>
          <w:sz w:val="24"/>
          <w:szCs w:val="24"/>
        </w:rPr>
        <w:t xml:space="preserve"> </w:t>
      </w:r>
      <w:r w:rsidR="005307B0" w:rsidRPr="00FE41C8">
        <w:rPr>
          <w:rFonts w:ascii="Garamond" w:hAnsi="Garamond"/>
          <w:sz w:val="24"/>
          <w:szCs w:val="24"/>
        </w:rPr>
        <w:t>maja</w:t>
      </w:r>
      <w:r w:rsidR="00D356CE">
        <w:rPr>
          <w:rFonts w:ascii="Garamond" w:hAnsi="Garamond"/>
          <w:sz w:val="24"/>
          <w:szCs w:val="24"/>
        </w:rPr>
        <w:t xml:space="preserve"> </w:t>
      </w:r>
      <w:r w:rsidR="005307B0" w:rsidRPr="00FE41C8">
        <w:rPr>
          <w:rFonts w:ascii="Garamond" w:hAnsi="Garamond"/>
          <w:sz w:val="24"/>
          <w:szCs w:val="24"/>
        </w:rPr>
        <w:t>2021</w:t>
      </w:r>
      <w:r w:rsidRPr="00FE41C8">
        <w:rPr>
          <w:rFonts w:ascii="Garamond" w:hAnsi="Garamond"/>
          <w:sz w:val="24"/>
          <w:szCs w:val="24"/>
        </w:rPr>
        <w:t xml:space="preserve"> r. </w:t>
      </w:r>
      <w:r w:rsidR="005307B0" w:rsidRPr="00FE41C8">
        <w:rPr>
          <w:rFonts w:ascii="Garamond" w:hAnsi="Garamond"/>
          <w:sz w:val="24"/>
          <w:szCs w:val="24"/>
        </w:rPr>
        <w:t xml:space="preserve">o zmianie ustawy- Prawo energetyczne oraz niektórych innych ustaw- zwanych dalej „Ustawą OIRE” </w:t>
      </w:r>
      <w:r w:rsidR="00190EAB" w:rsidRPr="00FE41C8">
        <w:rPr>
          <w:rFonts w:ascii="Garamond" w:hAnsi="Garamond"/>
          <w:sz w:val="24"/>
          <w:szCs w:val="24"/>
        </w:rPr>
        <w:t>(Dz.U.</w:t>
      </w:r>
      <w:r w:rsidR="005307B0" w:rsidRPr="00FE41C8">
        <w:rPr>
          <w:rFonts w:ascii="Garamond" w:hAnsi="Garamond"/>
          <w:sz w:val="24"/>
          <w:szCs w:val="24"/>
        </w:rPr>
        <w:t xml:space="preserve"> z 2021 r., poz. 1093</w:t>
      </w:r>
      <w:r w:rsidRPr="00FE41C8">
        <w:rPr>
          <w:rFonts w:ascii="Garamond" w:hAnsi="Garamond"/>
          <w:sz w:val="24"/>
          <w:szCs w:val="24"/>
        </w:rPr>
        <w:t xml:space="preserve"> z późn. zm.</w:t>
      </w:r>
      <w:r w:rsidR="005307B0" w:rsidRPr="00FE41C8">
        <w:rPr>
          <w:rFonts w:ascii="Garamond" w:hAnsi="Garamond"/>
          <w:sz w:val="24"/>
          <w:szCs w:val="24"/>
        </w:rPr>
        <w:t>),</w:t>
      </w:r>
    </w:p>
    <w:p w14:paraId="3ED2BF7E" w14:textId="534A0C49" w:rsidR="00FE41C8" w:rsidRPr="00FE41C8" w:rsidRDefault="00024459">
      <w:pPr>
        <w:pStyle w:val="Akapitzlist"/>
        <w:numPr>
          <w:ilvl w:val="0"/>
          <w:numId w:val="66"/>
        </w:numPr>
        <w:spacing w:line="276" w:lineRule="auto"/>
        <w:ind w:right="-3"/>
        <w:jc w:val="left"/>
        <w:rPr>
          <w:rFonts w:ascii="Garamond" w:hAnsi="Garamond"/>
          <w:sz w:val="24"/>
          <w:szCs w:val="24"/>
        </w:rPr>
      </w:pPr>
      <w:bookmarkStart w:id="2" w:name="_Hlk171515626"/>
      <w:r w:rsidRPr="00FE41C8">
        <w:rPr>
          <w:rFonts w:ascii="Garamond" w:hAnsi="Garamond"/>
          <w:sz w:val="24"/>
          <w:szCs w:val="24"/>
        </w:rPr>
        <w:t xml:space="preserve">ustawy z dnia 20 lutego 2015 r. o odnawialnych źródłach energii- zwanej dalej </w:t>
      </w:r>
      <w:r w:rsidR="00190EAB" w:rsidRPr="00FE41C8">
        <w:rPr>
          <w:rFonts w:ascii="Garamond" w:hAnsi="Garamond"/>
          <w:sz w:val="24"/>
          <w:szCs w:val="24"/>
        </w:rPr>
        <w:t>„Ustawą</w:t>
      </w:r>
      <w:r w:rsidRPr="00FE41C8">
        <w:rPr>
          <w:rFonts w:ascii="Garamond" w:hAnsi="Garamond"/>
          <w:sz w:val="24"/>
          <w:szCs w:val="24"/>
        </w:rPr>
        <w:t xml:space="preserve"> OZE” </w:t>
      </w:r>
      <w:r w:rsidR="00F17929" w:rsidRPr="00FE41C8">
        <w:rPr>
          <w:rFonts w:ascii="Garamond" w:hAnsi="Garamond"/>
          <w:sz w:val="24"/>
          <w:szCs w:val="24"/>
        </w:rPr>
        <w:t>(Dz.U.</w:t>
      </w:r>
      <w:r w:rsidRPr="00FE41C8">
        <w:rPr>
          <w:rFonts w:ascii="Garamond" w:hAnsi="Garamond"/>
          <w:sz w:val="24"/>
          <w:szCs w:val="24"/>
        </w:rPr>
        <w:t xml:space="preserve"> z </w:t>
      </w:r>
      <w:r w:rsidR="00DA12DF" w:rsidRPr="00FE41C8">
        <w:rPr>
          <w:rFonts w:ascii="Garamond" w:hAnsi="Garamond"/>
          <w:sz w:val="24"/>
          <w:szCs w:val="24"/>
        </w:rPr>
        <w:t xml:space="preserve">2024 </w:t>
      </w:r>
      <w:r w:rsidRPr="00FE41C8">
        <w:rPr>
          <w:rFonts w:ascii="Garamond" w:hAnsi="Garamond"/>
          <w:sz w:val="24"/>
          <w:szCs w:val="24"/>
        </w:rPr>
        <w:t>r., poz.</w:t>
      </w:r>
      <w:r w:rsidR="00DA12DF" w:rsidRPr="00FE41C8">
        <w:rPr>
          <w:rFonts w:ascii="Garamond" w:hAnsi="Garamond"/>
          <w:sz w:val="24"/>
          <w:szCs w:val="24"/>
        </w:rPr>
        <w:t>1361</w:t>
      </w:r>
      <w:r w:rsidRPr="00FE41C8">
        <w:rPr>
          <w:rFonts w:ascii="Garamond" w:hAnsi="Garamond"/>
          <w:sz w:val="24"/>
          <w:szCs w:val="24"/>
        </w:rPr>
        <w:t>),</w:t>
      </w:r>
    </w:p>
    <w:p w14:paraId="2C4E45BF" w14:textId="4E9EBA20" w:rsidR="00FE41C8" w:rsidRPr="00FE41C8" w:rsidRDefault="00024459">
      <w:pPr>
        <w:pStyle w:val="Akapitzlist"/>
        <w:numPr>
          <w:ilvl w:val="0"/>
          <w:numId w:val="66"/>
        </w:numPr>
        <w:spacing w:line="276" w:lineRule="auto"/>
        <w:ind w:right="-3"/>
        <w:jc w:val="left"/>
        <w:rPr>
          <w:rFonts w:ascii="Garamond" w:hAnsi="Garamond"/>
          <w:sz w:val="24"/>
          <w:szCs w:val="24"/>
        </w:rPr>
      </w:pPr>
      <w:bookmarkStart w:id="3" w:name="_Hlk171515339"/>
      <w:bookmarkEnd w:id="2"/>
      <w:r w:rsidRPr="00FE41C8">
        <w:rPr>
          <w:rFonts w:ascii="Garamond" w:hAnsi="Garamond"/>
          <w:sz w:val="24"/>
          <w:szCs w:val="24"/>
        </w:rPr>
        <w:t xml:space="preserve">Koncesji Industria Dystrybucja Sp. z o.o. na dystrybucję energii elektrycznej </w:t>
      </w:r>
      <w:r w:rsidR="00C8632C" w:rsidRPr="00FE41C8">
        <w:rPr>
          <w:rFonts w:ascii="Garamond" w:hAnsi="Garamond"/>
          <w:sz w:val="24"/>
          <w:szCs w:val="24"/>
        </w:rPr>
        <w:br/>
      </w:r>
      <w:r w:rsidRPr="00FE41C8">
        <w:rPr>
          <w:rFonts w:ascii="Garamond" w:hAnsi="Garamond"/>
          <w:sz w:val="24"/>
          <w:szCs w:val="24"/>
        </w:rPr>
        <w:t>nr</w:t>
      </w:r>
      <w:r w:rsidR="0064529D" w:rsidRPr="00FE41C8">
        <w:rPr>
          <w:rFonts w:ascii="Garamond" w:hAnsi="Garamond"/>
          <w:sz w:val="24"/>
          <w:szCs w:val="24"/>
        </w:rPr>
        <w:t xml:space="preserve"> DEE/459/71879/W/OKA/2024/</w:t>
      </w:r>
      <w:proofErr w:type="spellStart"/>
      <w:r w:rsidR="0064529D" w:rsidRPr="00FE41C8">
        <w:rPr>
          <w:rFonts w:ascii="Garamond" w:hAnsi="Garamond"/>
          <w:sz w:val="24"/>
          <w:szCs w:val="24"/>
        </w:rPr>
        <w:t>PPu</w:t>
      </w:r>
      <w:proofErr w:type="spellEnd"/>
      <w:r w:rsidRPr="00FE41C8">
        <w:rPr>
          <w:rFonts w:ascii="Garamond" w:hAnsi="Garamond"/>
          <w:sz w:val="24"/>
          <w:szCs w:val="24"/>
        </w:rPr>
        <w:t xml:space="preserve"> z dnia </w:t>
      </w:r>
      <w:r w:rsidR="0064529D" w:rsidRPr="00FE41C8">
        <w:rPr>
          <w:rFonts w:ascii="Garamond" w:hAnsi="Garamond"/>
          <w:sz w:val="24"/>
          <w:szCs w:val="24"/>
        </w:rPr>
        <w:t xml:space="preserve">24 czerwca </w:t>
      </w:r>
      <w:r w:rsidR="00190EAB" w:rsidRPr="00FE41C8">
        <w:rPr>
          <w:rFonts w:ascii="Garamond" w:hAnsi="Garamond"/>
          <w:sz w:val="24"/>
          <w:szCs w:val="24"/>
        </w:rPr>
        <w:t>2024 r.</w:t>
      </w:r>
    </w:p>
    <w:bookmarkEnd w:id="3"/>
    <w:p w14:paraId="7D5C1C10" w14:textId="751D4002" w:rsidR="00FE41C8" w:rsidRPr="00FE41C8" w:rsidRDefault="00024459">
      <w:pPr>
        <w:pStyle w:val="Akapitzlist"/>
        <w:numPr>
          <w:ilvl w:val="0"/>
          <w:numId w:val="66"/>
        </w:numPr>
        <w:spacing w:line="276" w:lineRule="auto"/>
        <w:ind w:right="-3"/>
        <w:jc w:val="left"/>
        <w:rPr>
          <w:rFonts w:ascii="Garamond" w:hAnsi="Garamond"/>
          <w:sz w:val="24"/>
          <w:szCs w:val="24"/>
        </w:rPr>
      </w:pPr>
      <w:r w:rsidRPr="00FE41C8">
        <w:rPr>
          <w:rFonts w:ascii="Garamond" w:hAnsi="Garamond"/>
          <w:sz w:val="24"/>
          <w:szCs w:val="24"/>
        </w:rPr>
        <w:t>Decyzji Prezesa URE nr</w:t>
      </w:r>
      <w:r w:rsidR="004013E8" w:rsidRPr="00FE41C8">
        <w:rPr>
          <w:rFonts w:ascii="Garamond" w:hAnsi="Garamond"/>
          <w:sz w:val="24"/>
          <w:szCs w:val="24"/>
        </w:rPr>
        <w:t xml:space="preserve"> DRE.WOSE.4711.</w:t>
      </w:r>
      <w:r w:rsidR="00190EAB" w:rsidRPr="00FE41C8">
        <w:rPr>
          <w:rFonts w:ascii="Garamond" w:hAnsi="Garamond"/>
          <w:sz w:val="24"/>
          <w:szCs w:val="24"/>
        </w:rPr>
        <w:t>18.06.2024.JGz dnia</w:t>
      </w:r>
      <w:r w:rsidR="004013E8" w:rsidRPr="00FE41C8">
        <w:rPr>
          <w:rFonts w:ascii="Garamond" w:hAnsi="Garamond"/>
          <w:sz w:val="24"/>
          <w:szCs w:val="24"/>
        </w:rPr>
        <w:t xml:space="preserve"> 2 września </w:t>
      </w:r>
      <w:r w:rsidR="00190EAB" w:rsidRPr="00FE41C8">
        <w:rPr>
          <w:rFonts w:ascii="Garamond" w:hAnsi="Garamond"/>
          <w:sz w:val="24"/>
          <w:szCs w:val="24"/>
        </w:rPr>
        <w:t>2024 r.</w:t>
      </w:r>
      <w:r w:rsidR="004013E8" w:rsidRPr="00FE41C8">
        <w:rPr>
          <w:rFonts w:ascii="Garamond" w:hAnsi="Garamond"/>
          <w:sz w:val="24"/>
          <w:szCs w:val="24"/>
        </w:rPr>
        <w:t xml:space="preserve">, </w:t>
      </w:r>
      <w:r w:rsidR="004013E8" w:rsidRPr="00FE41C8">
        <w:rPr>
          <w:rFonts w:ascii="Garamond" w:hAnsi="Garamond"/>
          <w:sz w:val="24"/>
          <w:szCs w:val="24"/>
        </w:rPr>
        <w:br/>
      </w:r>
      <w:r w:rsidRPr="00FE41C8">
        <w:rPr>
          <w:rFonts w:ascii="Garamond" w:hAnsi="Garamond"/>
          <w:sz w:val="24"/>
          <w:szCs w:val="24"/>
        </w:rPr>
        <w:t>o wyznaczeniu Industria Dystrybucja Sp. z o.o. operatorem systemu dystrybucyjnego elektroenergetycznego,</w:t>
      </w:r>
    </w:p>
    <w:p w14:paraId="43366408" w14:textId="4ECEECAB" w:rsidR="00FE41C8" w:rsidRPr="00FE41C8" w:rsidRDefault="000D3B09">
      <w:pPr>
        <w:pStyle w:val="Akapitzlist"/>
        <w:numPr>
          <w:ilvl w:val="0"/>
          <w:numId w:val="66"/>
        </w:numPr>
        <w:spacing w:line="276" w:lineRule="auto"/>
        <w:ind w:right="-3"/>
        <w:jc w:val="left"/>
        <w:rPr>
          <w:rFonts w:ascii="Garamond" w:hAnsi="Garamond"/>
          <w:sz w:val="24"/>
          <w:szCs w:val="24"/>
        </w:rPr>
      </w:pPr>
      <w:r w:rsidRPr="00FE41C8">
        <w:rPr>
          <w:rFonts w:ascii="Garamond" w:hAnsi="Garamond"/>
          <w:sz w:val="24"/>
          <w:szCs w:val="24"/>
        </w:rPr>
        <w:t xml:space="preserve">Określone w opracowanej przez Operatora Systemu Przesyłowego (zwanej dalej OSP) </w:t>
      </w:r>
      <w:r w:rsidR="00024459" w:rsidRPr="00FE41C8">
        <w:rPr>
          <w:rFonts w:ascii="Garamond" w:hAnsi="Garamond"/>
          <w:sz w:val="24"/>
          <w:szCs w:val="24"/>
        </w:rPr>
        <w:t xml:space="preserve">Instrukcji ruchu i Eksploatacji Sieci </w:t>
      </w:r>
      <w:r w:rsidR="00190EAB" w:rsidRPr="00FE41C8">
        <w:rPr>
          <w:rFonts w:ascii="Garamond" w:hAnsi="Garamond"/>
          <w:sz w:val="24"/>
          <w:szCs w:val="24"/>
        </w:rPr>
        <w:t>Przesyłowej (</w:t>
      </w:r>
      <w:r w:rsidR="00024459" w:rsidRPr="00FE41C8">
        <w:rPr>
          <w:rFonts w:ascii="Garamond" w:hAnsi="Garamond"/>
          <w:sz w:val="24"/>
          <w:szCs w:val="24"/>
        </w:rPr>
        <w:t>zwanej dalej IRiESP),</w:t>
      </w:r>
      <w:r w:rsidRPr="00FE41C8">
        <w:rPr>
          <w:rFonts w:ascii="Garamond" w:hAnsi="Garamond"/>
          <w:sz w:val="24"/>
          <w:szCs w:val="24"/>
        </w:rPr>
        <w:t xml:space="preserve"> oraz określone w opracowanej przez Operatora Systemu Dystrybucyjnego nadrzędnego (zwanego dalej OSDp) i</w:t>
      </w:r>
      <w:r w:rsidR="00830C5E" w:rsidRPr="00FE41C8">
        <w:rPr>
          <w:rFonts w:ascii="Garamond" w:hAnsi="Garamond"/>
          <w:sz w:val="24"/>
          <w:szCs w:val="24"/>
        </w:rPr>
        <w:t>nstrukcj</w:t>
      </w:r>
      <w:r w:rsidR="00F5565C">
        <w:rPr>
          <w:rFonts w:ascii="Garamond" w:hAnsi="Garamond"/>
          <w:sz w:val="24"/>
          <w:szCs w:val="24"/>
        </w:rPr>
        <w:t>i</w:t>
      </w:r>
      <w:r w:rsidR="00830C5E" w:rsidRPr="00FE41C8">
        <w:rPr>
          <w:rFonts w:ascii="Garamond" w:hAnsi="Garamond"/>
          <w:sz w:val="24"/>
          <w:szCs w:val="24"/>
        </w:rPr>
        <w:t xml:space="preserve"> Ruchu i Eksploatacji Sieci Dystrybucyjnej (zwanej </w:t>
      </w:r>
      <w:r w:rsidR="00FF23BB" w:rsidRPr="00FE41C8">
        <w:rPr>
          <w:rFonts w:ascii="Garamond" w:hAnsi="Garamond"/>
          <w:sz w:val="24"/>
          <w:szCs w:val="24"/>
        </w:rPr>
        <w:t>dalej</w:t>
      </w:r>
      <w:r w:rsidR="008D15C5">
        <w:rPr>
          <w:rFonts w:ascii="Garamond" w:hAnsi="Garamond"/>
          <w:sz w:val="24"/>
          <w:szCs w:val="24"/>
        </w:rPr>
        <w:t xml:space="preserve"> </w:t>
      </w:r>
      <w:r w:rsidR="008D15C5" w:rsidRPr="008D15C5">
        <w:rPr>
          <w:rFonts w:ascii="Garamond" w:hAnsi="Garamond"/>
          <w:sz w:val="24"/>
          <w:szCs w:val="24"/>
        </w:rPr>
        <w:t>IRiESD</w:t>
      </w:r>
      <w:r w:rsidR="00FF23BB" w:rsidRPr="00FE41C8">
        <w:rPr>
          <w:rFonts w:ascii="Garamond" w:hAnsi="Garamond"/>
          <w:sz w:val="24"/>
          <w:szCs w:val="24"/>
        </w:rPr>
        <w:t>)</w:t>
      </w:r>
      <w:r w:rsidR="00830C5E" w:rsidRPr="00FE41C8">
        <w:rPr>
          <w:rFonts w:ascii="Garamond" w:hAnsi="Garamond"/>
          <w:sz w:val="24"/>
          <w:szCs w:val="24"/>
        </w:rPr>
        <w:t>,</w:t>
      </w:r>
    </w:p>
    <w:p w14:paraId="236F2FE4" w14:textId="575946A9" w:rsidR="00FE41C8" w:rsidRPr="00FE41C8" w:rsidRDefault="00DA12DF">
      <w:pPr>
        <w:pStyle w:val="Akapitzlist"/>
        <w:numPr>
          <w:ilvl w:val="0"/>
          <w:numId w:val="66"/>
        </w:numPr>
        <w:spacing w:line="276" w:lineRule="auto"/>
        <w:ind w:right="-3"/>
        <w:jc w:val="left"/>
        <w:rPr>
          <w:rFonts w:ascii="Garamond" w:hAnsi="Garamond"/>
          <w:sz w:val="24"/>
          <w:szCs w:val="24"/>
        </w:rPr>
      </w:pPr>
      <w:r w:rsidRPr="00FE41C8">
        <w:rPr>
          <w:rFonts w:ascii="Garamond" w:hAnsi="Garamond"/>
          <w:sz w:val="24"/>
          <w:szCs w:val="24"/>
        </w:rPr>
        <w:t>ustawy z dnia 7 lipca 1994 r. Prawo budowlane (Dz. U. z 2024 r., poz. 725 z późn. zm.</w:t>
      </w:r>
      <w:r w:rsidR="00024459" w:rsidRPr="00FE41C8">
        <w:rPr>
          <w:rFonts w:ascii="Garamond" w:hAnsi="Garamond"/>
          <w:sz w:val="24"/>
          <w:szCs w:val="24"/>
        </w:rPr>
        <w:t>),</w:t>
      </w:r>
    </w:p>
    <w:p w14:paraId="529CC66E" w14:textId="27DC1289" w:rsidR="00FE41C8" w:rsidRPr="00FE41C8" w:rsidRDefault="00024459">
      <w:pPr>
        <w:pStyle w:val="Akapitzlist"/>
        <w:numPr>
          <w:ilvl w:val="0"/>
          <w:numId w:val="66"/>
        </w:numPr>
        <w:spacing w:line="276" w:lineRule="auto"/>
        <w:ind w:right="-3"/>
        <w:jc w:val="left"/>
        <w:rPr>
          <w:rFonts w:ascii="Garamond" w:hAnsi="Garamond"/>
          <w:sz w:val="24"/>
          <w:szCs w:val="24"/>
        </w:rPr>
      </w:pPr>
      <w:r w:rsidRPr="00FE41C8">
        <w:rPr>
          <w:rFonts w:ascii="Garamond" w:hAnsi="Garamond"/>
          <w:sz w:val="24"/>
          <w:szCs w:val="24"/>
        </w:rPr>
        <w:t xml:space="preserve">ustawy z dnia 26 czerwca 1974 r. Kodeks Pracy </w:t>
      </w:r>
      <w:r w:rsidR="00190EAB" w:rsidRPr="00FE41C8">
        <w:rPr>
          <w:rFonts w:ascii="Garamond" w:hAnsi="Garamond"/>
          <w:sz w:val="24"/>
          <w:szCs w:val="24"/>
        </w:rPr>
        <w:t>(Dz.U.</w:t>
      </w:r>
      <w:r w:rsidRPr="00FE41C8">
        <w:rPr>
          <w:rFonts w:ascii="Garamond" w:hAnsi="Garamond"/>
          <w:sz w:val="24"/>
          <w:szCs w:val="24"/>
        </w:rPr>
        <w:t xml:space="preserve"> z </w:t>
      </w:r>
      <w:r w:rsidR="00DA12DF" w:rsidRPr="00FE41C8">
        <w:rPr>
          <w:rFonts w:ascii="Garamond" w:hAnsi="Garamond"/>
          <w:sz w:val="24"/>
          <w:szCs w:val="24"/>
        </w:rPr>
        <w:t xml:space="preserve">2023 </w:t>
      </w:r>
      <w:r w:rsidRPr="00FE41C8">
        <w:rPr>
          <w:rFonts w:ascii="Garamond" w:hAnsi="Garamond"/>
          <w:sz w:val="24"/>
          <w:szCs w:val="24"/>
        </w:rPr>
        <w:t xml:space="preserve">r., poz. </w:t>
      </w:r>
      <w:r w:rsidR="00DA12DF" w:rsidRPr="00FE41C8">
        <w:rPr>
          <w:rFonts w:ascii="Garamond" w:hAnsi="Garamond"/>
          <w:sz w:val="24"/>
          <w:szCs w:val="24"/>
        </w:rPr>
        <w:t xml:space="preserve">1465 </w:t>
      </w:r>
      <w:r w:rsidRPr="00FE41C8">
        <w:rPr>
          <w:rFonts w:ascii="Garamond" w:hAnsi="Garamond"/>
          <w:sz w:val="24"/>
          <w:szCs w:val="24"/>
        </w:rPr>
        <w:t xml:space="preserve">z późn. </w:t>
      </w:r>
      <w:r w:rsidR="00DA12DF" w:rsidRPr="00FE41C8">
        <w:rPr>
          <w:rFonts w:ascii="Garamond" w:hAnsi="Garamond"/>
          <w:sz w:val="24"/>
          <w:szCs w:val="24"/>
        </w:rPr>
        <w:t>zm.</w:t>
      </w:r>
      <w:r w:rsidRPr="00FE41C8">
        <w:rPr>
          <w:rFonts w:ascii="Garamond" w:hAnsi="Garamond"/>
          <w:sz w:val="24"/>
          <w:szCs w:val="24"/>
        </w:rPr>
        <w:t>),</w:t>
      </w:r>
    </w:p>
    <w:p w14:paraId="3B91FA6C" w14:textId="5FC6F716" w:rsidR="00844F5D" w:rsidRPr="00FE41C8" w:rsidRDefault="00844F5D">
      <w:pPr>
        <w:pStyle w:val="Akapitzlist"/>
        <w:numPr>
          <w:ilvl w:val="0"/>
          <w:numId w:val="66"/>
        </w:numPr>
        <w:spacing w:line="276" w:lineRule="auto"/>
        <w:ind w:right="-3"/>
        <w:jc w:val="left"/>
        <w:rPr>
          <w:rFonts w:ascii="Garamond" w:hAnsi="Garamond"/>
          <w:sz w:val="24"/>
          <w:szCs w:val="24"/>
        </w:rPr>
      </w:pPr>
      <w:r w:rsidRPr="00FE41C8">
        <w:rPr>
          <w:rFonts w:ascii="Garamond" w:hAnsi="Garamond"/>
          <w:sz w:val="24"/>
          <w:szCs w:val="24"/>
        </w:rPr>
        <w:t>Taryfy dla usług dystrybucji energii elektrycznej Industria Dystrybucja Sp. z o.o.</w:t>
      </w:r>
    </w:p>
    <w:p w14:paraId="6A40C7AA" w14:textId="77777777" w:rsidR="00844F5D" w:rsidRPr="00FE41C8" w:rsidRDefault="00844F5D">
      <w:pPr>
        <w:pStyle w:val="Akapitzlist"/>
        <w:numPr>
          <w:ilvl w:val="0"/>
          <w:numId w:val="66"/>
        </w:numPr>
        <w:spacing w:line="276" w:lineRule="auto"/>
        <w:ind w:right="-3"/>
        <w:jc w:val="left"/>
        <w:rPr>
          <w:rFonts w:ascii="Garamond" w:hAnsi="Garamond"/>
          <w:sz w:val="24"/>
          <w:szCs w:val="24"/>
        </w:rPr>
      </w:pPr>
      <w:r w:rsidRPr="00FE41C8">
        <w:rPr>
          <w:rFonts w:ascii="Garamond" w:hAnsi="Garamond"/>
          <w:sz w:val="24"/>
          <w:szCs w:val="24"/>
        </w:rPr>
        <w:t>zawarte w:</w:t>
      </w:r>
    </w:p>
    <w:p w14:paraId="656D741C" w14:textId="759CD43B" w:rsidR="00844F5D" w:rsidRPr="00FE41C8" w:rsidRDefault="00844F5D">
      <w:pPr>
        <w:pStyle w:val="Akapitzlist"/>
        <w:numPr>
          <w:ilvl w:val="0"/>
          <w:numId w:val="13"/>
        </w:numPr>
        <w:spacing w:after="298"/>
        <w:ind w:left="851" w:right="-3" w:hanging="284"/>
        <w:jc w:val="left"/>
        <w:rPr>
          <w:rFonts w:ascii="Garamond" w:hAnsi="Garamond"/>
          <w:sz w:val="24"/>
          <w:szCs w:val="24"/>
        </w:rPr>
      </w:pPr>
      <w:r w:rsidRPr="00AE3F1B">
        <w:rPr>
          <w:rFonts w:ascii="Garamond" w:hAnsi="Garamond"/>
          <w:sz w:val="24"/>
          <w:szCs w:val="24"/>
        </w:rPr>
        <w:t xml:space="preserve">rozporządzeniu Komisji (UE) 2017/2195 z dnia 23 listopada </w:t>
      </w:r>
      <w:r w:rsidR="00190EAB" w:rsidRPr="00AE3F1B">
        <w:rPr>
          <w:rFonts w:ascii="Garamond" w:hAnsi="Garamond"/>
          <w:sz w:val="24"/>
          <w:szCs w:val="24"/>
        </w:rPr>
        <w:t>2017 r.</w:t>
      </w:r>
      <w:r w:rsidRPr="00AE3F1B">
        <w:rPr>
          <w:rFonts w:ascii="Garamond" w:hAnsi="Garamond"/>
          <w:sz w:val="24"/>
          <w:szCs w:val="24"/>
        </w:rPr>
        <w:t xml:space="preserve"> ustanawiającym wytyczne dotyczące bilansowania </w:t>
      </w:r>
      <w:r w:rsidR="00190EAB" w:rsidRPr="00AE3F1B">
        <w:rPr>
          <w:rFonts w:ascii="Garamond" w:hAnsi="Garamond"/>
          <w:sz w:val="24"/>
          <w:szCs w:val="24"/>
        </w:rPr>
        <w:t>(Dz.</w:t>
      </w:r>
      <w:r w:rsidRPr="00AE3F1B">
        <w:rPr>
          <w:rFonts w:ascii="Garamond" w:hAnsi="Garamond"/>
          <w:sz w:val="24"/>
          <w:szCs w:val="24"/>
        </w:rPr>
        <w:t xml:space="preserve"> Urz. UE L 312/6 z 28.11.2017t. z późn</w:t>
      </w:r>
      <w:r w:rsidR="00834D16" w:rsidRPr="00AE3F1B">
        <w:rPr>
          <w:rFonts w:ascii="Garamond" w:hAnsi="Garamond"/>
          <w:sz w:val="24"/>
          <w:szCs w:val="24"/>
        </w:rPr>
        <w:t>. z</w:t>
      </w:r>
      <w:r w:rsidRPr="00AE3F1B">
        <w:rPr>
          <w:rFonts w:ascii="Garamond" w:hAnsi="Garamond"/>
          <w:sz w:val="24"/>
          <w:szCs w:val="24"/>
        </w:rPr>
        <w:t>mianami) – EB GL,</w:t>
      </w:r>
    </w:p>
    <w:p w14:paraId="7691E9A3" w14:textId="2360DCB3" w:rsidR="00844F5D" w:rsidRPr="00FE41C8" w:rsidRDefault="006E34EA">
      <w:pPr>
        <w:pStyle w:val="Akapitzlist"/>
        <w:numPr>
          <w:ilvl w:val="0"/>
          <w:numId w:val="13"/>
        </w:numPr>
        <w:spacing w:after="298"/>
        <w:ind w:left="851" w:right="-3" w:hanging="284"/>
        <w:jc w:val="left"/>
        <w:rPr>
          <w:rFonts w:ascii="Garamond" w:hAnsi="Garamond"/>
          <w:sz w:val="24"/>
          <w:szCs w:val="24"/>
        </w:rPr>
      </w:pPr>
      <w:r w:rsidRPr="00AE3F1B">
        <w:rPr>
          <w:rFonts w:ascii="Garamond" w:hAnsi="Garamond"/>
          <w:sz w:val="24"/>
          <w:szCs w:val="24"/>
        </w:rPr>
        <w:t xml:space="preserve">rozporządzeniu </w:t>
      </w:r>
      <w:r w:rsidR="00844F5D" w:rsidRPr="00AE3F1B">
        <w:rPr>
          <w:rFonts w:ascii="Garamond" w:hAnsi="Garamond"/>
          <w:sz w:val="24"/>
          <w:szCs w:val="24"/>
        </w:rPr>
        <w:t xml:space="preserve">Komisji (UE) 2016/631 z dnia 14 kwietnia </w:t>
      </w:r>
      <w:r w:rsidR="00190EAB" w:rsidRPr="00AE3F1B">
        <w:rPr>
          <w:rFonts w:ascii="Garamond" w:hAnsi="Garamond"/>
          <w:sz w:val="24"/>
          <w:szCs w:val="24"/>
        </w:rPr>
        <w:t>2016 r.</w:t>
      </w:r>
      <w:r w:rsidR="00844F5D" w:rsidRPr="00AE3F1B">
        <w:rPr>
          <w:rFonts w:ascii="Garamond" w:hAnsi="Garamond"/>
          <w:sz w:val="24"/>
          <w:szCs w:val="24"/>
        </w:rPr>
        <w:t xml:space="preserve"> ustanawiający kodeks sieci dotyczący wymogów w zakresie przyłączenia jednostek wytwórczych do sieci </w:t>
      </w:r>
      <w:r w:rsidR="00190EAB" w:rsidRPr="00AE3F1B">
        <w:rPr>
          <w:rFonts w:ascii="Garamond" w:hAnsi="Garamond"/>
          <w:sz w:val="24"/>
          <w:szCs w:val="24"/>
        </w:rPr>
        <w:t>(Dz.</w:t>
      </w:r>
      <w:r w:rsidR="00844F5D" w:rsidRPr="00AE3F1B">
        <w:rPr>
          <w:rFonts w:ascii="Garamond" w:hAnsi="Garamond"/>
          <w:sz w:val="24"/>
          <w:szCs w:val="24"/>
        </w:rPr>
        <w:t xml:space="preserve"> Urz. UE L 112/1 z </w:t>
      </w:r>
      <w:r w:rsidR="00190EAB" w:rsidRPr="00AE3F1B">
        <w:rPr>
          <w:rFonts w:ascii="Garamond" w:hAnsi="Garamond"/>
          <w:sz w:val="24"/>
          <w:szCs w:val="24"/>
        </w:rPr>
        <w:t>17.04.2016 r.</w:t>
      </w:r>
      <w:r w:rsidR="00844F5D" w:rsidRPr="00AE3F1B">
        <w:rPr>
          <w:rFonts w:ascii="Garamond" w:hAnsi="Garamond"/>
          <w:sz w:val="24"/>
          <w:szCs w:val="24"/>
        </w:rPr>
        <w:t xml:space="preserve"> z późn. </w:t>
      </w:r>
      <w:r w:rsidR="00190EAB" w:rsidRPr="00AE3F1B">
        <w:rPr>
          <w:rFonts w:ascii="Garamond" w:hAnsi="Garamond"/>
          <w:sz w:val="24"/>
          <w:szCs w:val="24"/>
        </w:rPr>
        <w:t>zmianami) -</w:t>
      </w:r>
      <w:r w:rsidR="00844F5D" w:rsidRPr="00AE3F1B">
        <w:rPr>
          <w:rFonts w:ascii="Garamond" w:hAnsi="Garamond"/>
          <w:sz w:val="24"/>
          <w:szCs w:val="24"/>
        </w:rPr>
        <w:t xml:space="preserve"> NC </w:t>
      </w:r>
      <w:proofErr w:type="spellStart"/>
      <w:r w:rsidR="00844F5D" w:rsidRPr="00AE3F1B">
        <w:rPr>
          <w:rFonts w:ascii="Garamond" w:hAnsi="Garamond"/>
          <w:sz w:val="24"/>
          <w:szCs w:val="24"/>
        </w:rPr>
        <w:t>RfG</w:t>
      </w:r>
      <w:proofErr w:type="spellEnd"/>
      <w:r w:rsidR="00844F5D" w:rsidRPr="00AE3F1B">
        <w:rPr>
          <w:rFonts w:ascii="Garamond" w:hAnsi="Garamond"/>
          <w:sz w:val="24"/>
          <w:szCs w:val="24"/>
        </w:rPr>
        <w:t>,</w:t>
      </w:r>
    </w:p>
    <w:p w14:paraId="56BD08D3" w14:textId="75145E09" w:rsidR="00844F5D" w:rsidRPr="00AE3F1B" w:rsidRDefault="00F5565C">
      <w:pPr>
        <w:pStyle w:val="Akapitzlist"/>
        <w:numPr>
          <w:ilvl w:val="0"/>
          <w:numId w:val="13"/>
        </w:numPr>
        <w:spacing w:after="298"/>
        <w:ind w:left="851" w:right="-3" w:hanging="284"/>
        <w:jc w:val="left"/>
        <w:rPr>
          <w:rFonts w:ascii="Garamond" w:hAnsi="Garamond"/>
          <w:sz w:val="24"/>
          <w:szCs w:val="24"/>
        </w:rPr>
      </w:pPr>
      <w:r w:rsidRPr="00AE3F1B">
        <w:rPr>
          <w:rFonts w:ascii="Garamond" w:hAnsi="Garamond"/>
          <w:sz w:val="24"/>
          <w:szCs w:val="24"/>
        </w:rPr>
        <w:t xml:space="preserve">rozporządzeniu </w:t>
      </w:r>
      <w:r w:rsidR="00844F5D" w:rsidRPr="00AE3F1B">
        <w:rPr>
          <w:rFonts w:ascii="Garamond" w:hAnsi="Garamond"/>
          <w:sz w:val="24"/>
          <w:szCs w:val="24"/>
        </w:rPr>
        <w:t xml:space="preserve">Komisji (UE) 2016/1388 z dnia 17 sierpnia </w:t>
      </w:r>
      <w:r w:rsidR="00190EAB" w:rsidRPr="00AE3F1B">
        <w:rPr>
          <w:rFonts w:ascii="Garamond" w:hAnsi="Garamond"/>
          <w:sz w:val="24"/>
          <w:szCs w:val="24"/>
        </w:rPr>
        <w:t>2016 r.</w:t>
      </w:r>
      <w:r w:rsidR="00844F5D" w:rsidRPr="00AE3F1B">
        <w:rPr>
          <w:rFonts w:ascii="Garamond" w:hAnsi="Garamond"/>
          <w:sz w:val="24"/>
          <w:szCs w:val="24"/>
        </w:rPr>
        <w:t xml:space="preserve"> ustanawiający kodeks </w:t>
      </w:r>
      <w:r w:rsidR="00834D16" w:rsidRPr="00AE3F1B">
        <w:rPr>
          <w:rFonts w:ascii="Garamond" w:hAnsi="Garamond"/>
          <w:sz w:val="24"/>
          <w:szCs w:val="24"/>
        </w:rPr>
        <w:t>s</w:t>
      </w:r>
      <w:r w:rsidR="00844F5D" w:rsidRPr="00AE3F1B">
        <w:rPr>
          <w:rFonts w:ascii="Garamond" w:hAnsi="Garamond"/>
          <w:sz w:val="24"/>
          <w:szCs w:val="24"/>
        </w:rPr>
        <w:t xml:space="preserve">ieci dotyczący przyłączenia odbioru </w:t>
      </w:r>
      <w:r w:rsidR="00190EAB" w:rsidRPr="00AE3F1B">
        <w:rPr>
          <w:rFonts w:ascii="Garamond" w:hAnsi="Garamond"/>
          <w:sz w:val="24"/>
          <w:szCs w:val="24"/>
        </w:rPr>
        <w:t>(Dz.</w:t>
      </w:r>
      <w:r w:rsidR="00844F5D" w:rsidRPr="00AE3F1B">
        <w:rPr>
          <w:rFonts w:ascii="Garamond" w:hAnsi="Garamond"/>
          <w:sz w:val="24"/>
          <w:szCs w:val="24"/>
        </w:rPr>
        <w:t xml:space="preserve"> Urz. UE L 223/10 z </w:t>
      </w:r>
      <w:r w:rsidR="00F17929" w:rsidRPr="00AE3F1B">
        <w:rPr>
          <w:rFonts w:ascii="Garamond" w:hAnsi="Garamond"/>
          <w:sz w:val="24"/>
          <w:szCs w:val="24"/>
        </w:rPr>
        <w:t>18.08.2016</w:t>
      </w:r>
      <w:r w:rsidR="00190EAB" w:rsidRPr="00AE3F1B">
        <w:rPr>
          <w:rFonts w:ascii="Garamond" w:hAnsi="Garamond"/>
          <w:sz w:val="24"/>
          <w:szCs w:val="24"/>
        </w:rPr>
        <w:t xml:space="preserve"> r.</w:t>
      </w:r>
      <w:r w:rsidR="00844F5D" w:rsidRPr="00AE3F1B">
        <w:rPr>
          <w:rFonts w:ascii="Garamond" w:hAnsi="Garamond"/>
          <w:sz w:val="24"/>
          <w:szCs w:val="24"/>
        </w:rPr>
        <w:t xml:space="preserve"> – NC DC,</w:t>
      </w:r>
    </w:p>
    <w:p w14:paraId="2D08752C" w14:textId="77777777" w:rsidR="00844F5D" w:rsidRPr="00AE3F1B" w:rsidRDefault="00844F5D" w:rsidP="00ED1C0C">
      <w:pPr>
        <w:pStyle w:val="Akapitzlist"/>
        <w:ind w:left="1276" w:right="-3" w:hanging="283"/>
        <w:jc w:val="left"/>
        <w:rPr>
          <w:rFonts w:ascii="Garamond" w:hAnsi="Garamond"/>
          <w:sz w:val="24"/>
          <w:szCs w:val="24"/>
        </w:rPr>
      </w:pPr>
    </w:p>
    <w:p w14:paraId="38917FA1" w14:textId="21A7F2D0" w:rsidR="00F3086E" w:rsidRPr="00FE41C8" w:rsidRDefault="006E34EA">
      <w:pPr>
        <w:pStyle w:val="Akapitzlist"/>
        <w:numPr>
          <w:ilvl w:val="0"/>
          <w:numId w:val="13"/>
        </w:numPr>
        <w:spacing w:after="298"/>
        <w:ind w:left="851" w:right="-3" w:hanging="284"/>
        <w:jc w:val="left"/>
        <w:rPr>
          <w:rFonts w:ascii="Garamond" w:hAnsi="Garamond"/>
          <w:sz w:val="24"/>
          <w:szCs w:val="24"/>
        </w:rPr>
      </w:pPr>
      <w:r w:rsidRPr="00AE3F1B">
        <w:rPr>
          <w:rFonts w:ascii="Garamond" w:hAnsi="Garamond"/>
          <w:sz w:val="24"/>
          <w:szCs w:val="24"/>
        </w:rPr>
        <w:t xml:space="preserve">rozporządzeniu </w:t>
      </w:r>
      <w:r w:rsidR="00F3086E" w:rsidRPr="00AE3F1B">
        <w:rPr>
          <w:rFonts w:ascii="Garamond" w:hAnsi="Garamond"/>
          <w:sz w:val="24"/>
          <w:szCs w:val="24"/>
        </w:rPr>
        <w:t xml:space="preserve">Komisji (UE) 2016/1447 z dnia 26 sierpnia </w:t>
      </w:r>
      <w:r w:rsidR="00190EAB" w:rsidRPr="00AE3F1B">
        <w:rPr>
          <w:rFonts w:ascii="Garamond" w:hAnsi="Garamond"/>
          <w:sz w:val="24"/>
          <w:szCs w:val="24"/>
        </w:rPr>
        <w:t>2016 r.</w:t>
      </w:r>
      <w:r w:rsidR="00F3086E" w:rsidRPr="00AE3F1B">
        <w:rPr>
          <w:rFonts w:ascii="Garamond" w:hAnsi="Garamond"/>
          <w:sz w:val="24"/>
          <w:szCs w:val="24"/>
        </w:rPr>
        <w:t xml:space="preserve"> ustanawiającym kodeks sieci określający wymogi dotyczące przyłączenia do sieci systemów wysokiego napięcia prądu stałego oraz modułów parku energii z podłączeniem prądu stałego (Dz. Urz. UE L 241/1 z </w:t>
      </w:r>
      <w:r w:rsidR="00F17929" w:rsidRPr="00AE3F1B">
        <w:rPr>
          <w:rFonts w:ascii="Garamond" w:hAnsi="Garamond"/>
          <w:sz w:val="24"/>
          <w:szCs w:val="24"/>
        </w:rPr>
        <w:t>8.09.2016 r.</w:t>
      </w:r>
      <w:r w:rsidR="00190EAB" w:rsidRPr="00AE3F1B">
        <w:rPr>
          <w:rFonts w:ascii="Garamond" w:hAnsi="Garamond"/>
          <w:sz w:val="24"/>
          <w:szCs w:val="24"/>
        </w:rPr>
        <w:t>) -</w:t>
      </w:r>
      <w:r w:rsidR="00F3086E" w:rsidRPr="00AE3F1B">
        <w:rPr>
          <w:rFonts w:ascii="Garamond" w:hAnsi="Garamond"/>
          <w:sz w:val="24"/>
          <w:szCs w:val="24"/>
        </w:rPr>
        <w:t xml:space="preserve"> NC HVDC,</w:t>
      </w:r>
    </w:p>
    <w:p w14:paraId="0725F969" w14:textId="18399EB5" w:rsidR="00834D16" w:rsidRPr="00FE41C8" w:rsidRDefault="006E34EA">
      <w:pPr>
        <w:pStyle w:val="Akapitzlist"/>
        <w:numPr>
          <w:ilvl w:val="0"/>
          <w:numId w:val="13"/>
        </w:numPr>
        <w:spacing w:after="298"/>
        <w:ind w:left="851" w:right="-3" w:hanging="284"/>
        <w:jc w:val="left"/>
        <w:rPr>
          <w:rFonts w:ascii="Garamond" w:hAnsi="Garamond"/>
          <w:sz w:val="24"/>
          <w:szCs w:val="24"/>
        </w:rPr>
      </w:pPr>
      <w:r w:rsidRPr="00AE3F1B">
        <w:rPr>
          <w:rFonts w:ascii="Garamond" w:hAnsi="Garamond"/>
          <w:sz w:val="24"/>
          <w:szCs w:val="24"/>
        </w:rPr>
        <w:t xml:space="preserve">rozporządzeniu </w:t>
      </w:r>
      <w:r w:rsidR="00190EAB" w:rsidRPr="00AE3F1B">
        <w:rPr>
          <w:rFonts w:ascii="Garamond" w:hAnsi="Garamond"/>
          <w:sz w:val="24"/>
          <w:szCs w:val="24"/>
        </w:rPr>
        <w:t>Komisji (</w:t>
      </w:r>
      <w:r w:rsidR="00834D16" w:rsidRPr="00AE3F1B">
        <w:rPr>
          <w:rFonts w:ascii="Garamond" w:hAnsi="Garamond"/>
          <w:sz w:val="24"/>
          <w:szCs w:val="24"/>
        </w:rPr>
        <w:t xml:space="preserve">UE) 2017/1485 z dnia 2 sierpnia </w:t>
      </w:r>
      <w:r w:rsidR="00190EAB" w:rsidRPr="00AE3F1B">
        <w:rPr>
          <w:rFonts w:ascii="Garamond" w:hAnsi="Garamond"/>
          <w:sz w:val="24"/>
          <w:szCs w:val="24"/>
        </w:rPr>
        <w:t>2017 r.</w:t>
      </w:r>
      <w:r w:rsidR="00834D16" w:rsidRPr="00AE3F1B">
        <w:rPr>
          <w:rFonts w:ascii="Garamond" w:hAnsi="Garamond"/>
          <w:sz w:val="24"/>
          <w:szCs w:val="24"/>
        </w:rPr>
        <w:t xml:space="preserve"> ustanawiającym wytyczne dotyczące pracy systemu przesyłowego energii elektrycznej </w:t>
      </w:r>
      <w:r w:rsidR="00190EAB" w:rsidRPr="00AE3F1B">
        <w:rPr>
          <w:rFonts w:ascii="Garamond" w:hAnsi="Garamond"/>
          <w:sz w:val="24"/>
          <w:szCs w:val="24"/>
        </w:rPr>
        <w:t>(Dz.</w:t>
      </w:r>
      <w:r w:rsidR="00834D16" w:rsidRPr="00AE3F1B">
        <w:rPr>
          <w:rFonts w:ascii="Garamond" w:hAnsi="Garamond"/>
          <w:sz w:val="24"/>
          <w:szCs w:val="24"/>
        </w:rPr>
        <w:t xml:space="preserve"> Urz. UE L 220/1 z </w:t>
      </w:r>
      <w:r w:rsidR="00D356CE" w:rsidRPr="00AE3F1B">
        <w:rPr>
          <w:rFonts w:ascii="Garamond" w:hAnsi="Garamond"/>
          <w:sz w:val="24"/>
          <w:szCs w:val="24"/>
        </w:rPr>
        <w:t>25.08.2017</w:t>
      </w:r>
      <w:r w:rsidR="00190EAB" w:rsidRPr="00AE3F1B">
        <w:rPr>
          <w:rFonts w:ascii="Garamond" w:hAnsi="Garamond"/>
          <w:sz w:val="24"/>
          <w:szCs w:val="24"/>
        </w:rPr>
        <w:t xml:space="preserve"> r.</w:t>
      </w:r>
      <w:r w:rsidR="00834D16" w:rsidRPr="00AE3F1B">
        <w:rPr>
          <w:rFonts w:ascii="Garamond" w:hAnsi="Garamond"/>
          <w:sz w:val="24"/>
          <w:szCs w:val="24"/>
        </w:rPr>
        <w:t xml:space="preserve"> późn. zmianami) _SO GL</w:t>
      </w:r>
    </w:p>
    <w:p w14:paraId="56DDF3D4" w14:textId="3E1AD61A" w:rsidR="00F547F4" w:rsidRPr="00AE3F1B" w:rsidRDefault="006E34EA">
      <w:pPr>
        <w:pStyle w:val="Akapitzlist"/>
        <w:numPr>
          <w:ilvl w:val="0"/>
          <w:numId w:val="13"/>
        </w:numPr>
        <w:spacing w:after="298"/>
        <w:ind w:left="851" w:right="-3" w:hanging="284"/>
        <w:jc w:val="left"/>
        <w:rPr>
          <w:rFonts w:ascii="Garamond" w:hAnsi="Garamond"/>
          <w:sz w:val="24"/>
          <w:szCs w:val="24"/>
        </w:rPr>
      </w:pPr>
      <w:r w:rsidRPr="00AE3F1B">
        <w:rPr>
          <w:rFonts w:ascii="Garamond" w:hAnsi="Garamond"/>
          <w:sz w:val="24"/>
          <w:szCs w:val="24"/>
        </w:rPr>
        <w:t xml:space="preserve">rozporządzeniu </w:t>
      </w:r>
      <w:r w:rsidR="00834D16" w:rsidRPr="00AE3F1B">
        <w:rPr>
          <w:rFonts w:ascii="Garamond" w:hAnsi="Garamond"/>
          <w:sz w:val="24"/>
          <w:szCs w:val="24"/>
        </w:rPr>
        <w:t xml:space="preserve">Komisji </w:t>
      </w:r>
      <w:r w:rsidR="00190EAB" w:rsidRPr="00AE3F1B">
        <w:rPr>
          <w:rFonts w:ascii="Garamond" w:hAnsi="Garamond"/>
          <w:sz w:val="24"/>
          <w:szCs w:val="24"/>
        </w:rPr>
        <w:t>(UE</w:t>
      </w:r>
      <w:r w:rsidR="00834D16" w:rsidRPr="00AE3F1B">
        <w:rPr>
          <w:rFonts w:ascii="Garamond" w:hAnsi="Garamond"/>
          <w:sz w:val="24"/>
          <w:szCs w:val="24"/>
        </w:rPr>
        <w:t xml:space="preserve">) 2017/2196 z dnia 24 listopada </w:t>
      </w:r>
      <w:r w:rsidR="00190EAB" w:rsidRPr="00AE3F1B">
        <w:rPr>
          <w:rFonts w:ascii="Garamond" w:hAnsi="Garamond"/>
          <w:sz w:val="24"/>
          <w:szCs w:val="24"/>
        </w:rPr>
        <w:t>2017 r.</w:t>
      </w:r>
      <w:r w:rsidR="00834D16" w:rsidRPr="00AE3F1B">
        <w:rPr>
          <w:rFonts w:ascii="Garamond" w:hAnsi="Garamond"/>
          <w:sz w:val="24"/>
          <w:szCs w:val="24"/>
        </w:rPr>
        <w:t xml:space="preserve"> ustanawiającym kodeks sieci dotyczący stanu zagrożenia i stanu odbudowy systemów elektroenergetycznych </w:t>
      </w:r>
      <w:r w:rsidR="00190EAB" w:rsidRPr="00AE3F1B">
        <w:rPr>
          <w:rFonts w:ascii="Garamond" w:hAnsi="Garamond"/>
          <w:sz w:val="24"/>
          <w:szCs w:val="24"/>
        </w:rPr>
        <w:t>(Dz.</w:t>
      </w:r>
      <w:r w:rsidR="00834D16" w:rsidRPr="00AE3F1B">
        <w:rPr>
          <w:rFonts w:ascii="Garamond" w:hAnsi="Garamond"/>
          <w:sz w:val="24"/>
          <w:szCs w:val="24"/>
        </w:rPr>
        <w:t xml:space="preserve"> Urz. UE L 312/54 z 28.11.</w:t>
      </w:r>
      <w:r w:rsidR="00190EAB" w:rsidRPr="00AE3F1B">
        <w:rPr>
          <w:rFonts w:ascii="Garamond" w:hAnsi="Garamond"/>
          <w:sz w:val="24"/>
          <w:szCs w:val="24"/>
        </w:rPr>
        <w:t>2017 r.</w:t>
      </w:r>
      <w:r w:rsidR="006008D5">
        <w:rPr>
          <w:rFonts w:ascii="Garamond" w:hAnsi="Garamond"/>
          <w:sz w:val="24"/>
          <w:szCs w:val="24"/>
        </w:rPr>
        <w:t xml:space="preserve"> </w:t>
      </w:r>
      <w:r w:rsidR="00834D16" w:rsidRPr="00AE3F1B">
        <w:rPr>
          <w:rFonts w:ascii="Garamond" w:hAnsi="Garamond"/>
          <w:sz w:val="24"/>
          <w:szCs w:val="24"/>
        </w:rPr>
        <w:t>z późn. zmianami) – NC ER</w:t>
      </w:r>
      <w:r w:rsidR="00F70F95">
        <w:rPr>
          <w:rFonts w:ascii="Garamond" w:hAnsi="Garamond"/>
          <w:sz w:val="24"/>
          <w:szCs w:val="24"/>
        </w:rPr>
        <w:t xml:space="preserve"> </w:t>
      </w:r>
      <w:r w:rsidR="00834D16" w:rsidRPr="00AE3F1B">
        <w:rPr>
          <w:rFonts w:ascii="Garamond" w:hAnsi="Garamond"/>
          <w:sz w:val="24"/>
          <w:szCs w:val="24"/>
        </w:rPr>
        <w:t xml:space="preserve">zwanymi dalej łącznie </w:t>
      </w:r>
      <w:r w:rsidR="00190EAB" w:rsidRPr="00AE3F1B">
        <w:rPr>
          <w:rFonts w:ascii="Garamond" w:hAnsi="Garamond"/>
          <w:sz w:val="24"/>
          <w:szCs w:val="24"/>
        </w:rPr>
        <w:t>„Kodeksami</w:t>
      </w:r>
      <w:r w:rsidR="00834D16" w:rsidRPr="00AE3F1B">
        <w:rPr>
          <w:rFonts w:ascii="Garamond" w:hAnsi="Garamond"/>
          <w:sz w:val="24"/>
          <w:szCs w:val="24"/>
        </w:rPr>
        <w:t xml:space="preserve"> sieci”,</w:t>
      </w:r>
    </w:p>
    <w:p w14:paraId="1BDFFF2F" w14:textId="40FB58E9" w:rsidR="002A143B" w:rsidRPr="00AE3F1B" w:rsidRDefault="00190EAB" w:rsidP="00175586">
      <w:pPr>
        <w:ind w:left="567" w:right="-3" w:hanging="567"/>
        <w:jc w:val="left"/>
        <w:rPr>
          <w:rFonts w:ascii="Garamond" w:hAnsi="Garamond"/>
          <w:sz w:val="24"/>
          <w:szCs w:val="24"/>
        </w:rPr>
      </w:pPr>
      <w:r w:rsidRPr="00AE3F1B">
        <w:rPr>
          <w:rFonts w:ascii="Garamond" w:hAnsi="Garamond"/>
          <w:sz w:val="24"/>
          <w:szCs w:val="24"/>
        </w:rPr>
        <w:t>I.1.5. Dokumentami</w:t>
      </w:r>
      <w:r w:rsidR="00072459" w:rsidRPr="00AE3F1B">
        <w:rPr>
          <w:rFonts w:ascii="Garamond" w:hAnsi="Garamond"/>
          <w:sz w:val="24"/>
          <w:szCs w:val="24"/>
        </w:rPr>
        <w:t xml:space="preserve"> związanymi z </w:t>
      </w:r>
      <w:r w:rsidR="00FF23BB" w:rsidRPr="00FF23BB">
        <w:rPr>
          <w:rFonts w:ascii="Garamond" w:hAnsi="Garamond"/>
          <w:sz w:val="24"/>
          <w:szCs w:val="24"/>
        </w:rPr>
        <w:t>IRiESD</w:t>
      </w:r>
      <w:r w:rsidR="00072459" w:rsidRPr="00AE3F1B">
        <w:rPr>
          <w:rFonts w:ascii="Garamond" w:hAnsi="Garamond"/>
          <w:sz w:val="24"/>
          <w:szCs w:val="24"/>
        </w:rPr>
        <w:t xml:space="preserve">n są przyjęte do stosowania przez ID Sp. z </w:t>
      </w:r>
      <w:r w:rsidRPr="00AE3F1B">
        <w:rPr>
          <w:rFonts w:ascii="Garamond" w:hAnsi="Garamond"/>
          <w:sz w:val="24"/>
          <w:szCs w:val="24"/>
        </w:rPr>
        <w:t>o.o. instrukcje</w:t>
      </w:r>
      <w:r w:rsidR="00072459" w:rsidRPr="00AE3F1B">
        <w:rPr>
          <w:rFonts w:ascii="Garamond" w:hAnsi="Garamond"/>
          <w:sz w:val="24"/>
          <w:szCs w:val="24"/>
        </w:rPr>
        <w:t xml:space="preserve"> eksploatacji obiektów i urządzeń, instrukcje ruchowe oraz instrukcje organizacji bezpiecznej pracy.</w:t>
      </w:r>
      <w:r w:rsidR="00F3086E" w:rsidRPr="00AE3F1B">
        <w:rPr>
          <w:rFonts w:ascii="Garamond" w:hAnsi="Garamond"/>
          <w:sz w:val="24"/>
          <w:szCs w:val="24"/>
        </w:rPr>
        <w:br/>
      </w:r>
    </w:p>
    <w:p w14:paraId="7B4D6884" w14:textId="7A490062" w:rsidR="002A143B" w:rsidRPr="00AE3F1B" w:rsidRDefault="00976508" w:rsidP="00175586">
      <w:pPr>
        <w:spacing w:after="200" w:line="249" w:lineRule="auto"/>
        <w:ind w:left="567" w:right="-3" w:hanging="567"/>
        <w:jc w:val="left"/>
        <w:rPr>
          <w:rFonts w:ascii="Garamond" w:hAnsi="Garamond"/>
          <w:sz w:val="24"/>
          <w:szCs w:val="24"/>
        </w:rPr>
      </w:pPr>
      <w:r w:rsidRPr="00AE3F1B">
        <w:rPr>
          <w:rFonts w:ascii="Garamond" w:hAnsi="Garamond"/>
          <w:sz w:val="24"/>
          <w:szCs w:val="24"/>
        </w:rPr>
        <w:t xml:space="preserve"> I.1.</w:t>
      </w:r>
      <w:r w:rsidR="0017380A" w:rsidRPr="00AE3F1B">
        <w:rPr>
          <w:rFonts w:ascii="Garamond" w:hAnsi="Garamond"/>
          <w:sz w:val="24"/>
          <w:szCs w:val="24"/>
        </w:rPr>
        <w:t>6.</w:t>
      </w:r>
      <w:r w:rsidRPr="00AE3F1B">
        <w:rPr>
          <w:rFonts w:ascii="Garamond" w:hAnsi="Garamond"/>
          <w:sz w:val="24"/>
          <w:szCs w:val="24"/>
        </w:rPr>
        <w:t xml:space="preserve"> Niniejsza </w:t>
      </w:r>
      <w:r w:rsidR="005A49CC" w:rsidRPr="005A49CC">
        <w:rPr>
          <w:rFonts w:ascii="Garamond" w:hAnsi="Garamond"/>
          <w:sz w:val="24"/>
          <w:szCs w:val="24"/>
        </w:rPr>
        <w:t>IRiESDn</w:t>
      </w:r>
      <w:r w:rsidRPr="00AE3F1B">
        <w:rPr>
          <w:rFonts w:ascii="Garamond" w:hAnsi="Garamond"/>
          <w:sz w:val="24"/>
          <w:szCs w:val="24"/>
        </w:rPr>
        <w:t xml:space="preserve"> określa szczegółowe warunki korzystania z sieci dystrybucyjnych </w:t>
      </w:r>
      <w:r w:rsidR="00145F39" w:rsidRPr="00AE3F1B">
        <w:rPr>
          <w:rFonts w:ascii="Garamond" w:hAnsi="Garamond"/>
          <w:sz w:val="24"/>
          <w:szCs w:val="24"/>
        </w:rPr>
        <w:br/>
      </w:r>
      <w:r w:rsidRPr="00AE3F1B">
        <w:rPr>
          <w:rFonts w:ascii="Garamond" w:hAnsi="Garamond"/>
          <w:sz w:val="24"/>
          <w:szCs w:val="24"/>
        </w:rPr>
        <w:t>ID Sp</w:t>
      </w:r>
      <w:r w:rsidR="001E05AC" w:rsidRPr="00AE3F1B">
        <w:rPr>
          <w:rFonts w:ascii="Garamond" w:hAnsi="Garamond"/>
          <w:sz w:val="24"/>
          <w:szCs w:val="24"/>
        </w:rPr>
        <w:t>.</w:t>
      </w:r>
      <w:r w:rsidRPr="00AE3F1B">
        <w:rPr>
          <w:rFonts w:ascii="Garamond" w:hAnsi="Garamond"/>
          <w:sz w:val="24"/>
          <w:szCs w:val="24"/>
        </w:rPr>
        <w:t xml:space="preserve"> z o.o. przez jej użytkowników oraz warunki i sposób prowadzenia ruchu, eksploatacji </w:t>
      </w:r>
      <w:r w:rsidR="00145F39" w:rsidRPr="00AE3F1B">
        <w:rPr>
          <w:rFonts w:ascii="Garamond" w:hAnsi="Garamond"/>
          <w:sz w:val="24"/>
          <w:szCs w:val="24"/>
        </w:rPr>
        <w:br/>
      </w:r>
      <w:r w:rsidRPr="00AE3F1B">
        <w:rPr>
          <w:rFonts w:ascii="Garamond" w:hAnsi="Garamond"/>
          <w:sz w:val="24"/>
          <w:szCs w:val="24"/>
        </w:rPr>
        <w:t xml:space="preserve">i planowania rozwoju tych sieci, a także bilansowania systemu dystrybucyjnego i zarządzania </w:t>
      </w:r>
      <w:r w:rsidR="004013E8">
        <w:rPr>
          <w:rFonts w:ascii="Garamond" w:hAnsi="Garamond"/>
          <w:sz w:val="24"/>
          <w:szCs w:val="24"/>
        </w:rPr>
        <w:br/>
      </w:r>
      <w:r w:rsidRPr="00AE3F1B">
        <w:rPr>
          <w:rFonts w:ascii="Garamond" w:hAnsi="Garamond"/>
          <w:sz w:val="24"/>
          <w:szCs w:val="24"/>
        </w:rPr>
        <w:t>ograniczeniami system</w:t>
      </w:r>
      <w:r w:rsidR="00F3086E" w:rsidRPr="00AE3F1B">
        <w:rPr>
          <w:rFonts w:ascii="Garamond" w:hAnsi="Garamond"/>
          <w:sz w:val="24"/>
          <w:szCs w:val="24"/>
        </w:rPr>
        <w:t>owymi w sieci ID Sp. z o.o. w szczególności dotyczące:</w:t>
      </w:r>
    </w:p>
    <w:p w14:paraId="63AF83DE" w14:textId="77777777" w:rsidR="002A143B" w:rsidRPr="00FE41C8" w:rsidRDefault="00F3086E">
      <w:pPr>
        <w:pStyle w:val="Akapitzlist"/>
        <w:numPr>
          <w:ilvl w:val="0"/>
          <w:numId w:val="67"/>
        </w:numPr>
        <w:spacing w:after="78" w:line="249" w:lineRule="auto"/>
        <w:ind w:right="-3"/>
        <w:jc w:val="left"/>
        <w:rPr>
          <w:rFonts w:ascii="Garamond" w:hAnsi="Garamond"/>
          <w:sz w:val="24"/>
          <w:szCs w:val="24"/>
        </w:rPr>
      </w:pPr>
      <w:r w:rsidRPr="00FE41C8">
        <w:rPr>
          <w:rFonts w:ascii="Garamond" w:hAnsi="Garamond"/>
          <w:sz w:val="24"/>
          <w:szCs w:val="24"/>
        </w:rPr>
        <w:t>przyłączenia jednostek wytwórczych, magazynów energii elektrycznej</w:t>
      </w:r>
      <w:r w:rsidR="001B26EE" w:rsidRPr="00FE41C8">
        <w:rPr>
          <w:rFonts w:ascii="Garamond" w:hAnsi="Garamond"/>
          <w:sz w:val="24"/>
          <w:szCs w:val="24"/>
        </w:rPr>
        <w:t xml:space="preserve">, </w:t>
      </w:r>
      <w:r w:rsidRPr="00FE41C8">
        <w:rPr>
          <w:rFonts w:ascii="Garamond" w:hAnsi="Garamond"/>
          <w:sz w:val="24"/>
          <w:szCs w:val="24"/>
        </w:rPr>
        <w:t>urządzeń odbiorców końcowych,</w:t>
      </w:r>
    </w:p>
    <w:p w14:paraId="5F62B57C" w14:textId="77777777" w:rsidR="002A143B" w:rsidRPr="00FE41C8" w:rsidRDefault="00DA12DF">
      <w:pPr>
        <w:pStyle w:val="Akapitzlist"/>
        <w:numPr>
          <w:ilvl w:val="0"/>
          <w:numId w:val="67"/>
        </w:numPr>
        <w:spacing w:after="147"/>
        <w:ind w:right="-3"/>
        <w:jc w:val="left"/>
        <w:rPr>
          <w:rFonts w:ascii="Garamond" w:hAnsi="Garamond"/>
          <w:sz w:val="24"/>
          <w:szCs w:val="24"/>
        </w:rPr>
      </w:pPr>
      <w:r w:rsidRPr="00FE41C8">
        <w:rPr>
          <w:rFonts w:ascii="Garamond" w:hAnsi="Garamond"/>
          <w:sz w:val="24"/>
          <w:szCs w:val="24"/>
        </w:rPr>
        <w:t xml:space="preserve">wymagań technicznych dla urządzeń, instalacji i sieci wraz z niezbędną infrastrukturą </w:t>
      </w:r>
      <w:r w:rsidR="00976508" w:rsidRPr="00FE41C8">
        <w:rPr>
          <w:rFonts w:ascii="Garamond" w:hAnsi="Garamond"/>
          <w:sz w:val="24"/>
          <w:szCs w:val="24"/>
        </w:rPr>
        <w:t>pomocniczą</w:t>
      </w:r>
      <w:r w:rsidRPr="00FE41C8">
        <w:rPr>
          <w:rFonts w:ascii="Garamond" w:hAnsi="Garamond"/>
          <w:sz w:val="24"/>
          <w:szCs w:val="24"/>
        </w:rPr>
        <w:t>,</w:t>
      </w:r>
    </w:p>
    <w:p w14:paraId="68D94E14" w14:textId="77777777" w:rsidR="002A143B" w:rsidRPr="00FE41C8" w:rsidRDefault="00DA12DF">
      <w:pPr>
        <w:pStyle w:val="Akapitzlist"/>
        <w:numPr>
          <w:ilvl w:val="0"/>
          <w:numId w:val="67"/>
        </w:numPr>
        <w:spacing w:after="156" w:line="249" w:lineRule="auto"/>
        <w:ind w:right="-3"/>
        <w:jc w:val="left"/>
        <w:rPr>
          <w:rFonts w:ascii="Garamond" w:hAnsi="Garamond"/>
          <w:sz w:val="24"/>
          <w:szCs w:val="24"/>
        </w:rPr>
      </w:pPr>
      <w:r w:rsidRPr="00FE41C8">
        <w:rPr>
          <w:rFonts w:ascii="Garamond" w:hAnsi="Garamond"/>
          <w:sz w:val="24"/>
          <w:szCs w:val="24"/>
        </w:rPr>
        <w:t xml:space="preserve">kryteriów bezpieczeństwa funkcjonowania systemu elektroenergetycznego, w tym uzgadniania planów działania na wypadek zagrożenia wystąpienia awarii o znacznych rozmiarach w systemie elektroenergetycznym oraz odbudowy tego systemu po wystąpieniu </w:t>
      </w:r>
      <w:r w:rsidR="00976508" w:rsidRPr="00FE41C8">
        <w:rPr>
          <w:rFonts w:ascii="Garamond" w:hAnsi="Garamond"/>
          <w:sz w:val="24"/>
          <w:szCs w:val="24"/>
        </w:rPr>
        <w:t>awarii</w:t>
      </w:r>
      <w:r w:rsidRPr="00FE41C8">
        <w:rPr>
          <w:rFonts w:ascii="Garamond" w:hAnsi="Garamond"/>
          <w:sz w:val="24"/>
          <w:szCs w:val="24"/>
        </w:rPr>
        <w:t>,</w:t>
      </w:r>
    </w:p>
    <w:p w14:paraId="73955504" w14:textId="3A1FA240" w:rsidR="002A143B" w:rsidRPr="00FE41C8" w:rsidRDefault="00DA12DF">
      <w:pPr>
        <w:pStyle w:val="Akapitzlist"/>
        <w:numPr>
          <w:ilvl w:val="0"/>
          <w:numId w:val="67"/>
        </w:numPr>
        <w:spacing w:after="97"/>
        <w:ind w:right="-3"/>
        <w:jc w:val="left"/>
        <w:rPr>
          <w:rFonts w:ascii="Garamond" w:hAnsi="Garamond"/>
          <w:sz w:val="24"/>
          <w:szCs w:val="24"/>
        </w:rPr>
      </w:pPr>
      <w:r w:rsidRPr="00FE41C8">
        <w:rPr>
          <w:rFonts w:ascii="Garamond" w:hAnsi="Garamond"/>
          <w:sz w:val="24"/>
          <w:szCs w:val="24"/>
        </w:rPr>
        <w:t xml:space="preserve">współpracy między operatorami </w:t>
      </w:r>
      <w:r w:rsidR="00976508" w:rsidRPr="00FE41C8">
        <w:rPr>
          <w:rFonts w:ascii="Garamond" w:hAnsi="Garamond"/>
          <w:sz w:val="24"/>
          <w:szCs w:val="24"/>
        </w:rPr>
        <w:t>systemów</w:t>
      </w:r>
      <w:r w:rsidRPr="00FE41C8">
        <w:rPr>
          <w:rFonts w:ascii="Garamond" w:hAnsi="Garamond"/>
          <w:sz w:val="24"/>
          <w:szCs w:val="24"/>
        </w:rPr>
        <w:t xml:space="preserve"> elektroenergetycznych, w tym w zakresie koordynowanej sieci 110 </w:t>
      </w:r>
      <w:proofErr w:type="spellStart"/>
      <w:r w:rsidRPr="00FE41C8">
        <w:rPr>
          <w:rFonts w:ascii="Garamond" w:hAnsi="Garamond"/>
          <w:sz w:val="24"/>
          <w:szCs w:val="24"/>
        </w:rPr>
        <w:t>kV</w:t>
      </w:r>
      <w:proofErr w:type="spellEnd"/>
      <w:r w:rsidRPr="00FE41C8">
        <w:rPr>
          <w:rFonts w:ascii="Garamond" w:hAnsi="Garamond"/>
          <w:sz w:val="24"/>
          <w:szCs w:val="24"/>
        </w:rPr>
        <w:t xml:space="preserve"> i niezbędnego układu połączeń sieci oraz zakresu, sposobu </w:t>
      </w:r>
      <w:r w:rsidR="00FE41C8">
        <w:rPr>
          <w:rFonts w:ascii="Garamond" w:hAnsi="Garamond"/>
          <w:sz w:val="24"/>
          <w:szCs w:val="24"/>
        </w:rPr>
        <w:t xml:space="preserve">           </w:t>
      </w:r>
      <w:r w:rsidRPr="00FE41C8">
        <w:rPr>
          <w:rFonts w:ascii="Garamond" w:hAnsi="Garamond"/>
          <w:sz w:val="24"/>
          <w:szCs w:val="24"/>
        </w:rPr>
        <w:t>i harmonogramu przekazywania informacji,</w:t>
      </w:r>
    </w:p>
    <w:p w14:paraId="42EB6F0B" w14:textId="77777777" w:rsidR="002A143B" w:rsidRPr="00FE41C8" w:rsidRDefault="00DA12DF">
      <w:pPr>
        <w:pStyle w:val="Akapitzlist"/>
        <w:numPr>
          <w:ilvl w:val="0"/>
          <w:numId w:val="67"/>
        </w:numPr>
        <w:spacing w:after="143"/>
        <w:ind w:right="-3"/>
        <w:jc w:val="left"/>
        <w:rPr>
          <w:rFonts w:ascii="Garamond" w:hAnsi="Garamond"/>
          <w:sz w:val="24"/>
          <w:szCs w:val="24"/>
        </w:rPr>
      </w:pPr>
      <w:r w:rsidRPr="00FE41C8">
        <w:rPr>
          <w:rFonts w:ascii="Garamond" w:hAnsi="Garamond"/>
          <w:sz w:val="24"/>
          <w:szCs w:val="24"/>
        </w:rPr>
        <w:t xml:space="preserve">przekazywania </w:t>
      </w:r>
      <w:r w:rsidR="00976508" w:rsidRPr="00FE41C8">
        <w:rPr>
          <w:rFonts w:ascii="Garamond" w:hAnsi="Garamond"/>
          <w:sz w:val="24"/>
          <w:szCs w:val="24"/>
        </w:rPr>
        <w:t>informacji</w:t>
      </w:r>
      <w:r w:rsidRPr="00FE41C8">
        <w:rPr>
          <w:rFonts w:ascii="Garamond" w:hAnsi="Garamond"/>
          <w:sz w:val="24"/>
          <w:szCs w:val="24"/>
        </w:rPr>
        <w:t xml:space="preserve"> pomiędzy </w:t>
      </w:r>
      <w:r w:rsidR="00976508" w:rsidRPr="00FE41C8">
        <w:rPr>
          <w:rFonts w:ascii="Garamond" w:hAnsi="Garamond"/>
          <w:sz w:val="24"/>
          <w:szCs w:val="24"/>
        </w:rPr>
        <w:t>przedsiębiorstwami</w:t>
      </w:r>
      <w:r w:rsidRPr="00FE41C8">
        <w:rPr>
          <w:rFonts w:ascii="Garamond" w:hAnsi="Garamond"/>
          <w:sz w:val="24"/>
          <w:szCs w:val="24"/>
        </w:rPr>
        <w:t xml:space="preserve"> energetycznymi oraz pomiędzy przedsiębiorstwami energetycznymi a odbiorcami,</w:t>
      </w:r>
    </w:p>
    <w:p w14:paraId="5D0FC4BF" w14:textId="77777777" w:rsidR="002A143B" w:rsidRPr="00FE41C8" w:rsidRDefault="00DA12DF">
      <w:pPr>
        <w:pStyle w:val="Akapitzlist"/>
        <w:numPr>
          <w:ilvl w:val="0"/>
          <w:numId w:val="67"/>
        </w:numPr>
        <w:spacing w:after="145"/>
        <w:ind w:right="-3"/>
        <w:jc w:val="left"/>
        <w:rPr>
          <w:rFonts w:ascii="Garamond" w:hAnsi="Garamond"/>
          <w:sz w:val="24"/>
          <w:szCs w:val="24"/>
        </w:rPr>
      </w:pPr>
      <w:r w:rsidRPr="00FE41C8">
        <w:rPr>
          <w:rFonts w:ascii="Garamond" w:hAnsi="Garamond"/>
          <w:sz w:val="24"/>
          <w:szCs w:val="24"/>
        </w:rPr>
        <w:t>parametrów jakościowych energii elektrycznej i standardów jakościowych obsługi użytkowników systemu,</w:t>
      </w:r>
    </w:p>
    <w:p w14:paraId="40FBC5BA" w14:textId="17FB32A5" w:rsidR="002A143B" w:rsidRPr="00FE41C8" w:rsidRDefault="00DA12DF">
      <w:pPr>
        <w:pStyle w:val="Akapitzlist"/>
        <w:numPr>
          <w:ilvl w:val="0"/>
          <w:numId w:val="67"/>
        </w:numPr>
        <w:spacing w:after="161"/>
        <w:ind w:right="-3"/>
        <w:jc w:val="left"/>
        <w:rPr>
          <w:rFonts w:ascii="Garamond" w:hAnsi="Garamond"/>
          <w:sz w:val="24"/>
          <w:szCs w:val="24"/>
        </w:rPr>
      </w:pPr>
      <w:r w:rsidRPr="00FE41C8">
        <w:rPr>
          <w:rFonts w:ascii="Garamond" w:hAnsi="Garamond"/>
          <w:sz w:val="24"/>
          <w:szCs w:val="24"/>
        </w:rPr>
        <w:t xml:space="preserve">wymagań w zakresie bezpieczeństwa pracy sieci elektroenergetycznej i warunków, jakie muszą </w:t>
      </w:r>
      <w:r w:rsidR="00976508" w:rsidRPr="00FE41C8">
        <w:rPr>
          <w:rFonts w:ascii="Garamond" w:hAnsi="Garamond"/>
          <w:sz w:val="24"/>
          <w:szCs w:val="24"/>
        </w:rPr>
        <w:t>zostać</w:t>
      </w:r>
      <w:r w:rsidRPr="00FE41C8">
        <w:rPr>
          <w:rFonts w:ascii="Garamond" w:hAnsi="Garamond"/>
          <w:sz w:val="24"/>
          <w:szCs w:val="24"/>
        </w:rPr>
        <w:t xml:space="preserve"> spełnione dla jego utrzymania,</w:t>
      </w:r>
    </w:p>
    <w:p w14:paraId="15DD5175" w14:textId="77777777" w:rsidR="002A143B" w:rsidRPr="00FE41C8" w:rsidRDefault="00DA12DF">
      <w:pPr>
        <w:pStyle w:val="Akapitzlist"/>
        <w:numPr>
          <w:ilvl w:val="0"/>
          <w:numId w:val="67"/>
        </w:numPr>
        <w:spacing w:after="125" w:line="307" w:lineRule="auto"/>
        <w:ind w:right="-3"/>
        <w:jc w:val="left"/>
        <w:rPr>
          <w:rFonts w:ascii="Garamond" w:hAnsi="Garamond"/>
          <w:sz w:val="24"/>
          <w:szCs w:val="24"/>
        </w:rPr>
      </w:pPr>
      <w:r w:rsidRPr="00FE41C8">
        <w:rPr>
          <w:rFonts w:ascii="Garamond" w:hAnsi="Garamond"/>
          <w:sz w:val="24"/>
          <w:szCs w:val="24"/>
        </w:rPr>
        <w:t xml:space="preserve">wskaźników charakteryzujących jakość i niezawodność dostaw </w:t>
      </w:r>
      <w:r w:rsidR="00976508" w:rsidRPr="00FE41C8">
        <w:rPr>
          <w:rFonts w:ascii="Garamond" w:hAnsi="Garamond"/>
          <w:sz w:val="24"/>
          <w:szCs w:val="24"/>
        </w:rPr>
        <w:t>energii</w:t>
      </w:r>
      <w:r w:rsidRPr="00FE41C8">
        <w:rPr>
          <w:rFonts w:ascii="Garamond" w:hAnsi="Garamond"/>
          <w:sz w:val="24"/>
          <w:szCs w:val="24"/>
        </w:rPr>
        <w:t xml:space="preserve"> elektrycznej oraz bezpieczeńs</w:t>
      </w:r>
      <w:r w:rsidR="00976508" w:rsidRPr="00FE41C8">
        <w:rPr>
          <w:rFonts w:ascii="Garamond" w:hAnsi="Garamond"/>
          <w:sz w:val="24"/>
          <w:szCs w:val="24"/>
        </w:rPr>
        <w:t>twa</w:t>
      </w:r>
      <w:r w:rsidRPr="00FE41C8">
        <w:rPr>
          <w:rFonts w:ascii="Garamond" w:hAnsi="Garamond"/>
          <w:sz w:val="24"/>
          <w:szCs w:val="24"/>
        </w:rPr>
        <w:t xml:space="preserve"> pracy sieci elektroenergetycznej,</w:t>
      </w:r>
    </w:p>
    <w:p w14:paraId="668AA3A8" w14:textId="77777777" w:rsidR="002A143B" w:rsidRPr="00FE41C8" w:rsidRDefault="00DA12DF">
      <w:pPr>
        <w:pStyle w:val="Akapitzlist"/>
        <w:numPr>
          <w:ilvl w:val="0"/>
          <w:numId w:val="67"/>
        </w:numPr>
        <w:spacing w:after="173" w:line="249" w:lineRule="auto"/>
        <w:ind w:right="-3"/>
        <w:jc w:val="left"/>
        <w:rPr>
          <w:rFonts w:ascii="Garamond" w:hAnsi="Garamond"/>
          <w:sz w:val="24"/>
          <w:szCs w:val="24"/>
        </w:rPr>
      </w:pPr>
      <w:r w:rsidRPr="00FE41C8">
        <w:rPr>
          <w:rFonts w:ascii="Garamond" w:hAnsi="Garamond"/>
          <w:sz w:val="24"/>
          <w:szCs w:val="24"/>
        </w:rPr>
        <w:t>zasad bilansowa</w:t>
      </w:r>
      <w:r w:rsidR="00976508" w:rsidRPr="00FE41C8">
        <w:rPr>
          <w:rFonts w:ascii="Garamond" w:hAnsi="Garamond"/>
          <w:sz w:val="24"/>
          <w:szCs w:val="24"/>
        </w:rPr>
        <w:t>ni</w:t>
      </w:r>
      <w:r w:rsidRPr="00FE41C8">
        <w:rPr>
          <w:rFonts w:ascii="Garamond" w:hAnsi="Garamond"/>
          <w:sz w:val="24"/>
          <w:szCs w:val="24"/>
        </w:rPr>
        <w:t>a systemu dystrybucyjnego i zarządzania ograniczeniami systemowym</w:t>
      </w:r>
      <w:r w:rsidR="00976508" w:rsidRPr="00FE41C8">
        <w:rPr>
          <w:rFonts w:ascii="Garamond" w:hAnsi="Garamond"/>
          <w:sz w:val="24"/>
          <w:szCs w:val="24"/>
        </w:rPr>
        <w:t>i</w:t>
      </w:r>
      <w:r w:rsidRPr="00FE41C8">
        <w:rPr>
          <w:rFonts w:ascii="Garamond" w:hAnsi="Garamond"/>
          <w:sz w:val="24"/>
          <w:szCs w:val="24"/>
        </w:rPr>
        <w:t>.</w:t>
      </w:r>
    </w:p>
    <w:p w14:paraId="6FB56009" w14:textId="79E14F06" w:rsidR="002A143B" w:rsidRDefault="00976508" w:rsidP="00175586">
      <w:pPr>
        <w:spacing w:after="160" w:line="244" w:lineRule="auto"/>
        <w:ind w:left="567" w:right="-3" w:hanging="567"/>
        <w:jc w:val="left"/>
        <w:rPr>
          <w:rFonts w:ascii="Garamond" w:hAnsi="Garamond"/>
          <w:sz w:val="24"/>
          <w:szCs w:val="24"/>
        </w:rPr>
      </w:pPr>
      <w:r w:rsidRPr="00AE3F1B">
        <w:rPr>
          <w:rFonts w:ascii="Garamond" w:hAnsi="Garamond"/>
          <w:sz w:val="24"/>
          <w:szCs w:val="24"/>
        </w:rPr>
        <w:t>I.1.</w:t>
      </w:r>
      <w:r w:rsidR="0017380A" w:rsidRPr="00AE3F1B">
        <w:rPr>
          <w:rFonts w:ascii="Garamond" w:hAnsi="Garamond"/>
          <w:sz w:val="24"/>
          <w:szCs w:val="24"/>
        </w:rPr>
        <w:t>7</w:t>
      </w:r>
      <w:r w:rsidRPr="00AE3F1B">
        <w:rPr>
          <w:rFonts w:ascii="Garamond" w:hAnsi="Garamond"/>
          <w:sz w:val="24"/>
          <w:szCs w:val="24"/>
        </w:rPr>
        <w:t xml:space="preserve">. W zakresie procedur i zasad wykonywania czynności związanych z ruchem sieciowym </w:t>
      </w:r>
      <w:r w:rsidR="001E05AC" w:rsidRPr="00AE3F1B">
        <w:rPr>
          <w:rFonts w:ascii="Garamond" w:hAnsi="Garamond"/>
          <w:sz w:val="24"/>
          <w:szCs w:val="24"/>
        </w:rPr>
        <w:t xml:space="preserve">i </w:t>
      </w:r>
      <w:r w:rsidRPr="00AE3F1B">
        <w:rPr>
          <w:rFonts w:ascii="Garamond" w:hAnsi="Garamond"/>
          <w:sz w:val="24"/>
          <w:szCs w:val="24"/>
        </w:rPr>
        <w:t>eksploatacją sie</w:t>
      </w:r>
      <w:r w:rsidR="00B925C8" w:rsidRPr="00AE3F1B">
        <w:rPr>
          <w:rFonts w:ascii="Garamond" w:hAnsi="Garamond"/>
          <w:sz w:val="24"/>
          <w:szCs w:val="24"/>
        </w:rPr>
        <w:t>ci</w:t>
      </w:r>
      <w:r w:rsidRPr="00AE3F1B">
        <w:rPr>
          <w:rFonts w:ascii="Garamond" w:hAnsi="Garamond"/>
          <w:sz w:val="24"/>
          <w:szCs w:val="24"/>
        </w:rPr>
        <w:t xml:space="preserve"> postanowienia </w:t>
      </w:r>
      <w:r w:rsidR="005A49CC" w:rsidRPr="005A49CC">
        <w:rPr>
          <w:rFonts w:ascii="Garamond" w:hAnsi="Garamond"/>
          <w:sz w:val="24"/>
          <w:szCs w:val="24"/>
        </w:rPr>
        <w:t>IRiESD</w:t>
      </w:r>
      <w:r w:rsidRPr="00AE3F1B">
        <w:rPr>
          <w:rFonts w:ascii="Garamond" w:hAnsi="Garamond"/>
          <w:sz w:val="24"/>
          <w:szCs w:val="24"/>
        </w:rPr>
        <w:t xml:space="preserve">n dotyczą stacji i rozdzielni elektroenergetycznych, linii kablowych za których ruch sieciowy jest odpowiedzialny </w:t>
      </w:r>
      <w:r w:rsidR="00B925C8" w:rsidRPr="00AE3F1B">
        <w:rPr>
          <w:rFonts w:ascii="Garamond" w:hAnsi="Garamond"/>
          <w:sz w:val="24"/>
          <w:szCs w:val="24"/>
        </w:rPr>
        <w:t>ID Sp. z o.o.</w:t>
      </w:r>
    </w:p>
    <w:p w14:paraId="2128B1A5" w14:textId="77777777" w:rsidR="00FE41C8" w:rsidRDefault="00FE41C8" w:rsidP="00175586">
      <w:pPr>
        <w:spacing w:after="160" w:line="244" w:lineRule="auto"/>
        <w:ind w:left="567" w:right="-3" w:hanging="567"/>
        <w:jc w:val="left"/>
        <w:rPr>
          <w:rFonts w:ascii="Garamond" w:hAnsi="Garamond"/>
          <w:sz w:val="24"/>
          <w:szCs w:val="24"/>
        </w:rPr>
      </w:pPr>
    </w:p>
    <w:p w14:paraId="293E4423" w14:textId="77777777" w:rsidR="00FE41C8" w:rsidRDefault="00FE41C8" w:rsidP="00175586">
      <w:pPr>
        <w:spacing w:after="160" w:line="244" w:lineRule="auto"/>
        <w:ind w:left="567" w:right="-3" w:hanging="567"/>
        <w:jc w:val="left"/>
        <w:rPr>
          <w:rFonts w:ascii="Garamond" w:hAnsi="Garamond"/>
          <w:sz w:val="24"/>
          <w:szCs w:val="24"/>
        </w:rPr>
      </w:pPr>
    </w:p>
    <w:p w14:paraId="3664D4DF" w14:textId="77777777" w:rsidR="00FE41C8" w:rsidRPr="00AE3F1B" w:rsidRDefault="00FE41C8" w:rsidP="00175586">
      <w:pPr>
        <w:spacing w:after="160" w:line="244" w:lineRule="auto"/>
        <w:ind w:left="567" w:right="-3" w:hanging="567"/>
        <w:jc w:val="left"/>
        <w:rPr>
          <w:rFonts w:ascii="Garamond" w:hAnsi="Garamond"/>
          <w:sz w:val="24"/>
          <w:szCs w:val="24"/>
        </w:rPr>
      </w:pPr>
    </w:p>
    <w:p w14:paraId="1C322AB7" w14:textId="58E6AB4C" w:rsidR="002A143B" w:rsidRPr="00AE3F1B" w:rsidRDefault="00B925C8" w:rsidP="00175586">
      <w:pPr>
        <w:spacing w:after="219"/>
        <w:ind w:left="567" w:right="-3" w:hanging="567"/>
        <w:jc w:val="left"/>
        <w:rPr>
          <w:rFonts w:ascii="Garamond" w:hAnsi="Garamond"/>
          <w:sz w:val="24"/>
          <w:szCs w:val="24"/>
        </w:rPr>
      </w:pPr>
      <w:r w:rsidRPr="00AE3F1B">
        <w:rPr>
          <w:rFonts w:ascii="Garamond" w:hAnsi="Garamond"/>
          <w:sz w:val="24"/>
          <w:szCs w:val="24"/>
        </w:rPr>
        <w:t>I.1.</w:t>
      </w:r>
      <w:r w:rsidR="0017380A" w:rsidRPr="00AE3F1B">
        <w:rPr>
          <w:rFonts w:ascii="Garamond" w:hAnsi="Garamond"/>
          <w:sz w:val="24"/>
          <w:szCs w:val="24"/>
        </w:rPr>
        <w:t>8</w:t>
      </w:r>
      <w:r w:rsidRPr="00AE3F1B">
        <w:rPr>
          <w:rFonts w:ascii="Garamond" w:hAnsi="Garamond"/>
          <w:sz w:val="24"/>
          <w:szCs w:val="24"/>
        </w:rPr>
        <w:t>.</w:t>
      </w:r>
      <w:r w:rsidR="00190EAB">
        <w:rPr>
          <w:rFonts w:ascii="Garamond" w:hAnsi="Garamond"/>
          <w:sz w:val="24"/>
          <w:szCs w:val="24"/>
        </w:rPr>
        <w:t xml:space="preserve"> </w:t>
      </w:r>
      <w:r w:rsidRPr="00AE3F1B">
        <w:rPr>
          <w:rFonts w:ascii="Garamond" w:hAnsi="Garamond"/>
          <w:sz w:val="24"/>
          <w:szCs w:val="24"/>
        </w:rPr>
        <w:t xml:space="preserve">Postanowienia </w:t>
      </w:r>
      <w:r w:rsidR="005A49CC" w:rsidRPr="005A49CC">
        <w:rPr>
          <w:rFonts w:ascii="Garamond" w:hAnsi="Garamond"/>
          <w:sz w:val="24"/>
          <w:szCs w:val="24"/>
        </w:rPr>
        <w:t>IRiESD</w:t>
      </w:r>
      <w:r w:rsidRPr="00AE3F1B">
        <w:rPr>
          <w:rFonts w:ascii="Garamond" w:hAnsi="Garamond"/>
          <w:sz w:val="24"/>
          <w:szCs w:val="24"/>
        </w:rPr>
        <w:t>n obowiązują następujące podmioty:</w:t>
      </w:r>
    </w:p>
    <w:p w14:paraId="4B9D6241" w14:textId="77777777" w:rsidR="002A143B" w:rsidRPr="00FE41C8" w:rsidRDefault="00B925C8">
      <w:pPr>
        <w:pStyle w:val="Akapitzlist"/>
        <w:numPr>
          <w:ilvl w:val="0"/>
          <w:numId w:val="68"/>
        </w:numPr>
        <w:spacing w:after="195" w:line="249" w:lineRule="auto"/>
        <w:ind w:right="-3"/>
        <w:jc w:val="left"/>
        <w:rPr>
          <w:rFonts w:ascii="Garamond" w:hAnsi="Garamond"/>
          <w:sz w:val="24"/>
          <w:szCs w:val="24"/>
        </w:rPr>
      </w:pPr>
      <w:r w:rsidRPr="00FE41C8">
        <w:rPr>
          <w:rFonts w:ascii="Garamond" w:hAnsi="Garamond"/>
          <w:sz w:val="24"/>
          <w:szCs w:val="24"/>
        </w:rPr>
        <w:t>operatorów systemów dystrybucyjnych,</w:t>
      </w:r>
    </w:p>
    <w:p w14:paraId="6FCF4528" w14:textId="77777777" w:rsidR="001C4F39" w:rsidRPr="00FE41C8" w:rsidRDefault="001C4F39">
      <w:pPr>
        <w:pStyle w:val="Akapitzlist"/>
        <w:numPr>
          <w:ilvl w:val="0"/>
          <w:numId w:val="68"/>
        </w:numPr>
        <w:spacing w:after="195" w:line="249" w:lineRule="auto"/>
        <w:ind w:right="-3"/>
        <w:jc w:val="left"/>
        <w:rPr>
          <w:rFonts w:ascii="Garamond" w:hAnsi="Garamond"/>
          <w:sz w:val="24"/>
          <w:szCs w:val="24"/>
        </w:rPr>
      </w:pPr>
      <w:r w:rsidRPr="00FE41C8">
        <w:rPr>
          <w:rFonts w:ascii="Garamond" w:hAnsi="Garamond"/>
          <w:sz w:val="24"/>
          <w:szCs w:val="24"/>
        </w:rPr>
        <w:t>wytwórców przyłączonych do sieci dystrybucyjnej ID Sp. z o.o.,</w:t>
      </w:r>
    </w:p>
    <w:p w14:paraId="7D9CFECC" w14:textId="77777777" w:rsidR="002A143B" w:rsidRPr="00FE41C8" w:rsidRDefault="00DA12DF">
      <w:pPr>
        <w:pStyle w:val="Akapitzlist"/>
        <w:numPr>
          <w:ilvl w:val="0"/>
          <w:numId w:val="68"/>
        </w:numPr>
        <w:spacing w:after="162"/>
        <w:ind w:right="-3"/>
        <w:jc w:val="left"/>
        <w:rPr>
          <w:rFonts w:ascii="Garamond" w:hAnsi="Garamond"/>
          <w:sz w:val="24"/>
          <w:szCs w:val="24"/>
        </w:rPr>
      </w:pPr>
      <w:r w:rsidRPr="00FE41C8">
        <w:rPr>
          <w:rFonts w:ascii="Garamond" w:hAnsi="Garamond"/>
          <w:sz w:val="24"/>
          <w:szCs w:val="24"/>
        </w:rPr>
        <w:t xml:space="preserve">odbiorców przyłączonych do sieci dystrybucyjnej </w:t>
      </w:r>
      <w:r w:rsidR="00B925C8" w:rsidRPr="00FE41C8">
        <w:rPr>
          <w:rFonts w:ascii="Garamond" w:hAnsi="Garamond"/>
          <w:sz w:val="24"/>
          <w:szCs w:val="24"/>
        </w:rPr>
        <w:t>ID Sp. z o.o.,</w:t>
      </w:r>
    </w:p>
    <w:p w14:paraId="0AE7CE46" w14:textId="77777777" w:rsidR="002A143B" w:rsidRPr="00FE41C8" w:rsidRDefault="00DA12DF">
      <w:pPr>
        <w:pStyle w:val="Akapitzlist"/>
        <w:numPr>
          <w:ilvl w:val="0"/>
          <w:numId w:val="68"/>
        </w:numPr>
        <w:spacing w:after="136"/>
        <w:ind w:right="-3"/>
        <w:jc w:val="left"/>
        <w:rPr>
          <w:rFonts w:ascii="Garamond" w:hAnsi="Garamond"/>
          <w:sz w:val="24"/>
          <w:szCs w:val="24"/>
        </w:rPr>
      </w:pPr>
      <w:r w:rsidRPr="00FE41C8">
        <w:rPr>
          <w:rFonts w:ascii="Garamond" w:hAnsi="Garamond"/>
          <w:sz w:val="24"/>
          <w:szCs w:val="24"/>
        </w:rPr>
        <w:t>przedsiębiorstwa obrotu,</w:t>
      </w:r>
    </w:p>
    <w:p w14:paraId="79E11823" w14:textId="77777777" w:rsidR="002A143B" w:rsidRPr="00FE41C8" w:rsidRDefault="00DA12DF">
      <w:pPr>
        <w:pStyle w:val="Akapitzlist"/>
        <w:numPr>
          <w:ilvl w:val="0"/>
          <w:numId w:val="68"/>
        </w:numPr>
        <w:spacing w:after="137"/>
        <w:ind w:right="-3"/>
        <w:jc w:val="left"/>
        <w:rPr>
          <w:rFonts w:ascii="Garamond" w:hAnsi="Garamond"/>
          <w:sz w:val="24"/>
          <w:szCs w:val="24"/>
        </w:rPr>
      </w:pPr>
      <w:r w:rsidRPr="00FE41C8">
        <w:rPr>
          <w:rFonts w:ascii="Garamond" w:hAnsi="Garamond"/>
          <w:sz w:val="24"/>
          <w:szCs w:val="24"/>
        </w:rPr>
        <w:t>sprzedawców,</w:t>
      </w:r>
    </w:p>
    <w:p w14:paraId="4B67E635" w14:textId="7F7D21E1" w:rsidR="002A143B" w:rsidRPr="00FE41C8" w:rsidRDefault="00DA12DF">
      <w:pPr>
        <w:pStyle w:val="Akapitzlist"/>
        <w:numPr>
          <w:ilvl w:val="0"/>
          <w:numId w:val="68"/>
        </w:numPr>
        <w:spacing w:after="149" w:line="249" w:lineRule="auto"/>
        <w:ind w:right="-3"/>
        <w:jc w:val="left"/>
        <w:rPr>
          <w:rFonts w:ascii="Garamond" w:hAnsi="Garamond"/>
          <w:sz w:val="24"/>
          <w:szCs w:val="24"/>
        </w:rPr>
      </w:pPr>
      <w:r w:rsidRPr="00FE41C8">
        <w:rPr>
          <w:rFonts w:ascii="Garamond" w:hAnsi="Garamond"/>
          <w:sz w:val="24"/>
          <w:szCs w:val="24"/>
        </w:rPr>
        <w:t>podmioty ubiegające się o przyłączenie (przyłączane) do sieci dystrybucyjnej</w:t>
      </w:r>
      <w:r w:rsidR="00FE41C8">
        <w:rPr>
          <w:rFonts w:ascii="Garamond" w:hAnsi="Garamond"/>
          <w:sz w:val="24"/>
          <w:szCs w:val="24"/>
        </w:rPr>
        <w:t xml:space="preserve"> </w:t>
      </w:r>
      <w:r w:rsidR="00B925C8" w:rsidRPr="00FE41C8">
        <w:rPr>
          <w:rFonts w:ascii="Garamond" w:hAnsi="Garamond"/>
          <w:sz w:val="24"/>
          <w:szCs w:val="24"/>
        </w:rPr>
        <w:t>ID Sp. z o.o.,</w:t>
      </w:r>
    </w:p>
    <w:p w14:paraId="6BF763E1" w14:textId="77777777" w:rsidR="002A143B" w:rsidRPr="00FE41C8" w:rsidRDefault="00DA12DF">
      <w:pPr>
        <w:pStyle w:val="Akapitzlist"/>
        <w:numPr>
          <w:ilvl w:val="0"/>
          <w:numId w:val="68"/>
        </w:numPr>
        <w:spacing w:after="111"/>
        <w:ind w:right="-3"/>
        <w:jc w:val="left"/>
        <w:rPr>
          <w:rFonts w:ascii="Garamond" w:hAnsi="Garamond"/>
          <w:sz w:val="24"/>
          <w:szCs w:val="24"/>
        </w:rPr>
      </w:pPr>
      <w:r w:rsidRPr="00FE41C8">
        <w:rPr>
          <w:rFonts w:ascii="Garamond" w:hAnsi="Garamond"/>
          <w:sz w:val="24"/>
          <w:szCs w:val="24"/>
        </w:rPr>
        <w:t>operatorów handlowych i handlowo-technicznych działających w imieniu podmiotów wymienionych w powyższych podpunktach od 1) do 5)</w:t>
      </w:r>
      <w:r w:rsidR="001C4F39" w:rsidRPr="00FE41C8">
        <w:rPr>
          <w:rFonts w:ascii="Garamond" w:hAnsi="Garamond"/>
          <w:sz w:val="24"/>
          <w:szCs w:val="24"/>
        </w:rPr>
        <w:t>,</w:t>
      </w:r>
    </w:p>
    <w:p w14:paraId="0CBFACC5" w14:textId="77777777" w:rsidR="001C4F39" w:rsidRPr="00FE41C8" w:rsidRDefault="001C4F39">
      <w:pPr>
        <w:pStyle w:val="Akapitzlist"/>
        <w:numPr>
          <w:ilvl w:val="0"/>
          <w:numId w:val="68"/>
        </w:numPr>
        <w:spacing w:after="111"/>
        <w:ind w:right="-3"/>
        <w:jc w:val="left"/>
        <w:rPr>
          <w:rFonts w:ascii="Garamond" w:hAnsi="Garamond"/>
          <w:sz w:val="24"/>
          <w:szCs w:val="24"/>
        </w:rPr>
      </w:pPr>
      <w:r w:rsidRPr="00FE41C8">
        <w:rPr>
          <w:rFonts w:ascii="Garamond" w:hAnsi="Garamond"/>
          <w:sz w:val="24"/>
          <w:szCs w:val="24"/>
        </w:rPr>
        <w:t>posiadacza magazynu energii elektrycznej.</w:t>
      </w:r>
    </w:p>
    <w:p w14:paraId="3053C920" w14:textId="794F2A4D" w:rsidR="002A143B" w:rsidRPr="00AE3F1B" w:rsidRDefault="00190EAB" w:rsidP="00175586">
      <w:pPr>
        <w:spacing w:after="11" w:line="249" w:lineRule="auto"/>
        <w:ind w:left="567" w:right="-3" w:hanging="567"/>
        <w:jc w:val="left"/>
        <w:rPr>
          <w:rFonts w:ascii="Garamond" w:hAnsi="Garamond"/>
          <w:sz w:val="24"/>
          <w:szCs w:val="24"/>
        </w:rPr>
      </w:pPr>
      <w:r w:rsidRPr="00AE3F1B">
        <w:rPr>
          <w:rFonts w:ascii="Garamond" w:hAnsi="Garamond"/>
          <w:sz w:val="24"/>
          <w:szCs w:val="24"/>
        </w:rPr>
        <w:t>I.1.9. Zgodnie</w:t>
      </w:r>
      <w:r w:rsidR="003A4AA2" w:rsidRPr="00AE3F1B">
        <w:rPr>
          <w:rFonts w:ascii="Garamond" w:hAnsi="Garamond"/>
          <w:sz w:val="24"/>
          <w:szCs w:val="24"/>
        </w:rPr>
        <w:t xml:space="preserve"> z zapisami ustawy Prawo energetyczne oraz aktów wykonawczych do niej, operator systemu </w:t>
      </w:r>
      <w:r w:rsidR="0017380A" w:rsidRPr="00AE3F1B">
        <w:rPr>
          <w:rFonts w:ascii="Garamond" w:hAnsi="Garamond"/>
          <w:sz w:val="24"/>
          <w:szCs w:val="24"/>
        </w:rPr>
        <w:t>d</w:t>
      </w:r>
      <w:r w:rsidR="003A4AA2" w:rsidRPr="00AE3F1B">
        <w:rPr>
          <w:rFonts w:ascii="Garamond" w:hAnsi="Garamond"/>
          <w:sz w:val="24"/>
          <w:szCs w:val="24"/>
        </w:rPr>
        <w:t>ystrybucyjnego jest odpowiedzialny za:</w:t>
      </w:r>
    </w:p>
    <w:p w14:paraId="19579603" w14:textId="4E435668" w:rsidR="002A143B" w:rsidRPr="00AE3F1B" w:rsidRDefault="00ED1C0C" w:rsidP="00ED1C0C">
      <w:pPr>
        <w:ind w:left="851" w:right="-3" w:hanging="425"/>
        <w:jc w:val="left"/>
        <w:rPr>
          <w:rFonts w:ascii="Garamond" w:hAnsi="Garamond"/>
          <w:sz w:val="24"/>
          <w:szCs w:val="24"/>
        </w:rPr>
      </w:pPr>
      <w:r w:rsidRPr="00ED1C0C">
        <w:rPr>
          <w:rFonts w:asciiTheme="majorHAnsi" w:hAnsiTheme="majorHAnsi"/>
          <w:sz w:val="24"/>
          <w:szCs w:val="24"/>
        </w:rPr>
        <w:t>1)</w:t>
      </w:r>
      <w:r w:rsidR="00FE41C8">
        <w:rPr>
          <w:rFonts w:asciiTheme="majorHAnsi" w:hAnsiTheme="majorHAnsi"/>
          <w:sz w:val="24"/>
          <w:szCs w:val="24"/>
        </w:rPr>
        <w:tab/>
      </w:r>
      <w:r w:rsidRPr="00AE3F1B">
        <w:rPr>
          <w:rFonts w:ascii="Garamond" w:hAnsi="Garamond"/>
          <w:sz w:val="24"/>
          <w:szCs w:val="24"/>
        </w:rPr>
        <w:t xml:space="preserve">prowadzenie ruchu sieciowego w sieci dystrybucyjnej w sposób efektywny, z zachowaniem wymaganej niezawodności dostarczania energii elektrycznej i jakości jej dostarczania oraz we współpracy z operatorem systemu </w:t>
      </w:r>
      <w:r w:rsidR="001C4F39" w:rsidRPr="00AE3F1B">
        <w:rPr>
          <w:rFonts w:ascii="Garamond" w:hAnsi="Garamond"/>
          <w:sz w:val="24"/>
          <w:szCs w:val="24"/>
        </w:rPr>
        <w:t>dystrybucyjnego PGE Dystrybucja S.A.</w:t>
      </w:r>
    </w:p>
    <w:p w14:paraId="5022AC35" w14:textId="77777777" w:rsidR="002A143B" w:rsidRPr="00AE3F1B" w:rsidRDefault="00DA12DF">
      <w:pPr>
        <w:numPr>
          <w:ilvl w:val="0"/>
          <w:numId w:val="1"/>
        </w:numPr>
        <w:spacing w:after="51" w:line="249" w:lineRule="auto"/>
        <w:ind w:left="851" w:right="-3" w:hanging="425"/>
        <w:jc w:val="left"/>
        <w:rPr>
          <w:rFonts w:ascii="Garamond" w:hAnsi="Garamond"/>
          <w:sz w:val="24"/>
          <w:szCs w:val="24"/>
        </w:rPr>
      </w:pPr>
      <w:r w:rsidRPr="00AE3F1B">
        <w:rPr>
          <w:rFonts w:ascii="Garamond" w:hAnsi="Garamond"/>
          <w:sz w:val="24"/>
          <w:szCs w:val="24"/>
        </w:rPr>
        <w:t>eksploatację, konserwację i remonty sieci dystrybucyjnej w sposób gwarantujący niezawodność funkcjonowania systemu dystrybucyjnego,</w:t>
      </w:r>
    </w:p>
    <w:p w14:paraId="5D355328" w14:textId="77777777" w:rsidR="001C4F39" w:rsidRPr="00AE3F1B" w:rsidRDefault="001C4F39">
      <w:pPr>
        <w:numPr>
          <w:ilvl w:val="0"/>
          <w:numId w:val="1"/>
        </w:numPr>
        <w:spacing w:after="51" w:line="249" w:lineRule="auto"/>
        <w:ind w:left="851" w:right="-3" w:hanging="425"/>
        <w:jc w:val="left"/>
        <w:rPr>
          <w:rFonts w:ascii="Garamond" w:hAnsi="Garamond"/>
          <w:sz w:val="24"/>
          <w:szCs w:val="24"/>
        </w:rPr>
      </w:pPr>
      <w:r w:rsidRPr="00AE3F1B">
        <w:rPr>
          <w:rFonts w:ascii="Garamond" w:hAnsi="Garamond"/>
          <w:sz w:val="24"/>
          <w:szCs w:val="24"/>
        </w:rPr>
        <w:t xml:space="preserve">współpracę z PGE Dystrybucja S.A. w celu zapewnienia spójności zasilania systemów elektroenergetycznych </w:t>
      </w:r>
      <w:r w:rsidRPr="00AE3F1B">
        <w:rPr>
          <w:rFonts w:ascii="Garamond" w:hAnsi="Garamond"/>
          <w:sz w:val="24"/>
          <w:szCs w:val="24"/>
        </w:rPr>
        <w:br/>
        <w:t xml:space="preserve">i skoordynowania ich rozwoju, a także niezawodnego oraz efektywnego funkcjonowania tych systemów, </w:t>
      </w:r>
    </w:p>
    <w:p w14:paraId="61C40091" w14:textId="77777777" w:rsidR="002A143B" w:rsidRPr="00AE3F1B" w:rsidRDefault="001C4F39">
      <w:pPr>
        <w:numPr>
          <w:ilvl w:val="0"/>
          <w:numId w:val="1"/>
        </w:numPr>
        <w:spacing w:after="87"/>
        <w:ind w:left="851" w:right="-3" w:hanging="425"/>
        <w:jc w:val="left"/>
        <w:rPr>
          <w:rFonts w:ascii="Garamond" w:hAnsi="Garamond"/>
          <w:sz w:val="24"/>
          <w:szCs w:val="24"/>
        </w:rPr>
      </w:pPr>
      <w:r w:rsidRPr="00AE3F1B">
        <w:rPr>
          <w:rFonts w:ascii="Garamond" w:hAnsi="Garamond"/>
          <w:sz w:val="24"/>
          <w:szCs w:val="24"/>
        </w:rPr>
        <w:t xml:space="preserve">dysponowaniem mocą jednostek wytwórczych przyłączonych do sieci dystrybucyjnej, z wyłączeniem jednostek wytwórczych o mocy maksymalnej równej </w:t>
      </w:r>
      <w:r w:rsidR="00B0122F" w:rsidRPr="00AE3F1B">
        <w:rPr>
          <w:rFonts w:ascii="Garamond" w:hAnsi="Garamond"/>
          <w:sz w:val="24"/>
          <w:szCs w:val="24"/>
        </w:rPr>
        <w:t>50MW lub wyższej, przyłączonych do sieci 110kV,</w:t>
      </w:r>
    </w:p>
    <w:p w14:paraId="3756AF1D" w14:textId="1CF47F7F" w:rsidR="002A143B" w:rsidRPr="00AE3F1B" w:rsidRDefault="00DA12DF">
      <w:pPr>
        <w:numPr>
          <w:ilvl w:val="0"/>
          <w:numId w:val="1"/>
        </w:numPr>
        <w:spacing w:after="0" w:line="312" w:lineRule="auto"/>
        <w:ind w:left="851" w:right="-3" w:hanging="425"/>
        <w:jc w:val="left"/>
        <w:rPr>
          <w:rFonts w:ascii="Garamond" w:hAnsi="Garamond"/>
          <w:sz w:val="24"/>
          <w:szCs w:val="24"/>
        </w:rPr>
      </w:pPr>
      <w:r w:rsidRPr="00AE3F1B">
        <w:rPr>
          <w:rFonts w:ascii="Garamond" w:hAnsi="Garamond"/>
          <w:sz w:val="24"/>
          <w:szCs w:val="24"/>
        </w:rPr>
        <w:t xml:space="preserve">bilansowanie systemu, z wyjątkiem równoważenia bieżącego zapotrzebowania na energię elektryczną z dostawami tej </w:t>
      </w:r>
      <w:r w:rsidR="00190EAB" w:rsidRPr="00AE3F1B">
        <w:rPr>
          <w:rFonts w:ascii="Garamond" w:hAnsi="Garamond"/>
          <w:sz w:val="24"/>
          <w:szCs w:val="24"/>
        </w:rPr>
        <w:t>energii</w:t>
      </w:r>
      <w:r w:rsidRPr="00AE3F1B">
        <w:rPr>
          <w:rFonts w:ascii="Garamond" w:hAnsi="Garamond"/>
          <w:sz w:val="24"/>
          <w:szCs w:val="24"/>
        </w:rPr>
        <w:t xml:space="preserve"> oraz zarządzanie ograniczeniami systemowym</w:t>
      </w:r>
      <w:r w:rsidR="00B0122F" w:rsidRPr="00AE3F1B">
        <w:rPr>
          <w:rFonts w:ascii="Garamond" w:hAnsi="Garamond"/>
          <w:sz w:val="24"/>
          <w:szCs w:val="24"/>
        </w:rPr>
        <w:t>i</w:t>
      </w:r>
      <w:r w:rsidRPr="00AE3F1B">
        <w:rPr>
          <w:rFonts w:ascii="Garamond" w:hAnsi="Garamond"/>
          <w:sz w:val="24"/>
          <w:szCs w:val="24"/>
        </w:rPr>
        <w:t>,</w:t>
      </w:r>
    </w:p>
    <w:p w14:paraId="1388CFB8" w14:textId="77777777" w:rsidR="002A143B" w:rsidRPr="00AE3F1B" w:rsidRDefault="00DA12DF">
      <w:pPr>
        <w:numPr>
          <w:ilvl w:val="0"/>
          <w:numId w:val="1"/>
        </w:numPr>
        <w:spacing w:after="58" w:line="249" w:lineRule="auto"/>
        <w:ind w:left="851" w:right="-3" w:hanging="425"/>
        <w:jc w:val="left"/>
        <w:rPr>
          <w:rFonts w:ascii="Garamond" w:hAnsi="Garamond"/>
          <w:sz w:val="24"/>
          <w:szCs w:val="24"/>
        </w:rPr>
      </w:pPr>
      <w:r w:rsidRPr="00AE3F1B">
        <w:rPr>
          <w:rFonts w:ascii="Garamond" w:hAnsi="Garamond"/>
          <w:sz w:val="24"/>
          <w:szCs w:val="24"/>
        </w:rPr>
        <w:t xml:space="preserve">zarządzanie </w:t>
      </w:r>
      <w:r w:rsidR="003A4AA2" w:rsidRPr="00AE3F1B">
        <w:rPr>
          <w:rFonts w:ascii="Garamond" w:hAnsi="Garamond"/>
          <w:sz w:val="24"/>
          <w:szCs w:val="24"/>
        </w:rPr>
        <w:t>przepływ</w:t>
      </w:r>
      <w:r w:rsidR="00B0122F" w:rsidRPr="00AE3F1B">
        <w:rPr>
          <w:rFonts w:ascii="Garamond" w:hAnsi="Garamond"/>
          <w:sz w:val="24"/>
          <w:szCs w:val="24"/>
        </w:rPr>
        <w:t>a</w:t>
      </w:r>
      <w:r w:rsidR="003A4AA2" w:rsidRPr="00AE3F1B">
        <w:rPr>
          <w:rFonts w:ascii="Garamond" w:hAnsi="Garamond"/>
          <w:sz w:val="24"/>
          <w:szCs w:val="24"/>
        </w:rPr>
        <w:t>mi</w:t>
      </w:r>
      <w:r w:rsidRPr="00AE3F1B">
        <w:rPr>
          <w:rFonts w:ascii="Garamond" w:hAnsi="Garamond"/>
          <w:sz w:val="24"/>
          <w:szCs w:val="24"/>
        </w:rPr>
        <w:t xml:space="preserve"> energii elektrycznej w sieci dystrybucyjnej</w:t>
      </w:r>
      <w:r w:rsidR="00B0122F" w:rsidRPr="00AE3F1B">
        <w:rPr>
          <w:rFonts w:ascii="Garamond" w:hAnsi="Garamond"/>
          <w:sz w:val="24"/>
          <w:szCs w:val="24"/>
        </w:rPr>
        <w:t>,</w:t>
      </w:r>
    </w:p>
    <w:p w14:paraId="029573B4" w14:textId="77777777" w:rsidR="002A143B" w:rsidRPr="00AE3F1B" w:rsidRDefault="00DA12DF">
      <w:pPr>
        <w:numPr>
          <w:ilvl w:val="0"/>
          <w:numId w:val="1"/>
        </w:numPr>
        <w:spacing w:after="117" w:line="249" w:lineRule="auto"/>
        <w:ind w:left="851" w:right="-3" w:hanging="425"/>
        <w:jc w:val="left"/>
        <w:rPr>
          <w:rFonts w:ascii="Garamond" w:hAnsi="Garamond"/>
          <w:sz w:val="24"/>
          <w:szCs w:val="24"/>
        </w:rPr>
      </w:pPr>
      <w:r w:rsidRPr="00AE3F1B">
        <w:rPr>
          <w:rFonts w:ascii="Garamond" w:hAnsi="Garamond"/>
          <w:sz w:val="24"/>
          <w:szCs w:val="24"/>
        </w:rPr>
        <w:t>zakup energii elektrycznej w celu pokrywania strat powstałych w sieci dystrybucyjnej podczas dystrybucji energii elektrycznej tą siecią oraz stosowanie przejrzystych i niedyskryminacyjnych procedur rynkowych przy zakupie tej energii,</w:t>
      </w:r>
    </w:p>
    <w:p w14:paraId="3A847A29" w14:textId="77777777" w:rsidR="002A143B" w:rsidRPr="00AE3F1B" w:rsidRDefault="00DA12DF">
      <w:pPr>
        <w:numPr>
          <w:ilvl w:val="0"/>
          <w:numId w:val="1"/>
        </w:numPr>
        <w:spacing w:after="106"/>
        <w:ind w:left="851" w:right="-3" w:hanging="425"/>
        <w:jc w:val="left"/>
        <w:rPr>
          <w:rFonts w:ascii="Garamond" w:hAnsi="Garamond"/>
          <w:sz w:val="24"/>
          <w:szCs w:val="24"/>
        </w:rPr>
      </w:pPr>
      <w:r w:rsidRPr="00AE3F1B">
        <w:rPr>
          <w:rFonts w:ascii="Garamond" w:hAnsi="Garamond"/>
          <w:sz w:val="24"/>
          <w:szCs w:val="24"/>
        </w:rPr>
        <w:t xml:space="preserve">dostarczanie użytkownikom sieci i operatorowi OSDp, z którym system </w:t>
      </w:r>
      <w:r w:rsidR="003A4AA2" w:rsidRPr="00AE3F1B">
        <w:rPr>
          <w:rFonts w:ascii="Garamond" w:hAnsi="Garamond"/>
          <w:sz w:val="24"/>
          <w:szCs w:val="24"/>
        </w:rPr>
        <w:t>ID Sp. z o.o.</w:t>
      </w:r>
      <w:r w:rsidRPr="00AE3F1B">
        <w:rPr>
          <w:rFonts w:ascii="Garamond" w:hAnsi="Garamond"/>
          <w:sz w:val="24"/>
          <w:szCs w:val="24"/>
        </w:rPr>
        <w:t xml:space="preserve"> jest bezpośrednio połączony, informacji o warunkach świadczenia usług dystrybucji energii elektrycznej oraz zarządzaniu siecią, niezbędnych do uzyskania dostępu do sieci dystrybucyjnej i korzystania z tej sieci,</w:t>
      </w:r>
    </w:p>
    <w:p w14:paraId="074F5277" w14:textId="79310BBE" w:rsidR="0017380A" w:rsidRPr="00AE3F1B" w:rsidRDefault="0017380A">
      <w:pPr>
        <w:numPr>
          <w:ilvl w:val="0"/>
          <w:numId w:val="1"/>
        </w:numPr>
        <w:spacing w:after="106"/>
        <w:ind w:left="851" w:right="-3" w:hanging="425"/>
        <w:jc w:val="left"/>
        <w:rPr>
          <w:rFonts w:ascii="Garamond" w:hAnsi="Garamond"/>
          <w:sz w:val="24"/>
          <w:szCs w:val="24"/>
        </w:rPr>
      </w:pPr>
      <w:r w:rsidRPr="00AE3F1B">
        <w:rPr>
          <w:rFonts w:ascii="Garamond" w:hAnsi="Garamond"/>
          <w:sz w:val="24"/>
          <w:szCs w:val="24"/>
        </w:rPr>
        <w:t xml:space="preserve">umożliwienia umów sprzedaży energii elektrycznych zawartych przez odbiorców przyłączonych do sieci </w:t>
      </w:r>
      <w:r w:rsidR="00190EAB" w:rsidRPr="00AE3F1B">
        <w:rPr>
          <w:rFonts w:ascii="Garamond" w:hAnsi="Garamond"/>
          <w:sz w:val="24"/>
          <w:szCs w:val="24"/>
        </w:rPr>
        <w:t>poprzez:</w:t>
      </w:r>
    </w:p>
    <w:p w14:paraId="091B4200" w14:textId="77777777" w:rsidR="002A143B" w:rsidRPr="00AE3F1B" w:rsidRDefault="00DA12DF">
      <w:pPr>
        <w:numPr>
          <w:ilvl w:val="3"/>
          <w:numId w:val="6"/>
        </w:numPr>
        <w:spacing w:after="151"/>
        <w:ind w:left="993" w:right="-3" w:hanging="284"/>
        <w:jc w:val="left"/>
        <w:rPr>
          <w:rFonts w:ascii="Garamond" w:hAnsi="Garamond"/>
          <w:sz w:val="24"/>
          <w:szCs w:val="24"/>
        </w:rPr>
      </w:pPr>
      <w:r w:rsidRPr="00AE3F1B">
        <w:rPr>
          <w:rFonts w:ascii="Garamond" w:hAnsi="Garamond"/>
          <w:sz w:val="24"/>
          <w:szCs w:val="24"/>
        </w:rPr>
        <w:t xml:space="preserve">budowę i eksploatację infrastruktury technicznej i informatycznej służącej pozyskiwaniu i transmisji danych pomiarowych oraz zarządzaniu nimi w zakresie przypisanym, zapewniającej efektywną współpracę z </w:t>
      </w:r>
      <w:r w:rsidR="003A4AA2" w:rsidRPr="00AE3F1B">
        <w:rPr>
          <w:rFonts w:ascii="Garamond" w:hAnsi="Garamond"/>
          <w:sz w:val="24"/>
          <w:szCs w:val="24"/>
        </w:rPr>
        <w:t>innymi</w:t>
      </w:r>
      <w:r w:rsidRPr="00AE3F1B">
        <w:rPr>
          <w:rFonts w:ascii="Garamond" w:hAnsi="Garamond"/>
          <w:sz w:val="24"/>
          <w:szCs w:val="24"/>
        </w:rPr>
        <w:t xml:space="preserve"> operatorami i przedsiębiorstwami energetycznymi,</w:t>
      </w:r>
    </w:p>
    <w:p w14:paraId="75BFB843" w14:textId="6CF461A4" w:rsidR="002A143B" w:rsidRPr="00AE3F1B" w:rsidRDefault="00DA12DF">
      <w:pPr>
        <w:numPr>
          <w:ilvl w:val="3"/>
          <w:numId w:val="6"/>
        </w:numPr>
        <w:spacing w:after="155" w:line="249" w:lineRule="auto"/>
        <w:ind w:left="993" w:right="-3" w:hanging="284"/>
        <w:jc w:val="left"/>
        <w:rPr>
          <w:rFonts w:ascii="Garamond" w:hAnsi="Garamond"/>
          <w:sz w:val="24"/>
          <w:szCs w:val="24"/>
        </w:rPr>
      </w:pPr>
      <w:r w:rsidRPr="00AE3F1B">
        <w:rPr>
          <w:rFonts w:ascii="Garamond" w:hAnsi="Garamond"/>
          <w:sz w:val="24"/>
          <w:szCs w:val="24"/>
        </w:rPr>
        <w:t>pozyskiwanie, przechowywanie, prze</w:t>
      </w:r>
      <w:r w:rsidR="003A4AA2" w:rsidRPr="00AE3F1B">
        <w:rPr>
          <w:rFonts w:ascii="Garamond" w:hAnsi="Garamond"/>
          <w:sz w:val="24"/>
          <w:szCs w:val="24"/>
        </w:rPr>
        <w:t>t</w:t>
      </w:r>
      <w:r w:rsidRPr="00AE3F1B">
        <w:rPr>
          <w:rFonts w:ascii="Garamond" w:hAnsi="Garamond"/>
          <w:sz w:val="24"/>
          <w:szCs w:val="24"/>
        </w:rPr>
        <w:t xml:space="preserve">warzanie i udostępnianie, w uzgodnionej pomiędzy uczestnikami rynku energii formie, danych pomiarowych dla energii </w:t>
      </w:r>
      <w:r w:rsidR="003A4AA2" w:rsidRPr="00AE3F1B">
        <w:rPr>
          <w:rFonts w:ascii="Garamond" w:hAnsi="Garamond"/>
          <w:sz w:val="24"/>
          <w:szCs w:val="24"/>
        </w:rPr>
        <w:t>elektrycznej</w:t>
      </w:r>
      <w:r w:rsidRPr="00AE3F1B">
        <w:rPr>
          <w:rFonts w:ascii="Garamond" w:hAnsi="Garamond"/>
          <w:sz w:val="24"/>
          <w:szCs w:val="24"/>
        </w:rPr>
        <w:t xml:space="preserve"> pobranej </w:t>
      </w:r>
      <w:r w:rsidRPr="00AE3F1B">
        <w:rPr>
          <w:rFonts w:ascii="Garamond" w:hAnsi="Garamond"/>
          <w:sz w:val="24"/>
          <w:szCs w:val="24"/>
        </w:rPr>
        <w:lastRenderedPageBreak/>
        <w:t xml:space="preserve">przez odbiorców wybranym </w:t>
      </w:r>
      <w:r w:rsidR="00FE41C8" w:rsidRPr="00AE3F1B">
        <w:rPr>
          <w:rFonts w:ascii="Garamond" w:hAnsi="Garamond"/>
          <w:sz w:val="24"/>
          <w:szCs w:val="24"/>
        </w:rPr>
        <w:t>przez nich</w:t>
      </w:r>
      <w:r w:rsidRPr="00AE3F1B">
        <w:rPr>
          <w:rFonts w:ascii="Garamond" w:hAnsi="Garamond"/>
          <w:sz w:val="24"/>
          <w:szCs w:val="24"/>
        </w:rPr>
        <w:t xml:space="preserve"> sprzedawcom i podmiotom odpowiedzialnym za bilansowanie handlowe oraz operatorowi systemu przesyłowego i OSDp,</w:t>
      </w:r>
    </w:p>
    <w:p w14:paraId="570CE05E" w14:textId="690ED54A" w:rsidR="002A143B" w:rsidRPr="00AE3F1B" w:rsidRDefault="00DA12DF">
      <w:pPr>
        <w:numPr>
          <w:ilvl w:val="3"/>
          <w:numId w:val="6"/>
        </w:numPr>
        <w:ind w:left="993" w:right="-3" w:hanging="284"/>
        <w:jc w:val="left"/>
        <w:rPr>
          <w:rFonts w:ascii="Garamond" w:hAnsi="Garamond"/>
          <w:sz w:val="24"/>
          <w:szCs w:val="24"/>
        </w:rPr>
      </w:pPr>
      <w:r w:rsidRPr="00AE3F1B">
        <w:rPr>
          <w:rFonts w:ascii="Garamond" w:hAnsi="Garamond"/>
          <w:sz w:val="24"/>
          <w:szCs w:val="24"/>
        </w:rPr>
        <w:t xml:space="preserve">opracowywanie, aktualizację i </w:t>
      </w:r>
      <w:r w:rsidR="003A4AA2" w:rsidRPr="00AE3F1B">
        <w:rPr>
          <w:rFonts w:ascii="Garamond" w:hAnsi="Garamond"/>
          <w:sz w:val="24"/>
          <w:szCs w:val="24"/>
        </w:rPr>
        <w:t>udostępnianie</w:t>
      </w:r>
      <w:r w:rsidRPr="00AE3F1B">
        <w:rPr>
          <w:rFonts w:ascii="Garamond" w:hAnsi="Garamond"/>
          <w:sz w:val="24"/>
          <w:szCs w:val="24"/>
        </w:rPr>
        <w:t xml:space="preserve"> odbiorcom oraz ich sprzedawcom ich standardowych profili zużycia, a także uwzględnianie zasad ich stosowania w </w:t>
      </w:r>
      <w:r w:rsidR="0046030C" w:rsidRPr="0046030C">
        <w:rPr>
          <w:rFonts w:ascii="Garamond" w:hAnsi="Garamond"/>
          <w:sz w:val="24"/>
          <w:szCs w:val="24"/>
        </w:rPr>
        <w:t>IRiESD</w:t>
      </w:r>
      <w:r w:rsidRPr="00AE3F1B">
        <w:rPr>
          <w:rFonts w:ascii="Garamond" w:hAnsi="Garamond"/>
          <w:sz w:val="24"/>
          <w:szCs w:val="24"/>
        </w:rPr>
        <w:t>n,</w:t>
      </w:r>
    </w:p>
    <w:p w14:paraId="24086412" w14:textId="77777777" w:rsidR="002A143B" w:rsidRPr="00AE3F1B" w:rsidRDefault="00DA12DF">
      <w:pPr>
        <w:numPr>
          <w:ilvl w:val="3"/>
          <w:numId w:val="6"/>
        </w:numPr>
        <w:spacing w:after="11" w:line="249" w:lineRule="auto"/>
        <w:ind w:left="993" w:right="-3" w:hanging="284"/>
        <w:jc w:val="left"/>
        <w:rPr>
          <w:rFonts w:ascii="Garamond" w:hAnsi="Garamond"/>
          <w:sz w:val="24"/>
          <w:szCs w:val="24"/>
        </w:rPr>
      </w:pPr>
      <w:r w:rsidRPr="00AE3F1B">
        <w:rPr>
          <w:rFonts w:ascii="Garamond" w:hAnsi="Garamond"/>
          <w:sz w:val="24"/>
          <w:szCs w:val="24"/>
        </w:rPr>
        <w:t>udostępnianie danych dotyczących planowanego i rzeczywistego zużycia energii elektrycznej wyznaczonych na podstawie standardowych profili zużycia dla uzgodnionych okresów rozliczeniowych,</w:t>
      </w:r>
    </w:p>
    <w:p w14:paraId="70F3CBEC" w14:textId="1D435B6F" w:rsidR="002A143B" w:rsidRPr="00AE3F1B" w:rsidRDefault="00DA12DF">
      <w:pPr>
        <w:numPr>
          <w:ilvl w:val="3"/>
          <w:numId w:val="6"/>
        </w:numPr>
        <w:spacing w:after="74" w:line="249" w:lineRule="auto"/>
        <w:ind w:left="993" w:right="-3" w:hanging="284"/>
        <w:jc w:val="left"/>
        <w:rPr>
          <w:rFonts w:ascii="Garamond" w:hAnsi="Garamond"/>
          <w:sz w:val="24"/>
          <w:szCs w:val="24"/>
        </w:rPr>
      </w:pPr>
      <w:r w:rsidRPr="00AE3F1B">
        <w:rPr>
          <w:rFonts w:ascii="Garamond" w:hAnsi="Garamond"/>
          <w:sz w:val="24"/>
          <w:szCs w:val="24"/>
        </w:rPr>
        <w:t xml:space="preserve">wdrażanie </w:t>
      </w:r>
      <w:r w:rsidR="003A4AA2" w:rsidRPr="00AE3F1B">
        <w:rPr>
          <w:rFonts w:ascii="Garamond" w:hAnsi="Garamond"/>
          <w:sz w:val="24"/>
          <w:szCs w:val="24"/>
        </w:rPr>
        <w:t>warunków</w:t>
      </w:r>
      <w:r w:rsidRPr="00AE3F1B">
        <w:rPr>
          <w:rFonts w:ascii="Garamond" w:hAnsi="Garamond"/>
          <w:sz w:val="24"/>
          <w:szCs w:val="24"/>
        </w:rPr>
        <w:t xml:space="preserve"> i trybu zmiany sprzedawcy energii elektrycznej oraz ich uwzględnianie w </w:t>
      </w:r>
      <w:r w:rsidR="0046030C" w:rsidRPr="0046030C">
        <w:rPr>
          <w:rFonts w:ascii="Garamond" w:hAnsi="Garamond"/>
          <w:sz w:val="24"/>
          <w:szCs w:val="24"/>
        </w:rPr>
        <w:t>IRiESD</w:t>
      </w:r>
      <w:r w:rsidRPr="00AE3F1B">
        <w:rPr>
          <w:rFonts w:ascii="Garamond" w:hAnsi="Garamond"/>
          <w:sz w:val="24"/>
          <w:szCs w:val="24"/>
        </w:rPr>
        <w:t>n,</w:t>
      </w:r>
    </w:p>
    <w:p w14:paraId="53E2FE37" w14:textId="77777777" w:rsidR="002A143B" w:rsidRPr="00AE3F1B" w:rsidRDefault="00DA12DF">
      <w:pPr>
        <w:numPr>
          <w:ilvl w:val="3"/>
          <w:numId w:val="6"/>
        </w:numPr>
        <w:ind w:left="993" w:right="-3" w:hanging="284"/>
        <w:jc w:val="left"/>
        <w:rPr>
          <w:rFonts w:ascii="Garamond" w:hAnsi="Garamond"/>
          <w:sz w:val="24"/>
          <w:szCs w:val="24"/>
        </w:rPr>
      </w:pPr>
      <w:r w:rsidRPr="00AE3F1B">
        <w:rPr>
          <w:rFonts w:ascii="Garamond" w:hAnsi="Garamond"/>
          <w:sz w:val="24"/>
          <w:szCs w:val="24"/>
        </w:rPr>
        <w:t>zamieszczanie na swoich stronach internetowych oraz udostępnianie do publicznego wglądu w swoich siedzibach:</w:t>
      </w:r>
    </w:p>
    <w:p w14:paraId="463F69F5" w14:textId="589E0451" w:rsidR="002A143B" w:rsidRPr="00AE3F1B" w:rsidRDefault="00B0122F" w:rsidP="00ED1C0C">
      <w:pPr>
        <w:spacing w:after="36" w:line="249" w:lineRule="auto"/>
        <w:ind w:left="709" w:right="-3"/>
        <w:jc w:val="left"/>
        <w:rPr>
          <w:rFonts w:ascii="Garamond" w:hAnsi="Garamond"/>
          <w:sz w:val="24"/>
          <w:szCs w:val="24"/>
        </w:rPr>
      </w:pPr>
      <w:r w:rsidRPr="00AE3F1B">
        <w:rPr>
          <w:rFonts w:ascii="Garamond" w:hAnsi="Garamond"/>
          <w:noProof/>
          <w:sz w:val="24"/>
          <w:szCs w:val="24"/>
        </w:rPr>
        <w:t>-</w:t>
      </w:r>
      <w:r w:rsidRPr="00AE3F1B">
        <w:rPr>
          <w:rFonts w:ascii="Garamond" w:hAnsi="Garamond"/>
          <w:sz w:val="24"/>
          <w:szCs w:val="24"/>
        </w:rPr>
        <w:t xml:space="preserve"> aktualnej listy sprzedawców energii elektrycznej, z którymi ID Sp. z o.o. zawarła </w:t>
      </w:r>
      <w:r w:rsidR="00A90BF7" w:rsidRPr="00AE3F1B">
        <w:rPr>
          <w:rFonts w:ascii="Garamond" w:hAnsi="Garamond"/>
          <w:sz w:val="24"/>
          <w:szCs w:val="24"/>
        </w:rPr>
        <w:br/>
      </w:r>
      <w:r w:rsidRPr="00AE3F1B">
        <w:rPr>
          <w:rFonts w:ascii="Garamond" w:hAnsi="Garamond"/>
          <w:sz w:val="24"/>
          <w:szCs w:val="24"/>
        </w:rPr>
        <w:t xml:space="preserve">umowy o świadczenie usług dystrybucji energii elektrycznej, </w:t>
      </w:r>
      <w:r w:rsidRPr="00AE3F1B">
        <w:rPr>
          <w:rFonts w:ascii="Garamond" w:hAnsi="Garamond"/>
          <w:sz w:val="24"/>
          <w:szCs w:val="24"/>
        </w:rPr>
        <w:br/>
      </w:r>
      <w:r w:rsidR="00190EAB" w:rsidRPr="00AE3F1B">
        <w:rPr>
          <w:rFonts w:ascii="Garamond" w:hAnsi="Garamond"/>
          <w:sz w:val="24"/>
          <w:szCs w:val="24"/>
        </w:rPr>
        <w:t>- informacji</w:t>
      </w:r>
      <w:r w:rsidRPr="00AE3F1B">
        <w:rPr>
          <w:rFonts w:ascii="Garamond" w:hAnsi="Garamond"/>
          <w:sz w:val="24"/>
          <w:szCs w:val="24"/>
        </w:rPr>
        <w:t xml:space="preserve"> o sprzedawcy z urzędu energii elektrycznej działającym na obszarze </w:t>
      </w:r>
      <w:r w:rsidR="00A90BF7" w:rsidRPr="00AE3F1B">
        <w:rPr>
          <w:rFonts w:ascii="Garamond" w:hAnsi="Garamond"/>
          <w:sz w:val="24"/>
          <w:szCs w:val="24"/>
        </w:rPr>
        <w:br/>
      </w:r>
      <w:r w:rsidRPr="00AE3F1B">
        <w:rPr>
          <w:rFonts w:ascii="Garamond" w:hAnsi="Garamond"/>
          <w:sz w:val="24"/>
          <w:szCs w:val="24"/>
        </w:rPr>
        <w:t>działania ID Sp. z o.o.</w:t>
      </w:r>
      <w:r w:rsidRPr="00AE3F1B">
        <w:rPr>
          <w:rFonts w:ascii="Garamond" w:hAnsi="Garamond"/>
          <w:sz w:val="24"/>
          <w:szCs w:val="24"/>
        </w:rPr>
        <w:br/>
        <w:t xml:space="preserve">- wzorców umów zawieranych z użytkownikami systemu, w szczególności </w:t>
      </w:r>
      <w:r w:rsidR="00A90BF7" w:rsidRPr="00AE3F1B">
        <w:rPr>
          <w:rFonts w:ascii="Garamond" w:hAnsi="Garamond"/>
          <w:sz w:val="24"/>
          <w:szCs w:val="24"/>
        </w:rPr>
        <w:br/>
      </w:r>
      <w:r w:rsidRPr="00AE3F1B">
        <w:rPr>
          <w:rFonts w:ascii="Garamond" w:hAnsi="Garamond"/>
          <w:sz w:val="24"/>
          <w:szCs w:val="24"/>
        </w:rPr>
        <w:t xml:space="preserve">wzorców umów zawieranych z odbiorcami </w:t>
      </w:r>
      <w:r w:rsidR="003A4AA2" w:rsidRPr="00AE3F1B">
        <w:rPr>
          <w:rFonts w:ascii="Garamond" w:hAnsi="Garamond"/>
          <w:sz w:val="24"/>
          <w:szCs w:val="24"/>
        </w:rPr>
        <w:t>końcowymi</w:t>
      </w:r>
      <w:r w:rsidRPr="00AE3F1B">
        <w:rPr>
          <w:rFonts w:ascii="Garamond" w:hAnsi="Garamond"/>
          <w:sz w:val="24"/>
          <w:szCs w:val="24"/>
        </w:rPr>
        <w:t xml:space="preserve"> oraz ze sprzedawcami </w:t>
      </w:r>
      <w:r w:rsidR="00A90BF7" w:rsidRPr="00AE3F1B">
        <w:rPr>
          <w:rFonts w:ascii="Garamond" w:hAnsi="Garamond"/>
          <w:sz w:val="24"/>
          <w:szCs w:val="24"/>
        </w:rPr>
        <w:br/>
      </w:r>
      <w:r w:rsidR="003A4AA2" w:rsidRPr="00AE3F1B">
        <w:rPr>
          <w:rFonts w:ascii="Garamond" w:hAnsi="Garamond"/>
          <w:sz w:val="24"/>
          <w:szCs w:val="24"/>
        </w:rPr>
        <w:t>energii</w:t>
      </w:r>
      <w:r w:rsidRPr="00AE3F1B">
        <w:rPr>
          <w:rFonts w:ascii="Garamond" w:hAnsi="Garamond"/>
          <w:sz w:val="24"/>
          <w:szCs w:val="24"/>
        </w:rPr>
        <w:t xml:space="preserve"> elektrycznej;</w:t>
      </w:r>
    </w:p>
    <w:p w14:paraId="09D0BE04" w14:textId="77777777" w:rsidR="002A143B" w:rsidRPr="00AE3F1B" w:rsidRDefault="00DA12DF">
      <w:pPr>
        <w:numPr>
          <w:ilvl w:val="0"/>
          <w:numId w:val="1"/>
        </w:numPr>
        <w:spacing w:after="100" w:line="249" w:lineRule="auto"/>
        <w:ind w:right="-3" w:hanging="426"/>
        <w:jc w:val="left"/>
        <w:rPr>
          <w:rFonts w:ascii="Garamond" w:hAnsi="Garamond"/>
          <w:sz w:val="24"/>
          <w:szCs w:val="24"/>
        </w:rPr>
      </w:pPr>
      <w:r w:rsidRPr="00AE3F1B">
        <w:rPr>
          <w:rFonts w:ascii="Garamond" w:hAnsi="Garamond"/>
          <w:sz w:val="24"/>
          <w:szCs w:val="24"/>
        </w:rPr>
        <w:t xml:space="preserve">planowanie rozwoju sieci dystrybucyjnej z uwzględnieniem przedsięwzięć związanych </w:t>
      </w:r>
      <w:r w:rsidR="00A90BF7" w:rsidRPr="00AE3F1B">
        <w:rPr>
          <w:rFonts w:ascii="Garamond" w:hAnsi="Garamond"/>
          <w:sz w:val="24"/>
          <w:szCs w:val="24"/>
        </w:rPr>
        <w:br/>
      </w:r>
      <w:r w:rsidRPr="00AE3F1B">
        <w:rPr>
          <w:rFonts w:ascii="Garamond" w:hAnsi="Garamond"/>
          <w:sz w:val="24"/>
          <w:szCs w:val="24"/>
        </w:rPr>
        <w:t>z efektywnością energetyczną,</w:t>
      </w:r>
      <w:r w:rsidR="00B0122F" w:rsidRPr="00AE3F1B">
        <w:rPr>
          <w:rFonts w:ascii="Garamond" w:hAnsi="Garamond"/>
          <w:sz w:val="24"/>
          <w:szCs w:val="24"/>
        </w:rPr>
        <w:t xml:space="preserve"> zarządzaniem popytem na energię elektryczną lub rozwojem mocy wytwórczych przyłączonych do sieci dystrybucyjnej,</w:t>
      </w:r>
    </w:p>
    <w:p w14:paraId="2816430C" w14:textId="77777777" w:rsidR="002A143B" w:rsidRPr="00AE3F1B" w:rsidRDefault="003A4AA2">
      <w:pPr>
        <w:pStyle w:val="Akapitzlist"/>
        <w:numPr>
          <w:ilvl w:val="0"/>
          <w:numId w:val="1"/>
        </w:numPr>
        <w:spacing w:line="298" w:lineRule="auto"/>
        <w:ind w:right="-3" w:hanging="426"/>
        <w:jc w:val="left"/>
        <w:rPr>
          <w:rFonts w:ascii="Garamond" w:hAnsi="Garamond"/>
          <w:sz w:val="24"/>
          <w:szCs w:val="24"/>
        </w:rPr>
      </w:pPr>
      <w:r w:rsidRPr="00AE3F1B">
        <w:rPr>
          <w:rFonts w:ascii="Garamond" w:hAnsi="Garamond"/>
          <w:sz w:val="24"/>
          <w:szCs w:val="24"/>
        </w:rPr>
        <w:t xml:space="preserve">stosowanie się do warunków współpracy z </w:t>
      </w:r>
      <w:r w:rsidR="00B0122F" w:rsidRPr="00AE3F1B">
        <w:rPr>
          <w:rFonts w:ascii="Garamond" w:hAnsi="Garamond"/>
          <w:sz w:val="24"/>
          <w:szCs w:val="24"/>
        </w:rPr>
        <w:t>PGE Dystrybucja S.A.</w:t>
      </w:r>
    </w:p>
    <w:p w14:paraId="7916E18C" w14:textId="77777777" w:rsidR="009731A1" w:rsidRPr="00AE3F1B" w:rsidRDefault="00DA12DF">
      <w:pPr>
        <w:numPr>
          <w:ilvl w:val="0"/>
          <w:numId w:val="1"/>
        </w:numPr>
        <w:spacing w:after="202"/>
        <w:ind w:right="-3" w:hanging="426"/>
        <w:jc w:val="left"/>
        <w:rPr>
          <w:rFonts w:ascii="Garamond" w:hAnsi="Garamond"/>
          <w:sz w:val="24"/>
          <w:szCs w:val="24"/>
        </w:rPr>
      </w:pPr>
      <w:r w:rsidRPr="00AE3F1B">
        <w:rPr>
          <w:rFonts w:ascii="Garamond" w:hAnsi="Garamond"/>
          <w:sz w:val="24"/>
          <w:szCs w:val="24"/>
        </w:rPr>
        <w:t>utrzymanie odpowiedniego poziomu bezpieczeństwa pracy sieci dystrybucyjnej elektroenergetycznej</w:t>
      </w:r>
      <w:r w:rsidR="0017380A" w:rsidRPr="00AE3F1B">
        <w:rPr>
          <w:rFonts w:ascii="Garamond" w:hAnsi="Garamond"/>
          <w:sz w:val="24"/>
          <w:szCs w:val="24"/>
        </w:rPr>
        <w:t>.</w:t>
      </w:r>
    </w:p>
    <w:p w14:paraId="7DD7AEEB" w14:textId="42E8E35D" w:rsidR="009731A1" w:rsidRPr="00AE3F1B" w:rsidRDefault="009731A1" w:rsidP="00FE41C8">
      <w:pPr>
        <w:spacing w:after="202"/>
        <w:ind w:left="567" w:right="-3" w:hanging="567"/>
        <w:jc w:val="left"/>
        <w:rPr>
          <w:rFonts w:ascii="Garamond" w:hAnsi="Garamond"/>
          <w:sz w:val="24"/>
          <w:szCs w:val="24"/>
        </w:rPr>
      </w:pPr>
      <w:r w:rsidRPr="00AE3F1B">
        <w:rPr>
          <w:rFonts w:ascii="Garamond" w:hAnsi="Garamond"/>
          <w:sz w:val="24"/>
          <w:szCs w:val="24"/>
        </w:rPr>
        <w:t>I.1.10.</w:t>
      </w:r>
      <w:r w:rsidR="00FE41C8">
        <w:rPr>
          <w:rFonts w:ascii="Garamond" w:hAnsi="Garamond"/>
          <w:sz w:val="24"/>
          <w:szCs w:val="24"/>
        </w:rPr>
        <w:t xml:space="preserve"> </w:t>
      </w:r>
      <w:r w:rsidRPr="00AE3F1B">
        <w:rPr>
          <w:rFonts w:ascii="Garamond" w:hAnsi="Garamond"/>
          <w:sz w:val="24"/>
          <w:szCs w:val="24"/>
        </w:rPr>
        <w:t xml:space="preserve">ID S. z o.o. ponosi odpowiedzialność za skutki zaniechania działań lub skutki swoich </w:t>
      </w:r>
      <w:r w:rsidR="00F82733" w:rsidRPr="00AE3F1B">
        <w:rPr>
          <w:rFonts w:ascii="Garamond" w:hAnsi="Garamond"/>
          <w:sz w:val="24"/>
          <w:szCs w:val="24"/>
        </w:rPr>
        <w:br/>
      </w:r>
      <w:r w:rsidRPr="00AE3F1B">
        <w:rPr>
          <w:rFonts w:ascii="Garamond" w:hAnsi="Garamond"/>
          <w:sz w:val="24"/>
          <w:szCs w:val="24"/>
        </w:rPr>
        <w:t xml:space="preserve">działań zgodnie z obowiązującym </w:t>
      </w:r>
      <w:r w:rsidR="00F82733" w:rsidRPr="00AE3F1B">
        <w:rPr>
          <w:rFonts w:ascii="Garamond" w:hAnsi="Garamond"/>
          <w:sz w:val="24"/>
          <w:szCs w:val="24"/>
        </w:rPr>
        <w:t>p</w:t>
      </w:r>
      <w:r w:rsidRPr="00AE3F1B">
        <w:rPr>
          <w:rFonts w:ascii="Garamond" w:hAnsi="Garamond"/>
          <w:sz w:val="24"/>
          <w:szCs w:val="24"/>
        </w:rPr>
        <w:t>rawem.</w:t>
      </w:r>
    </w:p>
    <w:p w14:paraId="565E5F56" w14:textId="205167E6" w:rsidR="002A143B" w:rsidRPr="00AE3F1B" w:rsidRDefault="00A90221" w:rsidP="00175586">
      <w:pPr>
        <w:spacing w:after="110"/>
        <w:ind w:left="567" w:right="-3" w:hanging="567"/>
        <w:jc w:val="left"/>
        <w:rPr>
          <w:rFonts w:ascii="Garamond" w:hAnsi="Garamond"/>
          <w:sz w:val="24"/>
          <w:szCs w:val="24"/>
        </w:rPr>
      </w:pPr>
      <w:r w:rsidRPr="00AE3F1B">
        <w:rPr>
          <w:rFonts w:ascii="Garamond" w:hAnsi="Garamond"/>
          <w:sz w:val="24"/>
          <w:szCs w:val="24"/>
        </w:rPr>
        <w:t>I.1.</w:t>
      </w:r>
      <w:r w:rsidR="0017380A" w:rsidRPr="00AE3F1B">
        <w:rPr>
          <w:rFonts w:ascii="Garamond" w:hAnsi="Garamond"/>
          <w:sz w:val="24"/>
          <w:szCs w:val="24"/>
        </w:rPr>
        <w:t>1</w:t>
      </w:r>
      <w:r w:rsidR="009731A1" w:rsidRPr="00AE3F1B">
        <w:rPr>
          <w:rFonts w:ascii="Garamond" w:hAnsi="Garamond"/>
          <w:sz w:val="24"/>
          <w:szCs w:val="24"/>
        </w:rPr>
        <w:t>1</w:t>
      </w:r>
      <w:r w:rsidRPr="00AE3F1B">
        <w:rPr>
          <w:rFonts w:ascii="Garamond" w:hAnsi="Garamond"/>
          <w:sz w:val="24"/>
          <w:szCs w:val="24"/>
        </w:rPr>
        <w:t>.</w:t>
      </w:r>
      <w:r w:rsidR="00190EAB">
        <w:rPr>
          <w:rFonts w:ascii="Garamond" w:hAnsi="Garamond"/>
          <w:sz w:val="24"/>
          <w:szCs w:val="24"/>
        </w:rPr>
        <w:t xml:space="preserve"> </w:t>
      </w:r>
      <w:r w:rsidRPr="00AE3F1B">
        <w:rPr>
          <w:rFonts w:ascii="Garamond" w:hAnsi="Garamond"/>
          <w:sz w:val="24"/>
          <w:szCs w:val="24"/>
        </w:rPr>
        <w:t xml:space="preserve">ID Sp. z o.o. nie ponosi odpowiedzialność za skutki działań lub skutki zaniechania działań </w:t>
      </w:r>
      <w:r w:rsidR="00ED1C0C">
        <w:rPr>
          <w:rFonts w:ascii="Garamond" w:hAnsi="Garamond"/>
          <w:sz w:val="24"/>
          <w:szCs w:val="24"/>
        </w:rPr>
        <w:br/>
      </w:r>
      <w:r w:rsidRPr="00AE3F1B">
        <w:rPr>
          <w:rFonts w:ascii="Garamond" w:hAnsi="Garamond"/>
          <w:sz w:val="24"/>
          <w:szCs w:val="24"/>
        </w:rPr>
        <w:t>innych operatorów</w:t>
      </w:r>
      <w:r w:rsidR="007C2695">
        <w:rPr>
          <w:rFonts w:ascii="Garamond" w:hAnsi="Garamond"/>
          <w:sz w:val="24"/>
          <w:szCs w:val="24"/>
        </w:rPr>
        <w:t xml:space="preserve"> </w:t>
      </w:r>
      <w:r w:rsidRPr="00AE3F1B">
        <w:rPr>
          <w:rFonts w:ascii="Garamond" w:hAnsi="Garamond"/>
          <w:sz w:val="24"/>
          <w:szCs w:val="24"/>
        </w:rPr>
        <w:t>systemów elektroenergetycznych.</w:t>
      </w:r>
    </w:p>
    <w:p w14:paraId="7D7C4AB8" w14:textId="2102416B" w:rsidR="002A143B" w:rsidRPr="00AE3F1B" w:rsidRDefault="00A90221" w:rsidP="00175586">
      <w:pPr>
        <w:spacing w:after="63"/>
        <w:ind w:left="567" w:right="-3" w:hanging="567"/>
        <w:jc w:val="left"/>
        <w:rPr>
          <w:rFonts w:ascii="Garamond" w:hAnsi="Garamond"/>
          <w:sz w:val="24"/>
          <w:szCs w:val="24"/>
        </w:rPr>
      </w:pPr>
      <w:r w:rsidRPr="00AE3F1B">
        <w:rPr>
          <w:rFonts w:ascii="Garamond" w:hAnsi="Garamond"/>
          <w:sz w:val="24"/>
          <w:szCs w:val="24"/>
        </w:rPr>
        <w:t>I.1.1</w:t>
      </w:r>
      <w:r w:rsidR="009731A1" w:rsidRPr="00AE3F1B">
        <w:rPr>
          <w:rFonts w:ascii="Garamond" w:hAnsi="Garamond"/>
          <w:sz w:val="24"/>
          <w:szCs w:val="24"/>
        </w:rPr>
        <w:t>2</w:t>
      </w:r>
      <w:r w:rsidRPr="00AE3F1B">
        <w:rPr>
          <w:rFonts w:ascii="Garamond" w:hAnsi="Garamond"/>
          <w:sz w:val="24"/>
          <w:szCs w:val="24"/>
        </w:rPr>
        <w:t>.</w:t>
      </w:r>
      <w:r w:rsidR="00190EAB">
        <w:rPr>
          <w:rFonts w:ascii="Garamond" w:hAnsi="Garamond"/>
          <w:sz w:val="24"/>
          <w:szCs w:val="24"/>
        </w:rPr>
        <w:t xml:space="preserve"> </w:t>
      </w:r>
      <w:r w:rsidR="00FF23BB" w:rsidRPr="00FF23BB">
        <w:rPr>
          <w:rFonts w:ascii="Garamond" w:hAnsi="Garamond"/>
          <w:sz w:val="24"/>
          <w:szCs w:val="24"/>
        </w:rPr>
        <w:t>IRiESD</w:t>
      </w:r>
      <w:r w:rsidR="009731A1" w:rsidRPr="00AE3F1B">
        <w:rPr>
          <w:rFonts w:ascii="Garamond" w:hAnsi="Garamond"/>
          <w:sz w:val="24"/>
          <w:szCs w:val="24"/>
        </w:rPr>
        <w:t>n</w:t>
      </w:r>
      <w:r w:rsidRPr="00AE3F1B">
        <w:rPr>
          <w:rFonts w:ascii="Garamond" w:hAnsi="Garamond"/>
          <w:sz w:val="24"/>
          <w:szCs w:val="24"/>
        </w:rPr>
        <w:t xml:space="preserve"> przestaje obowiązywać podmioty</w:t>
      </w:r>
      <w:r w:rsidR="009731A1" w:rsidRPr="00AE3F1B">
        <w:rPr>
          <w:rFonts w:ascii="Garamond" w:hAnsi="Garamond"/>
          <w:sz w:val="24"/>
          <w:szCs w:val="24"/>
        </w:rPr>
        <w:t>, które zostały odłączone od sieci dystrybucyjnej ID Sp. z o.o. i nastąpiło rozwiązanie z ID Sp. z o.o. umowy o świadczenie usług dystrybucji lub umowy kompleksowej.</w:t>
      </w:r>
    </w:p>
    <w:p w14:paraId="46B02B85" w14:textId="697A790C" w:rsidR="00FE41C8" w:rsidRDefault="00A90221" w:rsidP="0046030C">
      <w:pPr>
        <w:spacing w:after="0"/>
        <w:ind w:left="567" w:right="-3" w:hanging="567"/>
        <w:jc w:val="left"/>
        <w:rPr>
          <w:rFonts w:ascii="Garamond" w:hAnsi="Garamond"/>
          <w:sz w:val="24"/>
          <w:szCs w:val="24"/>
        </w:rPr>
      </w:pPr>
      <w:r w:rsidRPr="00AE3F1B">
        <w:rPr>
          <w:rFonts w:ascii="Garamond" w:hAnsi="Garamond"/>
          <w:sz w:val="24"/>
          <w:szCs w:val="24"/>
        </w:rPr>
        <w:t>I.1.1</w:t>
      </w:r>
      <w:r w:rsidR="009731A1" w:rsidRPr="00AE3F1B">
        <w:rPr>
          <w:rFonts w:ascii="Garamond" w:hAnsi="Garamond"/>
          <w:sz w:val="24"/>
          <w:szCs w:val="24"/>
        </w:rPr>
        <w:t>3</w:t>
      </w:r>
      <w:r w:rsidRPr="00AE3F1B">
        <w:rPr>
          <w:rFonts w:ascii="Garamond" w:hAnsi="Garamond"/>
          <w:sz w:val="24"/>
          <w:szCs w:val="24"/>
        </w:rPr>
        <w:t xml:space="preserve">. ID Sp. z o.o. udostępnia do wglądu </w:t>
      </w:r>
      <w:r w:rsidR="0046030C" w:rsidRPr="0046030C">
        <w:rPr>
          <w:rFonts w:ascii="Garamond" w:hAnsi="Garamond"/>
          <w:sz w:val="24"/>
          <w:szCs w:val="24"/>
        </w:rPr>
        <w:t>IRiESD</w:t>
      </w:r>
      <w:r w:rsidRPr="00AE3F1B">
        <w:rPr>
          <w:rFonts w:ascii="Garamond" w:hAnsi="Garamond"/>
          <w:sz w:val="24"/>
          <w:szCs w:val="24"/>
        </w:rPr>
        <w:t>n w swojej siedzibie oraz zamieszcza ją na swoich stronach internetowych.</w:t>
      </w:r>
    </w:p>
    <w:p w14:paraId="7B6C1AD5" w14:textId="409AAC93" w:rsidR="002A143B" w:rsidRPr="00AE3F1B" w:rsidRDefault="00A90221" w:rsidP="0046030C">
      <w:pPr>
        <w:spacing w:after="0"/>
        <w:ind w:left="567" w:right="-3" w:hanging="567"/>
        <w:jc w:val="left"/>
        <w:rPr>
          <w:rFonts w:ascii="Garamond" w:hAnsi="Garamond"/>
          <w:sz w:val="24"/>
          <w:szCs w:val="24"/>
        </w:rPr>
      </w:pPr>
      <w:r w:rsidRPr="00AE3F1B">
        <w:rPr>
          <w:rFonts w:ascii="Garamond" w:hAnsi="Garamond"/>
          <w:sz w:val="24"/>
          <w:szCs w:val="24"/>
        </w:rPr>
        <w:t>I.1.1</w:t>
      </w:r>
      <w:r w:rsidR="009731A1" w:rsidRPr="00AE3F1B">
        <w:rPr>
          <w:rFonts w:ascii="Garamond" w:hAnsi="Garamond"/>
          <w:sz w:val="24"/>
          <w:szCs w:val="24"/>
        </w:rPr>
        <w:t>4</w:t>
      </w:r>
      <w:r w:rsidRPr="00AE3F1B">
        <w:rPr>
          <w:rFonts w:ascii="Garamond" w:hAnsi="Garamond"/>
          <w:sz w:val="24"/>
          <w:szCs w:val="24"/>
        </w:rPr>
        <w:t>.</w:t>
      </w:r>
      <w:r w:rsidR="0046030C" w:rsidRPr="0046030C">
        <w:rPr>
          <w:rFonts w:ascii="Garamond" w:hAnsi="Garamond"/>
          <w:sz w:val="24"/>
          <w:szCs w:val="24"/>
        </w:rPr>
        <w:t xml:space="preserve"> IRiESD</w:t>
      </w:r>
      <w:r w:rsidRPr="00AE3F1B">
        <w:rPr>
          <w:rFonts w:ascii="Garamond" w:hAnsi="Garamond"/>
          <w:sz w:val="24"/>
          <w:szCs w:val="24"/>
        </w:rPr>
        <w:t xml:space="preserve">n jak również wszelkie zmiany </w:t>
      </w:r>
      <w:r w:rsidR="0046030C" w:rsidRPr="0046030C">
        <w:rPr>
          <w:rFonts w:ascii="Garamond" w:hAnsi="Garamond"/>
          <w:sz w:val="24"/>
          <w:szCs w:val="24"/>
        </w:rPr>
        <w:t>IRiESD</w:t>
      </w:r>
      <w:r w:rsidRPr="00AE3F1B">
        <w:rPr>
          <w:rFonts w:ascii="Garamond" w:hAnsi="Garamond"/>
          <w:sz w:val="24"/>
          <w:szCs w:val="24"/>
        </w:rPr>
        <w:t>n podlegają zatwierdzeniu, w drodze uchwały Zarządu ID Sp. z o.o.</w:t>
      </w:r>
    </w:p>
    <w:p w14:paraId="7D4E60CD" w14:textId="115B3B54" w:rsidR="002A143B" w:rsidRPr="00AE3F1B" w:rsidRDefault="00A90221" w:rsidP="00175586">
      <w:pPr>
        <w:spacing w:after="176"/>
        <w:ind w:left="567" w:right="-3" w:hanging="567"/>
        <w:jc w:val="left"/>
        <w:rPr>
          <w:rFonts w:ascii="Garamond" w:hAnsi="Garamond"/>
          <w:sz w:val="24"/>
          <w:szCs w:val="24"/>
        </w:rPr>
      </w:pPr>
      <w:r w:rsidRPr="00AE3F1B">
        <w:rPr>
          <w:rFonts w:ascii="Garamond" w:hAnsi="Garamond"/>
          <w:sz w:val="24"/>
          <w:szCs w:val="24"/>
        </w:rPr>
        <w:t>I.1.1</w:t>
      </w:r>
      <w:r w:rsidR="009731A1" w:rsidRPr="00AE3F1B">
        <w:rPr>
          <w:rFonts w:ascii="Garamond" w:hAnsi="Garamond"/>
          <w:sz w:val="24"/>
          <w:szCs w:val="24"/>
        </w:rPr>
        <w:t>5</w:t>
      </w:r>
      <w:r w:rsidRPr="00AE3F1B">
        <w:rPr>
          <w:rFonts w:ascii="Garamond" w:hAnsi="Garamond"/>
          <w:sz w:val="24"/>
          <w:szCs w:val="24"/>
        </w:rPr>
        <w:t xml:space="preserve">. </w:t>
      </w:r>
      <w:r w:rsidR="0046030C" w:rsidRPr="0046030C">
        <w:rPr>
          <w:rFonts w:ascii="Garamond" w:hAnsi="Garamond"/>
          <w:sz w:val="24"/>
          <w:szCs w:val="24"/>
        </w:rPr>
        <w:t>IRiESD</w:t>
      </w:r>
      <w:r w:rsidRPr="00AE3F1B">
        <w:rPr>
          <w:rFonts w:ascii="Garamond" w:hAnsi="Garamond"/>
          <w:sz w:val="24"/>
          <w:szCs w:val="24"/>
        </w:rPr>
        <w:t xml:space="preserve">n oraz wszelkie jej zmiany wchodzą w życie z datą określoną </w:t>
      </w:r>
      <w:r w:rsidR="009731A1" w:rsidRPr="00AE3F1B">
        <w:rPr>
          <w:rFonts w:ascii="Garamond" w:hAnsi="Garamond"/>
          <w:sz w:val="24"/>
          <w:szCs w:val="24"/>
        </w:rPr>
        <w:t xml:space="preserve">przez Zarząd ID Sp. z o.o. </w:t>
      </w:r>
      <w:r w:rsidRPr="00AE3F1B">
        <w:rPr>
          <w:rFonts w:ascii="Garamond" w:hAnsi="Garamond"/>
          <w:sz w:val="24"/>
          <w:szCs w:val="24"/>
        </w:rPr>
        <w:t xml:space="preserve">w </w:t>
      </w:r>
      <w:r w:rsidR="009731A1" w:rsidRPr="00AE3F1B">
        <w:rPr>
          <w:rFonts w:ascii="Garamond" w:hAnsi="Garamond"/>
          <w:sz w:val="24"/>
          <w:szCs w:val="24"/>
        </w:rPr>
        <w:t xml:space="preserve">decyzji zatwierdzającej </w:t>
      </w:r>
      <w:r w:rsidR="0046030C" w:rsidRPr="0046030C">
        <w:rPr>
          <w:rFonts w:ascii="Garamond" w:hAnsi="Garamond"/>
          <w:sz w:val="24"/>
          <w:szCs w:val="24"/>
        </w:rPr>
        <w:t>IRiESD</w:t>
      </w:r>
      <w:r w:rsidRPr="00AE3F1B">
        <w:rPr>
          <w:rFonts w:ascii="Garamond" w:hAnsi="Garamond"/>
          <w:sz w:val="24"/>
          <w:szCs w:val="24"/>
        </w:rPr>
        <w:t>n lub jej zmiany.</w:t>
      </w:r>
    </w:p>
    <w:p w14:paraId="42E48964" w14:textId="1B5DFDBD" w:rsidR="002A143B" w:rsidRPr="00AE3F1B" w:rsidRDefault="00A90221" w:rsidP="00175586">
      <w:pPr>
        <w:spacing w:after="155"/>
        <w:ind w:left="567" w:right="-3" w:hanging="567"/>
        <w:jc w:val="left"/>
        <w:rPr>
          <w:rFonts w:ascii="Garamond" w:hAnsi="Garamond"/>
          <w:sz w:val="24"/>
          <w:szCs w:val="24"/>
        </w:rPr>
      </w:pPr>
      <w:r w:rsidRPr="00AE3F1B">
        <w:rPr>
          <w:rFonts w:ascii="Garamond" w:hAnsi="Garamond"/>
          <w:sz w:val="24"/>
          <w:szCs w:val="24"/>
        </w:rPr>
        <w:t>I.1.1</w:t>
      </w:r>
      <w:r w:rsidR="00BA3597" w:rsidRPr="00AE3F1B">
        <w:rPr>
          <w:rFonts w:ascii="Garamond" w:hAnsi="Garamond"/>
          <w:sz w:val="24"/>
          <w:szCs w:val="24"/>
        </w:rPr>
        <w:t>6</w:t>
      </w:r>
      <w:r w:rsidRPr="00AE3F1B">
        <w:rPr>
          <w:rFonts w:ascii="Garamond" w:hAnsi="Garamond"/>
          <w:sz w:val="24"/>
          <w:szCs w:val="24"/>
        </w:rPr>
        <w:t xml:space="preserve">. Data wejścia w życie </w:t>
      </w:r>
      <w:r w:rsidR="0046030C" w:rsidRPr="0046030C">
        <w:rPr>
          <w:rFonts w:ascii="Garamond" w:hAnsi="Garamond"/>
          <w:sz w:val="24"/>
          <w:szCs w:val="24"/>
        </w:rPr>
        <w:t>IRiESD</w:t>
      </w:r>
      <w:r w:rsidRPr="00AE3F1B">
        <w:rPr>
          <w:rFonts w:ascii="Garamond" w:hAnsi="Garamond"/>
          <w:sz w:val="24"/>
          <w:szCs w:val="24"/>
        </w:rPr>
        <w:t xml:space="preserve">n lub jej zmian jest wpisywana na jej stronie tytułowej lub na </w:t>
      </w:r>
      <w:r w:rsidR="00F82733" w:rsidRPr="00AE3F1B">
        <w:rPr>
          <w:rFonts w:ascii="Garamond" w:hAnsi="Garamond"/>
          <w:sz w:val="24"/>
          <w:szCs w:val="24"/>
        </w:rPr>
        <w:br/>
      </w:r>
      <w:r w:rsidRPr="00AE3F1B">
        <w:rPr>
          <w:rFonts w:ascii="Garamond" w:hAnsi="Garamond"/>
          <w:sz w:val="24"/>
          <w:szCs w:val="24"/>
        </w:rPr>
        <w:t>stronie tytułowej Karty aktualizacji.</w:t>
      </w:r>
    </w:p>
    <w:p w14:paraId="547790FA" w14:textId="322BD1AB" w:rsidR="002A143B" w:rsidRPr="00AE3F1B" w:rsidRDefault="00A90221" w:rsidP="00175586">
      <w:pPr>
        <w:ind w:left="567" w:right="-3" w:hanging="567"/>
        <w:jc w:val="left"/>
        <w:rPr>
          <w:rFonts w:ascii="Garamond" w:hAnsi="Garamond"/>
          <w:sz w:val="24"/>
          <w:szCs w:val="24"/>
        </w:rPr>
      </w:pPr>
      <w:r w:rsidRPr="00AE3F1B">
        <w:rPr>
          <w:rFonts w:ascii="Garamond" w:hAnsi="Garamond"/>
          <w:sz w:val="24"/>
          <w:szCs w:val="24"/>
        </w:rPr>
        <w:t>I.1.1</w:t>
      </w:r>
      <w:r w:rsidR="00BA3597" w:rsidRPr="00AE3F1B">
        <w:rPr>
          <w:rFonts w:ascii="Garamond" w:hAnsi="Garamond"/>
          <w:sz w:val="24"/>
          <w:szCs w:val="24"/>
        </w:rPr>
        <w:t>7</w:t>
      </w:r>
      <w:r w:rsidRPr="00AE3F1B">
        <w:rPr>
          <w:rFonts w:ascii="Garamond" w:hAnsi="Garamond"/>
          <w:sz w:val="24"/>
          <w:szCs w:val="24"/>
        </w:rPr>
        <w:t xml:space="preserve">. W zależności od potrzeb, ID Sp. z o.o. przeprowadza aktualizację </w:t>
      </w:r>
      <w:r w:rsidR="0046030C" w:rsidRPr="0046030C">
        <w:rPr>
          <w:rFonts w:ascii="Garamond" w:hAnsi="Garamond"/>
          <w:sz w:val="24"/>
          <w:szCs w:val="24"/>
        </w:rPr>
        <w:t>IRiESD</w:t>
      </w:r>
      <w:r w:rsidRPr="00AE3F1B">
        <w:rPr>
          <w:rFonts w:ascii="Garamond" w:hAnsi="Garamond"/>
          <w:sz w:val="24"/>
          <w:szCs w:val="24"/>
        </w:rPr>
        <w:t>n.</w:t>
      </w:r>
      <w:r w:rsidR="0046030C">
        <w:rPr>
          <w:rFonts w:ascii="Garamond" w:hAnsi="Garamond"/>
          <w:sz w:val="24"/>
          <w:szCs w:val="24"/>
        </w:rPr>
        <w:t xml:space="preserve"> </w:t>
      </w:r>
      <w:r w:rsidRPr="00AE3F1B">
        <w:rPr>
          <w:rFonts w:ascii="Garamond" w:hAnsi="Garamond"/>
          <w:sz w:val="24"/>
          <w:szCs w:val="24"/>
        </w:rPr>
        <w:t xml:space="preserve">W szczególności </w:t>
      </w:r>
      <w:r w:rsidR="00F82733" w:rsidRPr="00AE3F1B">
        <w:rPr>
          <w:rFonts w:ascii="Garamond" w:hAnsi="Garamond"/>
          <w:sz w:val="24"/>
          <w:szCs w:val="24"/>
        </w:rPr>
        <w:br/>
      </w:r>
      <w:r w:rsidRPr="00AE3F1B">
        <w:rPr>
          <w:rFonts w:ascii="Garamond" w:hAnsi="Garamond"/>
          <w:sz w:val="24"/>
          <w:szCs w:val="24"/>
        </w:rPr>
        <w:t>aktualizacja jest dokonywana przy zmianie wymogów prawa.</w:t>
      </w:r>
    </w:p>
    <w:p w14:paraId="0A01A3E3" w14:textId="614F6C98" w:rsidR="002A143B" w:rsidRPr="00AE3F1B" w:rsidRDefault="00F14A5F" w:rsidP="00175586">
      <w:pPr>
        <w:spacing w:after="120"/>
        <w:ind w:left="567" w:right="-3" w:hanging="567"/>
        <w:jc w:val="left"/>
        <w:rPr>
          <w:rFonts w:ascii="Garamond" w:hAnsi="Garamond"/>
          <w:sz w:val="24"/>
          <w:szCs w:val="24"/>
        </w:rPr>
      </w:pPr>
      <w:r w:rsidRPr="00AE3F1B">
        <w:rPr>
          <w:rFonts w:ascii="Garamond" w:hAnsi="Garamond"/>
          <w:sz w:val="24"/>
          <w:szCs w:val="24"/>
        </w:rPr>
        <w:t>I.1.1</w:t>
      </w:r>
      <w:r w:rsidR="00BA3597" w:rsidRPr="00AE3F1B">
        <w:rPr>
          <w:rFonts w:ascii="Garamond" w:hAnsi="Garamond"/>
          <w:sz w:val="24"/>
          <w:szCs w:val="24"/>
        </w:rPr>
        <w:t>8</w:t>
      </w:r>
      <w:r w:rsidRPr="00AE3F1B">
        <w:rPr>
          <w:rFonts w:ascii="Garamond" w:hAnsi="Garamond"/>
          <w:sz w:val="24"/>
          <w:szCs w:val="24"/>
        </w:rPr>
        <w:t>.</w:t>
      </w:r>
      <w:r w:rsidR="00FE41C8">
        <w:rPr>
          <w:rFonts w:ascii="Garamond" w:hAnsi="Garamond"/>
          <w:sz w:val="24"/>
          <w:szCs w:val="24"/>
        </w:rPr>
        <w:t xml:space="preserve"> </w:t>
      </w:r>
      <w:r w:rsidRPr="00AE3F1B">
        <w:rPr>
          <w:rFonts w:ascii="Garamond" w:hAnsi="Garamond"/>
          <w:sz w:val="24"/>
          <w:szCs w:val="24"/>
        </w:rPr>
        <w:t xml:space="preserve">Zmiana </w:t>
      </w:r>
      <w:r w:rsidR="0046030C" w:rsidRPr="0046030C">
        <w:rPr>
          <w:rFonts w:ascii="Garamond" w:hAnsi="Garamond"/>
          <w:sz w:val="24"/>
          <w:szCs w:val="24"/>
        </w:rPr>
        <w:t>IRiESD</w:t>
      </w:r>
      <w:r w:rsidRPr="00AE3F1B">
        <w:rPr>
          <w:rFonts w:ascii="Garamond" w:hAnsi="Garamond"/>
          <w:sz w:val="24"/>
          <w:szCs w:val="24"/>
        </w:rPr>
        <w:t xml:space="preserve">n przeprowadzana jest poprzez wydanie nowej </w:t>
      </w:r>
      <w:r w:rsidR="0046030C" w:rsidRPr="0046030C">
        <w:rPr>
          <w:rFonts w:ascii="Garamond" w:hAnsi="Garamond"/>
          <w:sz w:val="24"/>
          <w:szCs w:val="24"/>
        </w:rPr>
        <w:t>IRiESD</w:t>
      </w:r>
      <w:r w:rsidRPr="00AE3F1B">
        <w:rPr>
          <w:rFonts w:ascii="Garamond" w:hAnsi="Garamond"/>
          <w:sz w:val="24"/>
          <w:szCs w:val="24"/>
        </w:rPr>
        <w:t xml:space="preserve">n albo poprzez wydanie </w:t>
      </w:r>
      <w:r w:rsidR="00F82733" w:rsidRPr="00AE3F1B">
        <w:rPr>
          <w:rFonts w:ascii="Garamond" w:hAnsi="Garamond"/>
          <w:sz w:val="24"/>
          <w:szCs w:val="24"/>
        </w:rPr>
        <w:br/>
      </w:r>
      <w:r w:rsidRPr="00AE3F1B">
        <w:rPr>
          <w:rFonts w:ascii="Garamond" w:hAnsi="Garamond"/>
          <w:sz w:val="24"/>
          <w:szCs w:val="24"/>
        </w:rPr>
        <w:t xml:space="preserve">Karty aktualizacji obowiązującej </w:t>
      </w:r>
      <w:r w:rsidR="0046030C" w:rsidRPr="0046030C">
        <w:rPr>
          <w:rFonts w:ascii="Garamond" w:hAnsi="Garamond"/>
          <w:sz w:val="24"/>
          <w:szCs w:val="24"/>
        </w:rPr>
        <w:t>IRiESD</w:t>
      </w:r>
      <w:r w:rsidRPr="00AE3F1B">
        <w:rPr>
          <w:rFonts w:ascii="Garamond" w:hAnsi="Garamond"/>
          <w:sz w:val="24"/>
          <w:szCs w:val="24"/>
        </w:rPr>
        <w:t>n.</w:t>
      </w:r>
    </w:p>
    <w:p w14:paraId="7BF8DF81" w14:textId="67959DAE" w:rsidR="002A143B" w:rsidRPr="00AE3F1B" w:rsidRDefault="008A0D47" w:rsidP="00175586">
      <w:pPr>
        <w:spacing w:after="103" w:line="301" w:lineRule="auto"/>
        <w:ind w:left="567" w:right="-3" w:hanging="567"/>
        <w:jc w:val="left"/>
        <w:rPr>
          <w:rFonts w:ascii="Garamond" w:hAnsi="Garamond"/>
          <w:sz w:val="24"/>
          <w:szCs w:val="24"/>
        </w:rPr>
      </w:pPr>
      <w:r w:rsidRPr="00AE3F1B">
        <w:rPr>
          <w:rFonts w:ascii="Garamond" w:hAnsi="Garamond"/>
          <w:sz w:val="24"/>
          <w:szCs w:val="24"/>
        </w:rPr>
        <w:lastRenderedPageBreak/>
        <w:t>I.1.1</w:t>
      </w:r>
      <w:r w:rsidR="00BA3597" w:rsidRPr="00AE3F1B">
        <w:rPr>
          <w:rFonts w:ascii="Garamond" w:hAnsi="Garamond"/>
          <w:sz w:val="24"/>
          <w:szCs w:val="24"/>
        </w:rPr>
        <w:t>9</w:t>
      </w:r>
      <w:r w:rsidRPr="00AE3F1B">
        <w:rPr>
          <w:rFonts w:ascii="Garamond" w:hAnsi="Garamond"/>
          <w:sz w:val="24"/>
          <w:szCs w:val="24"/>
        </w:rPr>
        <w:t>.</w:t>
      </w:r>
      <w:r w:rsidR="00FE41C8">
        <w:rPr>
          <w:rFonts w:ascii="Garamond" w:hAnsi="Garamond"/>
          <w:sz w:val="24"/>
          <w:szCs w:val="24"/>
        </w:rPr>
        <w:t xml:space="preserve"> </w:t>
      </w:r>
      <w:r w:rsidRPr="00AE3F1B">
        <w:rPr>
          <w:rFonts w:ascii="Garamond" w:hAnsi="Garamond"/>
          <w:sz w:val="24"/>
          <w:szCs w:val="24"/>
        </w:rPr>
        <w:t xml:space="preserve">Każda zmiana </w:t>
      </w:r>
      <w:r w:rsidR="0046030C" w:rsidRPr="0046030C">
        <w:rPr>
          <w:rFonts w:ascii="Garamond" w:hAnsi="Garamond"/>
          <w:sz w:val="24"/>
          <w:szCs w:val="24"/>
        </w:rPr>
        <w:t>IRiESD</w:t>
      </w:r>
      <w:r w:rsidRPr="00AE3F1B">
        <w:rPr>
          <w:rFonts w:ascii="Garamond" w:hAnsi="Garamond"/>
          <w:sz w:val="24"/>
          <w:szCs w:val="24"/>
        </w:rPr>
        <w:t>n jest poprzedzona procesem konsultacji z użytkownikami systemu.</w:t>
      </w:r>
    </w:p>
    <w:p w14:paraId="15A33FDE" w14:textId="7B6739F4" w:rsidR="002A143B" w:rsidRPr="00AE3F1B" w:rsidRDefault="008A0D47" w:rsidP="00175586">
      <w:pPr>
        <w:spacing w:after="122" w:line="249" w:lineRule="auto"/>
        <w:ind w:left="567" w:right="-3" w:hanging="567"/>
        <w:jc w:val="left"/>
        <w:rPr>
          <w:rFonts w:ascii="Garamond" w:hAnsi="Garamond"/>
          <w:sz w:val="24"/>
          <w:szCs w:val="24"/>
        </w:rPr>
      </w:pPr>
      <w:r w:rsidRPr="00AE3F1B">
        <w:rPr>
          <w:rFonts w:ascii="Garamond" w:hAnsi="Garamond"/>
          <w:sz w:val="24"/>
          <w:szCs w:val="24"/>
        </w:rPr>
        <w:t>I.1.</w:t>
      </w:r>
      <w:r w:rsidR="00BA3597" w:rsidRPr="00AE3F1B">
        <w:rPr>
          <w:rFonts w:ascii="Garamond" w:hAnsi="Garamond"/>
          <w:sz w:val="24"/>
          <w:szCs w:val="24"/>
        </w:rPr>
        <w:t>20</w:t>
      </w:r>
      <w:r w:rsidRPr="00AE3F1B">
        <w:rPr>
          <w:rFonts w:ascii="Garamond" w:hAnsi="Garamond"/>
          <w:noProof/>
          <w:sz w:val="24"/>
          <w:szCs w:val="24"/>
        </w:rPr>
        <w:t>.</w:t>
      </w:r>
      <w:r w:rsidR="00FE41C8">
        <w:rPr>
          <w:rFonts w:ascii="Garamond" w:hAnsi="Garamond"/>
          <w:noProof/>
          <w:sz w:val="24"/>
          <w:szCs w:val="24"/>
        </w:rPr>
        <w:t xml:space="preserve"> </w:t>
      </w:r>
      <w:r w:rsidRPr="00AE3F1B">
        <w:rPr>
          <w:rFonts w:ascii="Garamond" w:hAnsi="Garamond"/>
          <w:sz w:val="24"/>
          <w:szCs w:val="24"/>
        </w:rPr>
        <w:t>Karta aktualizacji zawiera w szczególności:</w:t>
      </w:r>
    </w:p>
    <w:p w14:paraId="32D5DF9F" w14:textId="7ED72EC1" w:rsidR="002A143B" w:rsidRPr="00AE3F1B" w:rsidRDefault="00DA12DF">
      <w:pPr>
        <w:numPr>
          <w:ilvl w:val="3"/>
          <w:numId w:val="4"/>
        </w:numPr>
        <w:spacing w:after="127" w:line="249" w:lineRule="auto"/>
        <w:ind w:left="993" w:right="-3" w:hanging="426"/>
        <w:jc w:val="left"/>
        <w:rPr>
          <w:rFonts w:ascii="Garamond" w:hAnsi="Garamond"/>
          <w:sz w:val="24"/>
          <w:szCs w:val="24"/>
        </w:rPr>
      </w:pPr>
      <w:r w:rsidRPr="00AE3F1B">
        <w:rPr>
          <w:rFonts w:ascii="Garamond" w:hAnsi="Garamond"/>
          <w:sz w:val="24"/>
          <w:szCs w:val="24"/>
        </w:rPr>
        <w:t xml:space="preserve">przyczynę aktualizacji </w:t>
      </w:r>
      <w:r w:rsidR="0046030C" w:rsidRPr="0046030C">
        <w:rPr>
          <w:rFonts w:ascii="Garamond" w:hAnsi="Garamond"/>
          <w:sz w:val="24"/>
          <w:szCs w:val="24"/>
        </w:rPr>
        <w:t>IRiESD</w:t>
      </w:r>
      <w:r w:rsidRPr="00AE3F1B">
        <w:rPr>
          <w:rFonts w:ascii="Garamond" w:hAnsi="Garamond"/>
          <w:sz w:val="24"/>
          <w:szCs w:val="24"/>
        </w:rPr>
        <w:t>n,</w:t>
      </w:r>
    </w:p>
    <w:p w14:paraId="51F0A489" w14:textId="2A42D80F" w:rsidR="002A143B" w:rsidRPr="00AE3F1B" w:rsidRDefault="00DA12DF">
      <w:pPr>
        <w:numPr>
          <w:ilvl w:val="3"/>
          <w:numId w:val="4"/>
        </w:numPr>
        <w:spacing w:after="121" w:line="249" w:lineRule="auto"/>
        <w:ind w:left="993" w:right="-3" w:hanging="426"/>
        <w:jc w:val="left"/>
        <w:rPr>
          <w:rFonts w:ascii="Garamond" w:hAnsi="Garamond"/>
          <w:sz w:val="24"/>
          <w:szCs w:val="24"/>
        </w:rPr>
      </w:pPr>
      <w:r w:rsidRPr="00AE3F1B">
        <w:rPr>
          <w:rFonts w:ascii="Garamond" w:hAnsi="Garamond"/>
          <w:sz w:val="24"/>
          <w:szCs w:val="24"/>
        </w:rPr>
        <w:t xml:space="preserve">zakres aktualizacji </w:t>
      </w:r>
      <w:r w:rsidR="0046030C" w:rsidRPr="0046030C">
        <w:rPr>
          <w:rFonts w:ascii="Garamond" w:hAnsi="Garamond"/>
          <w:sz w:val="24"/>
          <w:szCs w:val="24"/>
        </w:rPr>
        <w:t>IRiESD</w:t>
      </w:r>
      <w:r w:rsidRPr="00AE3F1B">
        <w:rPr>
          <w:rFonts w:ascii="Garamond" w:hAnsi="Garamond"/>
          <w:sz w:val="24"/>
          <w:szCs w:val="24"/>
        </w:rPr>
        <w:t>n,</w:t>
      </w:r>
    </w:p>
    <w:p w14:paraId="17E50A71" w14:textId="645F973A" w:rsidR="002A143B" w:rsidRPr="00AE3F1B" w:rsidRDefault="00DA12DF">
      <w:pPr>
        <w:numPr>
          <w:ilvl w:val="3"/>
          <w:numId w:val="4"/>
        </w:numPr>
        <w:spacing w:after="60" w:line="311" w:lineRule="auto"/>
        <w:ind w:left="993" w:right="-3" w:hanging="426"/>
        <w:jc w:val="left"/>
        <w:rPr>
          <w:rFonts w:ascii="Garamond" w:hAnsi="Garamond"/>
          <w:sz w:val="24"/>
          <w:szCs w:val="24"/>
        </w:rPr>
      </w:pPr>
      <w:r w:rsidRPr="00AE3F1B">
        <w:rPr>
          <w:rFonts w:ascii="Garamond" w:hAnsi="Garamond"/>
          <w:sz w:val="24"/>
          <w:szCs w:val="24"/>
        </w:rPr>
        <w:t xml:space="preserve">nowe brzmienie zmienianych zapisów </w:t>
      </w:r>
      <w:r w:rsidR="005A49CC" w:rsidRPr="005A49CC">
        <w:rPr>
          <w:rFonts w:ascii="Garamond" w:hAnsi="Garamond"/>
          <w:sz w:val="24"/>
          <w:szCs w:val="24"/>
        </w:rPr>
        <w:t>IRiESDn</w:t>
      </w:r>
      <w:r w:rsidRPr="00AE3F1B">
        <w:rPr>
          <w:rFonts w:ascii="Garamond" w:hAnsi="Garamond"/>
          <w:sz w:val="24"/>
          <w:szCs w:val="24"/>
        </w:rPr>
        <w:t xml:space="preserve"> lub tekst uzupełniający dotychczasowe zapisy.</w:t>
      </w:r>
    </w:p>
    <w:p w14:paraId="48CE4F64" w14:textId="5D45745E" w:rsidR="002A143B" w:rsidRPr="00AE3F1B" w:rsidRDefault="00ED1C0C" w:rsidP="007C2695">
      <w:pPr>
        <w:spacing w:after="189"/>
        <w:ind w:right="-3"/>
        <w:jc w:val="left"/>
        <w:rPr>
          <w:rFonts w:ascii="Garamond" w:hAnsi="Garamond"/>
          <w:sz w:val="24"/>
          <w:szCs w:val="24"/>
        </w:rPr>
      </w:pPr>
      <w:r w:rsidRPr="00AE3F1B">
        <w:rPr>
          <w:rFonts w:ascii="Garamond" w:hAnsi="Garamond"/>
          <w:sz w:val="24"/>
          <w:szCs w:val="24"/>
        </w:rPr>
        <w:t xml:space="preserve">W przypadku rozbieżności pomiędzy </w:t>
      </w:r>
      <w:r w:rsidR="008A0D47" w:rsidRPr="00AE3F1B">
        <w:rPr>
          <w:rFonts w:ascii="Garamond" w:hAnsi="Garamond"/>
          <w:sz w:val="24"/>
          <w:szCs w:val="24"/>
        </w:rPr>
        <w:t>dotychczasowym</w:t>
      </w:r>
      <w:r w:rsidRPr="00AE3F1B">
        <w:rPr>
          <w:rFonts w:ascii="Garamond" w:hAnsi="Garamond"/>
          <w:sz w:val="24"/>
          <w:szCs w:val="24"/>
        </w:rPr>
        <w:t xml:space="preserve"> postanowieniami </w:t>
      </w:r>
      <w:r w:rsidR="0046030C" w:rsidRPr="0046030C">
        <w:rPr>
          <w:rFonts w:ascii="Garamond" w:hAnsi="Garamond"/>
          <w:sz w:val="24"/>
          <w:szCs w:val="24"/>
        </w:rPr>
        <w:t>IRiESD</w:t>
      </w:r>
      <w:r w:rsidRPr="00AE3F1B">
        <w:rPr>
          <w:rFonts w:ascii="Garamond" w:hAnsi="Garamond"/>
          <w:sz w:val="24"/>
          <w:szCs w:val="24"/>
        </w:rPr>
        <w:t xml:space="preserve">n, a zapisami Karty aktualizacji, rozstrzygające są postanowienia zawarte w Karcie aktualizacji. Karty aktualizacji stanowią Załączniki do </w:t>
      </w:r>
      <w:r w:rsidR="0046030C" w:rsidRPr="0046030C">
        <w:rPr>
          <w:rFonts w:ascii="Garamond" w:hAnsi="Garamond"/>
          <w:sz w:val="24"/>
          <w:szCs w:val="24"/>
        </w:rPr>
        <w:t>IRiESD</w:t>
      </w:r>
      <w:r w:rsidRPr="00AE3F1B">
        <w:rPr>
          <w:rFonts w:ascii="Garamond" w:hAnsi="Garamond"/>
          <w:sz w:val="24"/>
          <w:szCs w:val="24"/>
        </w:rPr>
        <w:t>n.</w:t>
      </w:r>
    </w:p>
    <w:p w14:paraId="2DC88DF7" w14:textId="61973C51" w:rsidR="002A143B" w:rsidRPr="00AE3F1B" w:rsidRDefault="008A0D47" w:rsidP="00175586">
      <w:pPr>
        <w:spacing w:after="91" w:line="302" w:lineRule="auto"/>
        <w:ind w:left="567" w:right="-3" w:hanging="567"/>
        <w:jc w:val="left"/>
        <w:rPr>
          <w:rFonts w:ascii="Garamond" w:hAnsi="Garamond"/>
          <w:sz w:val="24"/>
          <w:szCs w:val="24"/>
        </w:rPr>
      </w:pPr>
      <w:r w:rsidRPr="00AE3F1B">
        <w:rPr>
          <w:rFonts w:ascii="Garamond" w:hAnsi="Garamond"/>
          <w:sz w:val="24"/>
          <w:szCs w:val="24"/>
        </w:rPr>
        <w:t>I.1.</w:t>
      </w:r>
      <w:r w:rsidR="00F82733" w:rsidRPr="00AE3F1B">
        <w:rPr>
          <w:rFonts w:ascii="Garamond" w:hAnsi="Garamond"/>
          <w:sz w:val="24"/>
          <w:szCs w:val="24"/>
        </w:rPr>
        <w:t>21</w:t>
      </w:r>
      <w:r w:rsidRPr="00AE3F1B">
        <w:rPr>
          <w:rFonts w:ascii="Garamond" w:hAnsi="Garamond"/>
          <w:noProof/>
          <w:sz w:val="24"/>
          <w:szCs w:val="24"/>
        </w:rPr>
        <w:t xml:space="preserve">.   </w:t>
      </w:r>
      <w:r w:rsidRPr="00AE3F1B">
        <w:rPr>
          <w:rFonts w:ascii="Garamond" w:hAnsi="Garamond"/>
          <w:sz w:val="24"/>
          <w:szCs w:val="24"/>
        </w:rPr>
        <w:t xml:space="preserve">Proces wprowadzania zmian </w:t>
      </w:r>
      <w:r w:rsidR="005A49CC" w:rsidRPr="005A49CC">
        <w:rPr>
          <w:rFonts w:ascii="Garamond" w:hAnsi="Garamond"/>
          <w:sz w:val="24"/>
          <w:szCs w:val="24"/>
        </w:rPr>
        <w:t>IRiESD</w:t>
      </w:r>
      <w:r w:rsidRPr="00AE3F1B">
        <w:rPr>
          <w:rFonts w:ascii="Garamond" w:hAnsi="Garamond"/>
          <w:sz w:val="24"/>
          <w:szCs w:val="24"/>
        </w:rPr>
        <w:t>n jest przeprowadzany według następującego trybu:</w:t>
      </w:r>
    </w:p>
    <w:p w14:paraId="01FB0005" w14:textId="34200F78" w:rsidR="002A143B" w:rsidRPr="00AE3F1B" w:rsidRDefault="008A0D47">
      <w:pPr>
        <w:numPr>
          <w:ilvl w:val="3"/>
          <w:numId w:val="5"/>
        </w:numPr>
        <w:spacing w:after="124"/>
        <w:ind w:left="993" w:right="-3" w:hanging="426"/>
        <w:jc w:val="left"/>
        <w:rPr>
          <w:rFonts w:ascii="Garamond" w:hAnsi="Garamond"/>
          <w:sz w:val="24"/>
          <w:szCs w:val="24"/>
        </w:rPr>
      </w:pPr>
      <w:r w:rsidRPr="00AE3F1B">
        <w:rPr>
          <w:rFonts w:ascii="Garamond" w:hAnsi="Garamond"/>
          <w:sz w:val="24"/>
          <w:szCs w:val="24"/>
        </w:rPr>
        <w:t xml:space="preserve">ID Sp. z o.o. opracowuje projekt nowej </w:t>
      </w:r>
      <w:r w:rsidR="0046030C" w:rsidRPr="0046030C">
        <w:rPr>
          <w:rFonts w:ascii="Garamond" w:hAnsi="Garamond"/>
          <w:sz w:val="24"/>
          <w:szCs w:val="24"/>
        </w:rPr>
        <w:t>IRiESD</w:t>
      </w:r>
      <w:r w:rsidRPr="00AE3F1B">
        <w:rPr>
          <w:rFonts w:ascii="Garamond" w:hAnsi="Garamond"/>
          <w:sz w:val="24"/>
          <w:szCs w:val="24"/>
        </w:rPr>
        <w:t>n albo projekt Karty aktualizacji i publikuje go na swojej stronie internetowej,</w:t>
      </w:r>
    </w:p>
    <w:p w14:paraId="153C77A4" w14:textId="7A647798" w:rsidR="002A143B" w:rsidRPr="00AE3F1B" w:rsidRDefault="00DA12DF">
      <w:pPr>
        <w:numPr>
          <w:ilvl w:val="3"/>
          <w:numId w:val="5"/>
        </w:numPr>
        <w:spacing w:after="134"/>
        <w:ind w:left="993" w:right="-3" w:hanging="426"/>
        <w:jc w:val="left"/>
        <w:rPr>
          <w:rFonts w:ascii="Garamond" w:hAnsi="Garamond"/>
          <w:sz w:val="24"/>
          <w:szCs w:val="24"/>
        </w:rPr>
      </w:pPr>
      <w:r w:rsidRPr="00AE3F1B">
        <w:rPr>
          <w:rFonts w:ascii="Garamond" w:hAnsi="Garamond"/>
          <w:sz w:val="24"/>
          <w:szCs w:val="24"/>
        </w:rPr>
        <w:t xml:space="preserve">wraz z projektem nowej </w:t>
      </w:r>
      <w:r w:rsidR="0046030C" w:rsidRPr="0046030C">
        <w:rPr>
          <w:rFonts w:ascii="Garamond" w:hAnsi="Garamond"/>
          <w:sz w:val="24"/>
          <w:szCs w:val="24"/>
        </w:rPr>
        <w:t>IRiESD</w:t>
      </w:r>
      <w:r w:rsidRPr="00AE3F1B">
        <w:rPr>
          <w:rFonts w:ascii="Garamond" w:hAnsi="Garamond"/>
          <w:sz w:val="24"/>
          <w:szCs w:val="24"/>
        </w:rPr>
        <w:t xml:space="preserve">n albo projektem Karty aktualizacji, </w:t>
      </w:r>
      <w:r w:rsidR="008A0D47" w:rsidRPr="00AE3F1B">
        <w:rPr>
          <w:rFonts w:ascii="Garamond" w:hAnsi="Garamond"/>
          <w:sz w:val="24"/>
          <w:szCs w:val="24"/>
        </w:rPr>
        <w:t>ID Sp. z o.o.</w:t>
      </w:r>
      <w:r w:rsidRPr="00AE3F1B">
        <w:rPr>
          <w:rFonts w:ascii="Garamond" w:hAnsi="Garamond"/>
          <w:sz w:val="24"/>
          <w:szCs w:val="24"/>
        </w:rPr>
        <w:t xml:space="preserve"> publikuje na swojej stronie internetowej komunikat, informujący o rozpoczęciu procesu konsultacji zmian </w:t>
      </w:r>
      <w:r w:rsidR="0046030C" w:rsidRPr="0046030C">
        <w:rPr>
          <w:rFonts w:ascii="Garamond" w:hAnsi="Garamond"/>
          <w:sz w:val="24"/>
          <w:szCs w:val="24"/>
        </w:rPr>
        <w:t>IRiESD</w:t>
      </w:r>
      <w:r w:rsidRPr="00AE3F1B">
        <w:rPr>
          <w:rFonts w:ascii="Garamond" w:hAnsi="Garamond"/>
          <w:sz w:val="24"/>
          <w:szCs w:val="24"/>
        </w:rPr>
        <w:t>n, miejscu i sposobie nadsyłania uwag oraz okresie przewidzianym na konsultacje.</w:t>
      </w:r>
    </w:p>
    <w:p w14:paraId="4BC68E6B" w14:textId="69022A56" w:rsidR="002A143B" w:rsidRPr="00AE3F1B" w:rsidRDefault="008A0D47" w:rsidP="007C2695">
      <w:pPr>
        <w:spacing w:after="174"/>
        <w:ind w:left="709" w:right="-3" w:hanging="709"/>
        <w:jc w:val="left"/>
        <w:rPr>
          <w:rFonts w:ascii="Garamond" w:hAnsi="Garamond"/>
          <w:sz w:val="24"/>
          <w:szCs w:val="24"/>
        </w:rPr>
      </w:pPr>
      <w:r w:rsidRPr="00AE3F1B">
        <w:rPr>
          <w:rFonts w:ascii="Garamond" w:hAnsi="Garamond"/>
          <w:sz w:val="24"/>
          <w:szCs w:val="24"/>
        </w:rPr>
        <w:t>I.1.2</w:t>
      </w:r>
      <w:r w:rsidR="00F82733" w:rsidRPr="00AE3F1B">
        <w:rPr>
          <w:rFonts w:ascii="Garamond" w:hAnsi="Garamond"/>
          <w:sz w:val="24"/>
          <w:szCs w:val="24"/>
        </w:rPr>
        <w:t>2</w:t>
      </w:r>
      <w:r w:rsidRPr="00AE3F1B">
        <w:rPr>
          <w:rFonts w:ascii="Garamond" w:hAnsi="Garamond"/>
          <w:sz w:val="24"/>
          <w:szCs w:val="24"/>
        </w:rPr>
        <w:t xml:space="preserve">. Okres przewidziany na konsultacje nie może być krótszy niż </w:t>
      </w:r>
      <w:r w:rsidR="00F82733" w:rsidRPr="00AE3F1B">
        <w:rPr>
          <w:rFonts w:ascii="Garamond" w:hAnsi="Garamond"/>
          <w:sz w:val="24"/>
          <w:szCs w:val="24"/>
        </w:rPr>
        <w:t>30</w:t>
      </w:r>
      <w:r w:rsidRPr="00AE3F1B">
        <w:rPr>
          <w:rFonts w:ascii="Garamond" w:hAnsi="Garamond"/>
          <w:sz w:val="24"/>
          <w:szCs w:val="24"/>
        </w:rPr>
        <w:t xml:space="preserve"> dni od daty opublikowania projektu nowej </w:t>
      </w:r>
      <w:r w:rsidR="0046030C" w:rsidRPr="0046030C">
        <w:rPr>
          <w:rFonts w:ascii="Garamond" w:hAnsi="Garamond"/>
          <w:sz w:val="24"/>
          <w:szCs w:val="24"/>
        </w:rPr>
        <w:t>IRiESD</w:t>
      </w:r>
      <w:r w:rsidRPr="00AE3F1B">
        <w:rPr>
          <w:rFonts w:ascii="Garamond" w:hAnsi="Garamond"/>
          <w:sz w:val="24"/>
          <w:szCs w:val="24"/>
        </w:rPr>
        <w:t>n albo projektu Karty aktualizacji.</w:t>
      </w:r>
    </w:p>
    <w:p w14:paraId="1B52866D" w14:textId="77777777" w:rsidR="002A143B" w:rsidRPr="00AE3F1B" w:rsidRDefault="008A0D47" w:rsidP="00175586">
      <w:pPr>
        <w:spacing w:after="158"/>
        <w:ind w:left="567" w:right="-3" w:hanging="567"/>
        <w:jc w:val="left"/>
        <w:rPr>
          <w:rFonts w:ascii="Garamond" w:hAnsi="Garamond"/>
          <w:sz w:val="24"/>
          <w:szCs w:val="24"/>
        </w:rPr>
      </w:pPr>
      <w:r w:rsidRPr="00AE3F1B">
        <w:rPr>
          <w:rFonts w:ascii="Garamond" w:hAnsi="Garamond"/>
          <w:sz w:val="24"/>
          <w:szCs w:val="24"/>
        </w:rPr>
        <w:t>I.1.2</w:t>
      </w:r>
      <w:r w:rsidR="00F82733" w:rsidRPr="00AE3F1B">
        <w:rPr>
          <w:rFonts w:ascii="Garamond" w:hAnsi="Garamond"/>
          <w:sz w:val="24"/>
          <w:szCs w:val="24"/>
        </w:rPr>
        <w:t>3</w:t>
      </w:r>
      <w:r w:rsidRPr="00AE3F1B">
        <w:rPr>
          <w:rFonts w:ascii="Garamond" w:hAnsi="Garamond"/>
          <w:sz w:val="24"/>
          <w:szCs w:val="24"/>
        </w:rPr>
        <w:t>.Po zakończeniu okresu przewidzianego na konsultacje ID Sp. z o.o.</w:t>
      </w:r>
    </w:p>
    <w:p w14:paraId="47FBB81F" w14:textId="77777777" w:rsidR="002A143B" w:rsidRPr="00AE3F1B" w:rsidRDefault="00DA12DF">
      <w:pPr>
        <w:numPr>
          <w:ilvl w:val="3"/>
          <w:numId w:val="2"/>
        </w:numPr>
        <w:spacing w:after="136" w:line="249" w:lineRule="auto"/>
        <w:ind w:left="851" w:right="-3" w:hanging="284"/>
        <w:jc w:val="left"/>
        <w:rPr>
          <w:rFonts w:ascii="Garamond" w:hAnsi="Garamond"/>
          <w:sz w:val="24"/>
          <w:szCs w:val="24"/>
        </w:rPr>
      </w:pPr>
      <w:r w:rsidRPr="00AE3F1B">
        <w:rPr>
          <w:rFonts w:ascii="Garamond" w:hAnsi="Garamond"/>
          <w:sz w:val="24"/>
          <w:szCs w:val="24"/>
        </w:rPr>
        <w:t>dokonuje analizy otrzymanych uwag,</w:t>
      </w:r>
    </w:p>
    <w:p w14:paraId="1ED363C4" w14:textId="4E7D9BE3" w:rsidR="002A143B" w:rsidRPr="00AE3F1B" w:rsidRDefault="00DA12DF">
      <w:pPr>
        <w:numPr>
          <w:ilvl w:val="3"/>
          <w:numId w:val="2"/>
        </w:numPr>
        <w:spacing w:after="140" w:line="249" w:lineRule="auto"/>
        <w:ind w:left="851" w:right="-3" w:hanging="284"/>
        <w:jc w:val="left"/>
        <w:rPr>
          <w:rFonts w:ascii="Garamond" w:hAnsi="Garamond"/>
          <w:sz w:val="24"/>
          <w:szCs w:val="24"/>
        </w:rPr>
      </w:pPr>
      <w:r w:rsidRPr="00AE3F1B">
        <w:rPr>
          <w:rFonts w:ascii="Garamond" w:hAnsi="Garamond"/>
          <w:sz w:val="24"/>
          <w:szCs w:val="24"/>
        </w:rPr>
        <w:t xml:space="preserve">w opracowywanej nowej wersji </w:t>
      </w:r>
      <w:r w:rsidR="0046030C" w:rsidRPr="0046030C">
        <w:rPr>
          <w:rFonts w:ascii="Garamond" w:hAnsi="Garamond"/>
          <w:sz w:val="24"/>
          <w:szCs w:val="24"/>
        </w:rPr>
        <w:t>IRiESD</w:t>
      </w:r>
      <w:r w:rsidRPr="00AE3F1B">
        <w:rPr>
          <w:rFonts w:ascii="Garamond" w:hAnsi="Garamond"/>
          <w:sz w:val="24"/>
          <w:szCs w:val="24"/>
        </w:rPr>
        <w:t xml:space="preserve">n albo Karty aktualizacji, uwzględnia </w:t>
      </w:r>
      <w:r w:rsidR="007C2695">
        <w:rPr>
          <w:rFonts w:ascii="Garamond" w:hAnsi="Garamond"/>
          <w:sz w:val="24"/>
          <w:szCs w:val="24"/>
        </w:rPr>
        <w:br/>
      </w:r>
      <w:r w:rsidRPr="00AE3F1B">
        <w:rPr>
          <w:rFonts w:ascii="Garamond" w:hAnsi="Garamond"/>
          <w:sz w:val="24"/>
          <w:szCs w:val="24"/>
        </w:rPr>
        <w:t>w uzasadnionym zakresie zgłoszone uwagi,</w:t>
      </w:r>
    </w:p>
    <w:p w14:paraId="2EA71C43" w14:textId="77777777" w:rsidR="002A143B" w:rsidRPr="00AE3F1B" w:rsidRDefault="00DA12DF">
      <w:pPr>
        <w:numPr>
          <w:ilvl w:val="3"/>
          <w:numId w:val="2"/>
        </w:numPr>
        <w:spacing w:after="131" w:line="249" w:lineRule="auto"/>
        <w:ind w:left="851" w:right="-3" w:hanging="284"/>
        <w:jc w:val="left"/>
        <w:rPr>
          <w:rFonts w:ascii="Garamond" w:hAnsi="Garamond"/>
          <w:sz w:val="24"/>
          <w:szCs w:val="24"/>
        </w:rPr>
      </w:pPr>
      <w:r w:rsidRPr="00AE3F1B">
        <w:rPr>
          <w:rFonts w:ascii="Garamond" w:hAnsi="Garamond"/>
          <w:sz w:val="24"/>
          <w:szCs w:val="24"/>
        </w:rPr>
        <w:t>opracowuje Raport z procesu konsultacji, zawierający zestawienie otrzymanych uwag oraz informacje o sposobie ich uwzględnienia,</w:t>
      </w:r>
    </w:p>
    <w:p w14:paraId="5BF409CF" w14:textId="04AF67BB" w:rsidR="002A143B" w:rsidRPr="00AE3F1B" w:rsidRDefault="00F82733">
      <w:pPr>
        <w:numPr>
          <w:ilvl w:val="3"/>
          <w:numId w:val="2"/>
        </w:numPr>
        <w:spacing w:after="250"/>
        <w:ind w:left="851" w:right="-3" w:hanging="284"/>
        <w:jc w:val="left"/>
        <w:rPr>
          <w:rFonts w:ascii="Garamond" w:hAnsi="Garamond"/>
          <w:sz w:val="24"/>
          <w:szCs w:val="24"/>
        </w:rPr>
      </w:pPr>
      <w:r w:rsidRPr="00AE3F1B">
        <w:rPr>
          <w:rFonts w:ascii="Garamond" w:hAnsi="Garamond"/>
          <w:sz w:val="24"/>
          <w:szCs w:val="24"/>
        </w:rPr>
        <w:t xml:space="preserve">Zarząd ID Sp. z o.o. zatwierdza </w:t>
      </w:r>
      <w:r w:rsidR="0046030C" w:rsidRPr="0046030C">
        <w:rPr>
          <w:rFonts w:ascii="Garamond" w:hAnsi="Garamond"/>
          <w:sz w:val="24"/>
          <w:szCs w:val="24"/>
        </w:rPr>
        <w:t>IRiESD</w:t>
      </w:r>
      <w:r w:rsidRPr="00AE3F1B">
        <w:rPr>
          <w:rFonts w:ascii="Garamond" w:hAnsi="Garamond"/>
          <w:sz w:val="24"/>
          <w:szCs w:val="24"/>
        </w:rPr>
        <w:t>n albo Kartę aktualizacji wraz z raportem z procesu konsultacji.</w:t>
      </w:r>
    </w:p>
    <w:p w14:paraId="3C293160" w14:textId="27A0C5CC" w:rsidR="002A143B" w:rsidRPr="00AE3F1B" w:rsidRDefault="008A0D47" w:rsidP="0046030C">
      <w:pPr>
        <w:spacing w:after="0"/>
        <w:ind w:left="567" w:right="-3" w:hanging="567"/>
        <w:jc w:val="left"/>
        <w:rPr>
          <w:rFonts w:ascii="Garamond" w:hAnsi="Garamond"/>
          <w:sz w:val="24"/>
          <w:szCs w:val="24"/>
        </w:rPr>
      </w:pPr>
      <w:r w:rsidRPr="00AE3F1B">
        <w:rPr>
          <w:rFonts w:ascii="Garamond" w:hAnsi="Garamond"/>
          <w:sz w:val="24"/>
          <w:szCs w:val="24"/>
        </w:rPr>
        <w:t>I.1.2</w:t>
      </w:r>
      <w:r w:rsidR="00A464C5" w:rsidRPr="00AE3F1B">
        <w:rPr>
          <w:rFonts w:ascii="Garamond" w:hAnsi="Garamond"/>
          <w:sz w:val="24"/>
          <w:szCs w:val="24"/>
        </w:rPr>
        <w:t>4</w:t>
      </w:r>
      <w:r w:rsidRPr="00AE3F1B">
        <w:rPr>
          <w:rFonts w:ascii="Garamond" w:hAnsi="Garamond"/>
          <w:sz w:val="24"/>
          <w:szCs w:val="24"/>
        </w:rPr>
        <w:t>.</w:t>
      </w:r>
      <w:r w:rsidR="00190EAB">
        <w:rPr>
          <w:rFonts w:ascii="Garamond" w:hAnsi="Garamond"/>
          <w:sz w:val="24"/>
          <w:szCs w:val="24"/>
        </w:rPr>
        <w:t xml:space="preserve"> </w:t>
      </w:r>
      <w:r w:rsidR="0046030C" w:rsidRPr="0046030C">
        <w:rPr>
          <w:rFonts w:ascii="Garamond" w:hAnsi="Garamond"/>
          <w:sz w:val="24"/>
          <w:szCs w:val="24"/>
        </w:rPr>
        <w:t>IRiESD</w:t>
      </w:r>
      <w:r w:rsidR="00190EAB" w:rsidRPr="00AE3F1B">
        <w:rPr>
          <w:rFonts w:ascii="Garamond" w:hAnsi="Garamond"/>
          <w:sz w:val="24"/>
          <w:szCs w:val="24"/>
        </w:rPr>
        <w:t>n lub</w:t>
      </w:r>
      <w:r w:rsidRPr="00AE3F1B">
        <w:rPr>
          <w:rFonts w:ascii="Garamond" w:hAnsi="Garamond"/>
          <w:sz w:val="24"/>
          <w:szCs w:val="24"/>
        </w:rPr>
        <w:t xml:space="preserve"> Kartę aktualizacji przedłożoną do zatwierdzenia przez Zarząd ID Sp. z o.o. oraz Raport z procesu konsultacji, zawierający zestawienie otrzymanych uwag oraz informacje </w:t>
      </w:r>
      <w:r w:rsidR="007C2695">
        <w:rPr>
          <w:rFonts w:ascii="Garamond" w:hAnsi="Garamond"/>
          <w:sz w:val="24"/>
          <w:szCs w:val="24"/>
        </w:rPr>
        <w:br/>
      </w:r>
      <w:r w:rsidRPr="00AE3F1B">
        <w:rPr>
          <w:rFonts w:ascii="Garamond" w:hAnsi="Garamond"/>
          <w:sz w:val="24"/>
          <w:szCs w:val="24"/>
        </w:rPr>
        <w:t>o sposobie ich uwzględnienia, ID Sp. o.o. publikuje na swojej stronie internetowej.</w:t>
      </w:r>
    </w:p>
    <w:p w14:paraId="13580E4A" w14:textId="11E952C7" w:rsidR="002A143B" w:rsidRDefault="009A7510" w:rsidP="0046030C">
      <w:pPr>
        <w:spacing w:after="0"/>
        <w:ind w:left="567" w:right="-3"/>
        <w:jc w:val="left"/>
        <w:rPr>
          <w:rFonts w:ascii="Garamond" w:hAnsi="Garamond"/>
          <w:sz w:val="24"/>
          <w:szCs w:val="24"/>
        </w:rPr>
      </w:pPr>
      <w:r w:rsidRPr="00AE3F1B">
        <w:rPr>
          <w:rFonts w:ascii="Garamond" w:hAnsi="Garamond"/>
          <w:sz w:val="24"/>
          <w:szCs w:val="24"/>
        </w:rPr>
        <w:t>Zatwierdzoną przez Zarząd</w:t>
      </w:r>
      <w:r w:rsidR="008A0D47" w:rsidRPr="00AE3F1B">
        <w:rPr>
          <w:rFonts w:ascii="Garamond" w:hAnsi="Garamond"/>
          <w:sz w:val="24"/>
          <w:szCs w:val="24"/>
        </w:rPr>
        <w:t xml:space="preserve"> ID Sp. z o.o.</w:t>
      </w:r>
      <w:r w:rsidRPr="00AE3F1B">
        <w:rPr>
          <w:rFonts w:ascii="Garamond" w:hAnsi="Garamond"/>
          <w:sz w:val="24"/>
          <w:szCs w:val="24"/>
        </w:rPr>
        <w:t xml:space="preserve"> </w:t>
      </w:r>
      <w:r w:rsidR="0046030C" w:rsidRPr="0046030C">
        <w:rPr>
          <w:rFonts w:ascii="Garamond" w:hAnsi="Garamond"/>
          <w:sz w:val="24"/>
          <w:szCs w:val="24"/>
        </w:rPr>
        <w:t>IRiESD</w:t>
      </w:r>
      <w:r w:rsidRPr="00AE3F1B">
        <w:rPr>
          <w:rFonts w:ascii="Garamond" w:hAnsi="Garamond"/>
          <w:sz w:val="24"/>
          <w:szCs w:val="24"/>
        </w:rPr>
        <w:t xml:space="preserve">n lub Kartę aktualizacji wraz z informacją </w:t>
      </w:r>
      <w:r w:rsidR="007C2695">
        <w:rPr>
          <w:rFonts w:ascii="Garamond" w:hAnsi="Garamond"/>
          <w:sz w:val="24"/>
          <w:szCs w:val="24"/>
        </w:rPr>
        <w:br/>
      </w:r>
      <w:r w:rsidRPr="00AE3F1B">
        <w:rPr>
          <w:rFonts w:ascii="Garamond" w:hAnsi="Garamond"/>
          <w:sz w:val="24"/>
          <w:szCs w:val="24"/>
        </w:rPr>
        <w:t xml:space="preserve">o dacie wejścia w życie wprowadzanych zmian </w:t>
      </w:r>
      <w:r w:rsidR="0046030C" w:rsidRPr="0046030C">
        <w:rPr>
          <w:rFonts w:ascii="Garamond" w:hAnsi="Garamond"/>
          <w:sz w:val="24"/>
          <w:szCs w:val="24"/>
        </w:rPr>
        <w:t>IRiESD</w:t>
      </w:r>
      <w:r w:rsidRPr="00AE3F1B">
        <w:rPr>
          <w:rFonts w:ascii="Garamond" w:hAnsi="Garamond"/>
          <w:sz w:val="24"/>
          <w:szCs w:val="24"/>
        </w:rPr>
        <w:t xml:space="preserve">n, </w:t>
      </w:r>
      <w:r w:rsidR="008A0D47" w:rsidRPr="00AE3F1B">
        <w:rPr>
          <w:rFonts w:ascii="Garamond" w:hAnsi="Garamond"/>
          <w:sz w:val="24"/>
          <w:szCs w:val="24"/>
        </w:rPr>
        <w:t>ID Sp. z o.o.</w:t>
      </w:r>
      <w:r w:rsidRPr="00AE3F1B">
        <w:rPr>
          <w:rFonts w:ascii="Garamond" w:hAnsi="Garamond"/>
          <w:sz w:val="24"/>
          <w:szCs w:val="24"/>
        </w:rPr>
        <w:t xml:space="preserve"> publikuje na swojej stronie internetowej oraz udostępnia do publicznego wglądu w swojej siedzibie.</w:t>
      </w:r>
    </w:p>
    <w:p w14:paraId="10290D21" w14:textId="77777777" w:rsidR="0046030C" w:rsidRPr="00AE3F1B" w:rsidRDefault="0046030C" w:rsidP="0046030C">
      <w:pPr>
        <w:spacing w:after="0"/>
        <w:ind w:left="567" w:right="-3"/>
        <w:jc w:val="left"/>
        <w:rPr>
          <w:rFonts w:ascii="Garamond" w:hAnsi="Garamond"/>
          <w:sz w:val="24"/>
          <w:szCs w:val="24"/>
        </w:rPr>
      </w:pPr>
    </w:p>
    <w:p w14:paraId="3428DB44" w14:textId="6C6877D4" w:rsidR="002A143B" w:rsidRDefault="008A0D47" w:rsidP="00175586">
      <w:pPr>
        <w:spacing w:after="411"/>
        <w:ind w:left="567" w:right="-3" w:hanging="567"/>
        <w:jc w:val="left"/>
        <w:rPr>
          <w:rFonts w:ascii="Garamond" w:hAnsi="Garamond"/>
          <w:sz w:val="24"/>
          <w:szCs w:val="24"/>
        </w:rPr>
      </w:pPr>
      <w:r w:rsidRPr="00AE3F1B">
        <w:rPr>
          <w:rFonts w:ascii="Garamond" w:hAnsi="Garamond"/>
          <w:sz w:val="24"/>
          <w:szCs w:val="24"/>
        </w:rPr>
        <w:t>I.1.2</w:t>
      </w:r>
      <w:r w:rsidR="00A464C5" w:rsidRPr="00AE3F1B">
        <w:rPr>
          <w:rFonts w:ascii="Garamond" w:hAnsi="Garamond"/>
          <w:sz w:val="24"/>
          <w:szCs w:val="24"/>
        </w:rPr>
        <w:t>5</w:t>
      </w:r>
      <w:r w:rsidRPr="00AE3F1B">
        <w:rPr>
          <w:rFonts w:ascii="Garamond" w:hAnsi="Garamond"/>
          <w:sz w:val="24"/>
          <w:szCs w:val="24"/>
        </w:rPr>
        <w:t xml:space="preserve">. Użytkownicy systemu, w tym odbiorcy, których urządzenia, instalacje lub sieci są przyłączone </w:t>
      </w:r>
      <w:r w:rsidR="007C2695">
        <w:rPr>
          <w:rFonts w:ascii="Garamond" w:hAnsi="Garamond"/>
          <w:sz w:val="24"/>
          <w:szCs w:val="24"/>
        </w:rPr>
        <w:br/>
      </w:r>
      <w:r w:rsidRPr="00AE3F1B">
        <w:rPr>
          <w:rFonts w:ascii="Garamond" w:hAnsi="Garamond"/>
          <w:sz w:val="24"/>
          <w:szCs w:val="24"/>
        </w:rPr>
        <w:t>do sieci ID Sp. z o.</w:t>
      </w:r>
      <w:r w:rsidR="00A464C5" w:rsidRPr="00AE3F1B">
        <w:rPr>
          <w:rFonts w:ascii="Garamond" w:hAnsi="Garamond"/>
          <w:sz w:val="24"/>
          <w:szCs w:val="24"/>
        </w:rPr>
        <w:t xml:space="preserve">o. </w:t>
      </w:r>
      <w:r w:rsidRPr="00AE3F1B">
        <w:rPr>
          <w:rFonts w:ascii="Garamond" w:hAnsi="Garamond"/>
          <w:sz w:val="24"/>
          <w:szCs w:val="24"/>
        </w:rPr>
        <w:t xml:space="preserve"> lub korzystający z usług świadczonych przez ID Sp. z o.o., są obowiązani stosować się do warunków i wymagań oraz procedur postępowania i wymiany informacji określonych w niniejszej </w:t>
      </w:r>
      <w:r w:rsidR="0046030C" w:rsidRPr="0046030C">
        <w:rPr>
          <w:rFonts w:ascii="Garamond" w:hAnsi="Garamond"/>
          <w:sz w:val="24"/>
          <w:szCs w:val="24"/>
        </w:rPr>
        <w:t>IRiESD</w:t>
      </w:r>
      <w:r w:rsidRPr="00AE3F1B">
        <w:rPr>
          <w:rFonts w:ascii="Garamond" w:hAnsi="Garamond"/>
          <w:sz w:val="24"/>
          <w:szCs w:val="24"/>
        </w:rPr>
        <w:t xml:space="preserve">n zatwierdzonej przez Zarząd ID Sp. </w:t>
      </w:r>
      <w:r w:rsidR="00190EAB" w:rsidRPr="00AE3F1B">
        <w:rPr>
          <w:rFonts w:ascii="Garamond" w:hAnsi="Garamond"/>
          <w:sz w:val="24"/>
          <w:szCs w:val="24"/>
        </w:rPr>
        <w:t>z o.o.,</w:t>
      </w:r>
      <w:r w:rsidR="00A464C5" w:rsidRPr="00AE3F1B">
        <w:rPr>
          <w:rFonts w:ascii="Garamond" w:hAnsi="Garamond"/>
          <w:sz w:val="24"/>
          <w:szCs w:val="24"/>
        </w:rPr>
        <w:t xml:space="preserve"> </w:t>
      </w:r>
      <w:r w:rsidR="0046030C" w:rsidRPr="0046030C">
        <w:rPr>
          <w:rFonts w:ascii="Garamond" w:hAnsi="Garamond"/>
          <w:sz w:val="24"/>
          <w:szCs w:val="24"/>
        </w:rPr>
        <w:t>IRiESD</w:t>
      </w:r>
      <w:r w:rsidRPr="00AE3F1B">
        <w:rPr>
          <w:rFonts w:ascii="Garamond" w:hAnsi="Garamond"/>
          <w:sz w:val="24"/>
          <w:szCs w:val="24"/>
        </w:rPr>
        <w:t>n stanowi część umowy o świadczenie usług dystrybucji energii elektrycznej lub umowy kompleksowej.</w:t>
      </w:r>
    </w:p>
    <w:p w14:paraId="771B84F5" w14:textId="77777777" w:rsidR="00FE41C8" w:rsidRDefault="00FE41C8" w:rsidP="00175586">
      <w:pPr>
        <w:spacing w:after="411"/>
        <w:ind w:left="567" w:right="-3" w:hanging="567"/>
        <w:jc w:val="left"/>
        <w:rPr>
          <w:rFonts w:ascii="Garamond" w:hAnsi="Garamond"/>
          <w:sz w:val="24"/>
          <w:szCs w:val="24"/>
        </w:rPr>
      </w:pPr>
    </w:p>
    <w:p w14:paraId="1E7083E4" w14:textId="3AB9639D" w:rsidR="002A143B" w:rsidRPr="008C33FB" w:rsidRDefault="00A464C5" w:rsidP="006C5B5C">
      <w:pPr>
        <w:pStyle w:val="Nagwek2"/>
        <w:rPr>
          <w:rFonts w:asciiTheme="majorHAnsi" w:hAnsiTheme="majorHAnsi"/>
          <w:b/>
          <w:bCs/>
          <w:sz w:val="24"/>
          <w:szCs w:val="24"/>
        </w:rPr>
      </w:pPr>
      <w:r w:rsidRPr="008C33FB">
        <w:rPr>
          <w:rFonts w:asciiTheme="majorHAnsi" w:hAnsiTheme="majorHAnsi"/>
          <w:b/>
          <w:bCs/>
          <w:sz w:val="24"/>
          <w:szCs w:val="24"/>
        </w:rPr>
        <w:t>I.2.</w:t>
      </w:r>
      <w:r w:rsidR="00BD127A">
        <w:rPr>
          <w:rFonts w:asciiTheme="majorHAnsi" w:hAnsiTheme="majorHAnsi"/>
          <w:b/>
          <w:bCs/>
          <w:sz w:val="24"/>
          <w:szCs w:val="24"/>
        </w:rPr>
        <w:t xml:space="preserve"> </w:t>
      </w:r>
      <w:r w:rsidR="008C33FB">
        <w:rPr>
          <w:rFonts w:asciiTheme="majorHAnsi" w:hAnsiTheme="majorHAnsi"/>
          <w:b/>
          <w:bCs/>
          <w:sz w:val="24"/>
          <w:szCs w:val="24"/>
        </w:rPr>
        <w:t>Charakterystyka korzystania z sieci dystrybucyjnej</w:t>
      </w:r>
    </w:p>
    <w:p w14:paraId="5D80808B" w14:textId="7EC51AA7" w:rsidR="002A143B" w:rsidRPr="00AE3F1B" w:rsidRDefault="00C27CE5" w:rsidP="00190EAB">
      <w:pPr>
        <w:spacing w:after="186" w:line="244" w:lineRule="auto"/>
        <w:ind w:left="567" w:right="-3" w:hanging="567"/>
        <w:jc w:val="left"/>
        <w:rPr>
          <w:rFonts w:ascii="Garamond" w:hAnsi="Garamond"/>
          <w:sz w:val="24"/>
          <w:szCs w:val="24"/>
        </w:rPr>
      </w:pPr>
      <w:r w:rsidRPr="00AE3F1B">
        <w:rPr>
          <w:rFonts w:ascii="Garamond" w:hAnsi="Garamond"/>
          <w:sz w:val="24"/>
          <w:szCs w:val="24"/>
        </w:rPr>
        <w:t>I.2.1</w:t>
      </w:r>
      <w:r w:rsidR="00190EAB">
        <w:rPr>
          <w:rFonts w:ascii="Garamond" w:hAnsi="Garamond"/>
          <w:sz w:val="24"/>
          <w:szCs w:val="24"/>
        </w:rPr>
        <w:t xml:space="preserve"> </w:t>
      </w:r>
      <w:r w:rsidR="00190EAB">
        <w:rPr>
          <w:rFonts w:ascii="Garamond" w:hAnsi="Garamond"/>
          <w:sz w:val="24"/>
          <w:szCs w:val="24"/>
        </w:rPr>
        <w:tab/>
      </w:r>
      <w:r w:rsidRPr="00AE3F1B">
        <w:rPr>
          <w:rFonts w:ascii="Garamond" w:hAnsi="Garamond"/>
          <w:sz w:val="24"/>
          <w:szCs w:val="24"/>
        </w:rPr>
        <w:t>Korzystanie z sieci dystrybucyjnej umożliwia realizację dostaw energii elektrycznej w sposób ciągły i niezawodny, przy</w:t>
      </w:r>
      <w:r w:rsidR="00190EAB">
        <w:rPr>
          <w:rFonts w:ascii="Garamond" w:hAnsi="Garamond"/>
          <w:sz w:val="24"/>
          <w:szCs w:val="24"/>
        </w:rPr>
        <w:t xml:space="preserve"> </w:t>
      </w:r>
      <w:r w:rsidRPr="00AE3F1B">
        <w:rPr>
          <w:rFonts w:ascii="Garamond" w:hAnsi="Garamond"/>
          <w:sz w:val="24"/>
          <w:szCs w:val="24"/>
        </w:rPr>
        <w:t xml:space="preserve">zachowaniu obowiązujących parametrów jakościowych energii elektrycznej i standardów jakościowych obsługi użytkowników systemu określonych w umowie </w:t>
      </w:r>
      <w:r w:rsidR="007C2695">
        <w:rPr>
          <w:rFonts w:ascii="Garamond" w:hAnsi="Garamond"/>
          <w:sz w:val="24"/>
          <w:szCs w:val="24"/>
        </w:rPr>
        <w:br/>
      </w:r>
      <w:r w:rsidRPr="00AE3F1B">
        <w:rPr>
          <w:rFonts w:ascii="Garamond" w:hAnsi="Garamond"/>
          <w:sz w:val="24"/>
          <w:szCs w:val="24"/>
        </w:rPr>
        <w:t>o świadczenie usług dystrybucji lub w umowie kompleksowej.</w:t>
      </w:r>
    </w:p>
    <w:p w14:paraId="25D02F9C" w14:textId="4584DD9F" w:rsidR="002A143B" w:rsidRPr="00AE3F1B" w:rsidRDefault="00190EAB" w:rsidP="00190EAB">
      <w:pPr>
        <w:spacing w:after="219" w:line="244" w:lineRule="auto"/>
        <w:ind w:left="567" w:right="-3" w:hanging="567"/>
        <w:jc w:val="left"/>
        <w:rPr>
          <w:rFonts w:ascii="Garamond" w:hAnsi="Garamond"/>
          <w:sz w:val="24"/>
          <w:szCs w:val="24"/>
        </w:rPr>
      </w:pPr>
      <w:r w:rsidRPr="00AE3F1B">
        <w:rPr>
          <w:rFonts w:ascii="Garamond" w:hAnsi="Garamond"/>
          <w:sz w:val="24"/>
          <w:szCs w:val="24"/>
        </w:rPr>
        <w:t xml:space="preserve">I.2.2 </w:t>
      </w:r>
      <w:r>
        <w:rPr>
          <w:rFonts w:ascii="Garamond" w:hAnsi="Garamond"/>
          <w:sz w:val="24"/>
          <w:szCs w:val="24"/>
        </w:rPr>
        <w:tab/>
      </w:r>
      <w:r w:rsidRPr="00AE3F1B">
        <w:rPr>
          <w:rFonts w:ascii="Garamond" w:hAnsi="Garamond"/>
          <w:sz w:val="24"/>
          <w:szCs w:val="24"/>
        </w:rPr>
        <w:t>ID</w:t>
      </w:r>
      <w:r w:rsidR="00C27CE5" w:rsidRPr="00AE3F1B">
        <w:rPr>
          <w:rFonts w:ascii="Garamond" w:hAnsi="Garamond"/>
          <w:sz w:val="24"/>
          <w:szCs w:val="24"/>
        </w:rPr>
        <w:t xml:space="preserve"> Sp. z o.o. na zasadzie równoprawnego traktowania oraz na zasadach i w zakresie wynikającym z obowiązujących przepisów i </w:t>
      </w:r>
      <w:r w:rsidR="0046030C" w:rsidRPr="0046030C">
        <w:rPr>
          <w:rFonts w:ascii="Garamond" w:hAnsi="Garamond"/>
          <w:sz w:val="24"/>
          <w:szCs w:val="24"/>
        </w:rPr>
        <w:t>IRiESD</w:t>
      </w:r>
      <w:r w:rsidR="00C27CE5" w:rsidRPr="00AE3F1B">
        <w:rPr>
          <w:rFonts w:ascii="Garamond" w:hAnsi="Garamond"/>
          <w:sz w:val="24"/>
          <w:szCs w:val="24"/>
        </w:rPr>
        <w:t>n, świadczy usługi dystrybucji, zapewniając wszystkim użytkownikom systemu, zaspokojenie uzasadnionych potrzeb w zakresie dostarczania energii elektrycznej.</w:t>
      </w:r>
    </w:p>
    <w:p w14:paraId="3EBF48B7" w14:textId="570D4DAD" w:rsidR="002A143B" w:rsidRPr="00AE3F1B" w:rsidRDefault="00190EAB" w:rsidP="00175586">
      <w:pPr>
        <w:spacing w:after="530"/>
        <w:ind w:left="567" w:right="-3" w:hanging="567"/>
        <w:jc w:val="left"/>
        <w:rPr>
          <w:rFonts w:ascii="Garamond" w:hAnsi="Garamond"/>
          <w:sz w:val="24"/>
          <w:szCs w:val="24"/>
        </w:rPr>
      </w:pPr>
      <w:r w:rsidRPr="00AE3F1B">
        <w:rPr>
          <w:rFonts w:ascii="Garamond" w:hAnsi="Garamond"/>
          <w:sz w:val="24"/>
          <w:szCs w:val="24"/>
        </w:rPr>
        <w:t>I.2.3. Świadczenie</w:t>
      </w:r>
      <w:r w:rsidR="00C27CE5" w:rsidRPr="00AE3F1B">
        <w:rPr>
          <w:rFonts w:ascii="Garamond" w:hAnsi="Garamond"/>
          <w:sz w:val="24"/>
          <w:szCs w:val="24"/>
        </w:rPr>
        <w:t xml:space="preserve"> usługi dystrybucji odbywa się na podstawie umowy o świadczenie usług dystrybucji energii elektrycznej albo na podstawie umowy kompleksowej na zasadach i warunkach określonych w ustawie Prawo energetyczne wraz z aktami wykonawczym, </w:t>
      </w:r>
      <w:r w:rsidR="0046030C" w:rsidRPr="0046030C">
        <w:rPr>
          <w:rFonts w:ascii="Garamond" w:hAnsi="Garamond"/>
          <w:sz w:val="24"/>
          <w:szCs w:val="24"/>
        </w:rPr>
        <w:t>IRiESD</w:t>
      </w:r>
      <w:r w:rsidR="00C27CE5" w:rsidRPr="00AE3F1B">
        <w:rPr>
          <w:rFonts w:ascii="Garamond" w:hAnsi="Garamond"/>
          <w:sz w:val="24"/>
          <w:szCs w:val="24"/>
        </w:rPr>
        <w:t>n oraz taryf</w:t>
      </w:r>
      <w:r w:rsidR="00A464C5" w:rsidRPr="00AE3F1B">
        <w:rPr>
          <w:rFonts w:ascii="Garamond" w:hAnsi="Garamond"/>
          <w:sz w:val="24"/>
          <w:szCs w:val="24"/>
        </w:rPr>
        <w:t>ie</w:t>
      </w:r>
      <w:r w:rsidR="00C27CE5" w:rsidRPr="00AE3F1B">
        <w:rPr>
          <w:rFonts w:ascii="Garamond" w:hAnsi="Garamond"/>
          <w:sz w:val="24"/>
          <w:szCs w:val="24"/>
        </w:rPr>
        <w:t xml:space="preserve"> ID Sp. z o.o. zatwierdzonej przez Prezesa URE.</w:t>
      </w:r>
    </w:p>
    <w:p w14:paraId="4B55748A" w14:textId="51AC49F1" w:rsidR="002A143B" w:rsidRPr="00AE3F1B" w:rsidRDefault="00BE3DC0" w:rsidP="00175586">
      <w:pPr>
        <w:spacing w:after="88"/>
        <w:ind w:left="567" w:right="-3" w:hanging="567"/>
        <w:jc w:val="left"/>
        <w:rPr>
          <w:rFonts w:ascii="Garamond" w:hAnsi="Garamond"/>
          <w:b/>
          <w:bCs/>
          <w:sz w:val="24"/>
          <w:szCs w:val="24"/>
        </w:rPr>
      </w:pPr>
      <w:r>
        <w:rPr>
          <w:rFonts w:ascii="Garamond" w:hAnsi="Garamond"/>
          <w:b/>
          <w:bCs/>
          <w:sz w:val="24"/>
          <w:szCs w:val="24"/>
        </w:rPr>
        <w:t>I</w:t>
      </w:r>
      <w:r w:rsidR="00DA12DF" w:rsidRPr="00AE3F1B">
        <w:rPr>
          <w:rFonts w:ascii="Garamond" w:hAnsi="Garamond"/>
          <w:b/>
          <w:bCs/>
          <w:sz w:val="24"/>
          <w:szCs w:val="24"/>
        </w:rPr>
        <w:t>.3. CHARAKTERYSTYKA, Z</w:t>
      </w:r>
      <w:r w:rsidR="00A464C5" w:rsidRPr="00AE3F1B">
        <w:rPr>
          <w:rFonts w:ascii="Garamond" w:hAnsi="Garamond"/>
          <w:b/>
          <w:bCs/>
          <w:sz w:val="24"/>
          <w:szCs w:val="24"/>
        </w:rPr>
        <w:t>A</w:t>
      </w:r>
      <w:r w:rsidR="00A81305">
        <w:rPr>
          <w:rFonts w:ascii="Garamond" w:hAnsi="Garamond"/>
          <w:b/>
          <w:bCs/>
          <w:sz w:val="24"/>
          <w:szCs w:val="24"/>
        </w:rPr>
        <w:t>K</w:t>
      </w:r>
      <w:r w:rsidR="00A464C5" w:rsidRPr="00AE3F1B">
        <w:rPr>
          <w:rFonts w:ascii="Garamond" w:hAnsi="Garamond"/>
          <w:b/>
          <w:bCs/>
          <w:sz w:val="24"/>
          <w:szCs w:val="24"/>
        </w:rPr>
        <w:t>RES</w:t>
      </w:r>
      <w:r w:rsidR="00DA12DF" w:rsidRPr="00AE3F1B">
        <w:rPr>
          <w:rFonts w:ascii="Garamond" w:hAnsi="Garamond"/>
          <w:b/>
          <w:bCs/>
          <w:sz w:val="24"/>
          <w:szCs w:val="24"/>
        </w:rPr>
        <w:t xml:space="preserve"> ORAZ WARU</w:t>
      </w:r>
      <w:r w:rsidR="00C27CE5" w:rsidRPr="00AE3F1B">
        <w:rPr>
          <w:rFonts w:ascii="Garamond" w:hAnsi="Garamond"/>
          <w:b/>
          <w:bCs/>
          <w:sz w:val="24"/>
          <w:szCs w:val="24"/>
        </w:rPr>
        <w:t>NKI</w:t>
      </w:r>
      <w:r w:rsidR="00DA12DF" w:rsidRPr="00AE3F1B">
        <w:rPr>
          <w:rFonts w:ascii="Garamond" w:hAnsi="Garamond"/>
          <w:b/>
          <w:bCs/>
          <w:sz w:val="24"/>
          <w:szCs w:val="24"/>
        </w:rPr>
        <w:t xml:space="preserve"> FORMALNO - PRAWNE USŁUG DYSTRYBUCJI ŚWIADCZONYCH PRZEZ </w:t>
      </w:r>
      <w:r w:rsidR="00A464C5" w:rsidRPr="00AE3F1B">
        <w:rPr>
          <w:rFonts w:ascii="Garamond" w:hAnsi="Garamond"/>
          <w:b/>
          <w:bCs/>
          <w:sz w:val="24"/>
          <w:szCs w:val="24"/>
        </w:rPr>
        <w:t>ID SP. Z O.O.</w:t>
      </w:r>
    </w:p>
    <w:p w14:paraId="2864A6BB" w14:textId="644E8B7B" w:rsidR="002A143B" w:rsidRPr="00AE3F1B" w:rsidRDefault="00C27CE5" w:rsidP="00175586">
      <w:pPr>
        <w:spacing w:after="207" w:line="249" w:lineRule="auto"/>
        <w:ind w:left="567" w:right="-3" w:hanging="567"/>
        <w:jc w:val="left"/>
        <w:rPr>
          <w:rFonts w:ascii="Garamond" w:hAnsi="Garamond"/>
          <w:sz w:val="24"/>
          <w:szCs w:val="24"/>
        </w:rPr>
      </w:pPr>
      <w:r w:rsidRPr="00AE3F1B">
        <w:rPr>
          <w:rFonts w:ascii="Garamond" w:hAnsi="Garamond"/>
          <w:sz w:val="24"/>
          <w:szCs w:val="24"/>
        </w:rPr>
        <w:t>I.3.1.</w:t>
      </w:r>
      <w:r w:rsidR="00190EAB">
        <w:rPr>
          <w:rFonts w:ascii="Garamond" w:hAnsi="Garamond"/>
          <w:sz w:val="24"/>
          <w:szCs w:val="24"/>
        </w:rPr>
        <w:t xml:space="preserve"> </w:t>
      </w:r>
      <w:r w:rsidRPr="00AE3F1B">
        <w:rPr>
          <w:rFonts w:ascii="Garamond" w:hAnsi="Garamond"/>
          <w:sz w:val="24"/>
          <w:szCs w:val="24"/>
        </w:rPr>
        <w:t>Usługa dystrybucji energii elektrycznej obejmująca korzystanie z krajowego systemu</w:t>
      </w:r>
      <w:r w:rsidR="00190EAB">
        <w:rPr>
          <w:rFonts w:ascii="Garamond" w:hAnsi="Garamond"/>
          <w:sz w:val="24"/>
          <w:szCs w:val="24"/>
        </w:rPr>
        <w:t xml:space="preserve"> </w:t>
      </w:r>
      <w:r w:rsidRPr="00AE3F1B">
        <w:rPr>
          <w:rFonts w:ascii="Garamond" w:hAnsi="Garamond"/>
          <w:sz w:val="24"/>
          <w:szCs w:val="24"/>
        </w:rPr>
        <w:t>elektroenergetycznego polega na utrzymywaniu:</w:t>
      </w:r>
    </w:p>
    <w:p w14:paraId="385D0A2F" w14:textId="77777777" w:rsidR="002A143B" w:rsidRPr="00BD127A" w:rsidRDefault="00DA12DF">
      <w:pPr>
        <w:pStyle w:val="Akapitzlist"/>
        <w:numPr>
          <w:ilvl w:val="0"/>
          <w:numId w:val="103"/>
        </w:numPr>
        <w:spacing w:after="0"/>
        <w:jc w:val="left"/>
        <w:rPr>
          <w:rFonts w:ascii="Garamond" w:hAnsi="Garamond"/>
          <w:sz w:val="24"/>
          <w:szCs w:val="24"/>
        </w:rPr>
      </w:pPr>
      <w:r w:rsidRPr="00BD127A">
        <w:rPr>
          <w:rFonts w:ascii="Garamond" w:hAnsi="Garamond"/>
          <w:sz w:val="24"/>
          <w:szCs w:val="24"/>
        </w:rPr>
        <w:t>ciągłości dostarczania i odbioru energii elektrycznej w krajowym systemie elektroenergetycznym oraz niezawodności jej dostarczania,</w:t>
      </w:r>
    </w:p>
    <w:p w14:paraId="645C7408" w14:textId="77777777" w:rsidR="002A143B" w:rsidRPr="00BD127A" w:rsidRDefault="00DA12DF">
      <w:pPr>
        <w:pStyle w:val="Akapitzlist"/>
        <w:numPr>
          <w:ilvl w:val="0"/>
          <w:numId w:val="103"/>
        </w:numPr>
        <w:spacing w:after="185" w:line="249" w:lineRule="auto"/>
        <w:ind w:right="-3"/>
        <w:jc w:val="left"/>
        <w:rPr>
          <w:rFonts w:ascii="Garamond" w:hAnsi="Garamond"/>
          <w:sz w:val="24"/>
          <w:szCs w:val="24"/>
        </w:rPr>
      </w:pPr>
      <w:r w:rsidRPr="00BD127A">
        <w:rPr>
          <w:rFonts w:ascii="Garamond" w:hAnsi="Garamond"/>
          <w:sz w:val="24"/>
          <w:szCs w:val="24"/>
        </w:rPr>
        <w:t>parametrów jakościowych energii elektrycznej.</w:t>
      </w:r>
    </w:p>
    <w:p w14:paraId="49DC3145" w14:textId="2DEBDA98" w:rsidR="002A143B" w:rsidRPr="00AE3F1B" w:rsidRDefault="00C27CE5" w:rsidP="00175586">
      <w:pPr>
        <w:tabs>
          <w:tab w:val="center" w:pos="4167"/>
        </w:tabs>
        <w:spacing w:after="0" w:line="249" w:lineRule="auto"/>
        <w:ind w:left="567" w:right="-3" w:hanging="567"/>
        <w:jc w:val="left"/>
        <w:rPr>
          <w:rFonts w:ascii="Garamond" w:hAnsi="Garamond"/>
          <w:sz w:val="24"/>
          <w:szCs w:val="24"/>
        </w:rPr>
      </w:pPr>
      <w:r w:rsidRPr="00AE3F1B">
        <w:rPr>
          <w:rFonts w:ascii="Garamond" w:hAnsi="Garamond"/>
          <w:sz w:val="24"/>
          <w:szCs w:val="24"/>
        </w:rPr>
        <w:t>I.3.2. ID Sp. z o.o. świadcząc usługę dystrybucji energii elektrycznej:</w:t>
      </w:r>
    </w:p>
    <w:p w14:paraId="1F5B0028" w14:textId="70DDE20D" w:rsidR="002A143B" w:rsidRPr="00BD127A" w:rsidRDefault="00DA12DF">
      <w:pPr>
        <w:pStyle w:val="Akapitzlist"/>
        <w:numPr>
          <w:ilvl w:val="0"/>
          <w:numId w:val="104"/>
        </w:numPr>
        <w:ind w:right="-3"/>
        <w:jc w:val="left"/>
        <w:rPr>
          <w:rFonts w:ascii="Garamond" w:hAnsi="Garamond"/>
          <w:sz w:val="24"/>
          <w:szCs w:val="24"/>
        </w:rPr>
      </w:pPr>
      <w:r w:rsidRPr="00BD127A">
        <w:rPr>
          <w:rFonts w:ascii="Garamond" w:hAnsi="Garamond"/>
          <w:sz w:val="24"/>
          <w:szCs w:val="24"/>
        </w:rPr>
        <w:t xml:space="preserve">dostarcza energię elektryczną zgodnie z obowiązującymi parametrami jakościowymi </w:t>
      </w:r>
      <w:r w:rsidR="007C2695" w:rsidRPr="00BD127A">
        <w:rPr>
          <w:rFonts w:ascii="Garamond" w:hAnsi="Garamond"/>
          <w:sz w:val="24"/>
          <w:szCs w:val="24"/>
        </w:rPr>
        <w:br/>
      </w:r>
      <w:r w:rsidRPr="00BD127A">
        <w:rPr>
          <w:rFonts w:ascii="Garamond" w:hAnsi="Garamond"/>
          <w:sz w:val="24"/>
          <w:szCs w:val="24"/>
        </w:rPr>
        <w:t>i na warunkach określonych w umowie o świadczenie usług dystrybucji energii elektrycznej albo na podstawie umowy kompleksowej,</w:t>
      </w:r>
    </w:p>
    <w:p w14:paraId="0121BB14" w14:textId="24879445" w:rsidR="007413E8" w:rsidRPr="00BD127A" w:rsidRDefault="00DA12DF">
      <w:pPr>
        <w:pStyle w:val="Akapitzlist"/>
        <w:numPr>
          <w:ilvl w:val="0"/>
          <w:numId w:val="104"/>
        </w:numPr>
        <w:spacing w:after="60" w:line="249" w:lineRule="auto"/>
        <w:ind w:right="-3"/>
        <w:jc w:val="left"/>
        <w:rPr>
          <w:rFonts w:ascii="Garamond" w:hAnsi="Garamond"/>
          <w:sz w:val="24"/>
          <w:szCs w:val="24"/>
        </w:rPr>
      </w:pPr>
      <w:r w:rsidRPr="00BD127A">
        <w:rPr>
          <w:rFonts w:ascii="Garamond" w:hAnsi="Garamond"/>
          <w:sz w:val="24"/>
          <w:szCs w:val="24"/>
        </w:rPr>
        <w:t xml:space="preserve">instaluje, na własny koszt, układ </w:t>
      </w:r>
      <w:r w:rsidR="00C27CE5" w:rsidRPr="00BD127A">
        <w:rPr>
          <w:rFonts w:ascii="Garamond" w:hAnsi="Garamond"/>
          <w:noProof/>
          <w:sz w:val="24"/>
          <w:szCs w:val="24"/>
        </w:rPr>
        <w:t>pomiarowo-rozliczeniowy</w:t>
      </w:r>
      <w:r w:rsidR="00901CD5" w:rsidRPr="00BD127A">
        <w:rPr>
          <w:rFonts w:ascii="Garamond" w:hAnsi="Garamond"/>
          <w:noProof/>
          <w:sz w:val="24"/>
          <w:szCs w:val="24"/>
        </w:rPr>
        <w:t xml:space="preserve"> albo system pomiarowo-rozliczeniowy, w przypadku podmiotów zaliczanych</w:t>
      </w:r>
      <w:r w:rsidR="007904D6">
        <w:rPr>
          <w:rFonts w:ascii="Garamond" w:hAnsi="Garamond"/>
          <w:noProof/>
          <w:sz w:val="24"/>
          <w:szCs w:val="24"/>
        </w:rPr>
        <w:t xml:space="preserve"> </w:t>
      </w:r>
      <w:r w:rsidR="00901CD5" w:rsidRPr="00BD127A">
        <w:rPr>
          <w:rFonts w:ascii="Garamond" w:hAnsi="Garamond"/>
          <w:noProof/>
          <w:sz w:val="24"/>
          <w:szCs w:val="24"/>
        </w:rPr>
        <w:t xml:space="preserve">do grup przyłaczeniowych </w:t>
      </w:r>
      <w:r w:rsidRPr="00BD127A">
        <w:rPr>
          <w:rFonts w:ascii="Garamond" w:hAnsi="Garamond"/>
          <w:sz w:val="24"/>
          <w:szCs w:val="24"/>
        </w:rPr>
        <w:t>IV-VI, zasilanych</w:t>
      </w:r>
      <w:r w:rsidR="00151DDD" w:rsidRPr="00BD127A">
        <w:rPr>
          <w:rFonts w:ascii="Garamond" w:hAnsi="Garamond"/>
          <w:sz w:val="24"/>
          <w:szCs w:val="24"/>
        </w:rPr>
        <w:t xml:space="preserve"> z sieci o napięciu znamionowym nie wyższym niż 1 </w:t>
      </w:r>
      <w:proofErr w:type="spellStart"/>
      <w:r w:rsidR="00151DDD" w:rsidRPr="00BD127A">
        <w:rPr>
          <w:rFonts w:ascii="Garamond" w:hAnsi="Garamond"/>
          <w:sz w:val="24"/>
          <w:szCs w:val="24"/>
        </w:rPr>
        <w:t>kV</w:t>
      </w:r>
      <w:proofErr w:type="spellEnd"/>
      <w:r w:rsidR="00151DDD" w:rsidRPr="00BD127A">
        <w:rPr>
          <w:rFonts w:ascii="Garamond" w:hAnsi="Garamond"/>
          <w:sz w:val="24"/>
          <w:szCs w:val="24"/>
        </w:rPr>
        <w:t xml:space="preserve">, </w:t>
      </w:r>
      <w:r w:rsidR="00901CD5" w:rsidRPr="00BD127A">
        <w:rPr>
          <w:rFonts w:ascii="Garamond" w:hAnsi="Garamond"/>
          <w:sz w:val="24"/>
          <w:szCs w:val="24"/>
        </w:rPr>
        <w:t>z wyłączeniem wytwórców innych niż wytwarzający energię z mikroinstalacji,</w:t>
      </w:r>
    </w:p>
    <w:p w14:paraId="061298C1" w14:textId="58BD7D02" w:rsidR="002A143B" w:rsidRPr="00BD127A" w:rsidRDefault="00151DDD">
      <w:pPr>
        <w:pStyle w:val="Akapitzlist"/>
        <w:numPr>
          <w:ilvl w:val="0"/>
          <w:numId w:val="104"/>
        </w:numPr>
        <w:spacing w:after="60" w:line="249" w:lineRule="auto"/>
        <w:ind w:right="-3"/>
        <w:jc w:val="left"/>
        <w:rPr>
          <w:rFonts w:ascii="Garamond" w:hAnsi="Garamond"/>
          <w:sz w:val="24"/>
          <w:szCs w:val="24"/>
        </w:rPr>
      </w:pPr>
      <w:r w:rsidRPr="00BD127A">
        <w:rPr>
          <w:rFonts w:ascii="Garamond" w:hAnsi="Garamond"/>
          <w:sz w:val="24"/>
          <w:szCs w:val="24"/>
        </w:rPr>
        <w:t>powiadamia odbiorców o terminach i czasie planowanych przerw w dostarczaniu energii elektrycznej w</w:t>
      </w:r>
      <w:r w:rsidR="007C2695" w:rsidRPr="00BD127A">
        <w:rPr>
          <w:rFonts w:ascii="Garamond" w:hAnsi="Garamond"/>
          <w:sz w:val="24"/>
          <w:szCs w:val="24"/>
        </w:rPr>
        <w:t xml:space="preserve"> zwyczajowo przyjętej formie,</w:t>
      </w:r>
    </w:p>
    <w:p w14:paraId="127AD738" w14:textId="77777777" w:rsidR="002A143B" w:rsidRPr="00BD127A" w:rsidRDefault="00DA12DF">
      <w:pPr>
        <w:pStyle w:val="Akapitzlist"/>
        <w:numPr>
          <w:ilvl w:val="0"/>
          <w:numId w:val="104"/>
        </w:numPr>
        <w:spacing w:after="58"/>
        <w:ind w:right="-3"/>
        <w:jc w:val="left"/>
        <w:rPr>
          <w:rFonts w:ascii="Garamond" w:hAnsi="Garamond"/>
          <w:sz w:val="24"/>
          <w:szCs w:val="24"/>
        </w:rPr>
      </w:pPr>
      <w:r w:rsidRPr="00BD127A">
        <w:rPr>
          <w:rFonts w:ascii="Garamond" w:hAnsi="Garamond"/>
          <w:sz w:val="24"/>
          <w:szCs w:val="24"/>
        </w:rPr>
        <w:t>niezwłocznie przystępuje do likwidacji awarii i usuwania zakłóceń w dostarczaniu energii elektrycznej,</w:t>
      </w:r>
    </w:p>
    <w:p w14:paraId="0D9F39AD" w14:textId="0EFFCA6B" w:rsidR="002A143B" w:rsidRPr="00BD127A" w:rsidRDefault="00DA12DF">
      <w:pPr>
        <w:pStyle w:val="Akapitzlist"/>
        <w:numPr>
          <w:ilvl w:val="0"/>
          <w:numId w:val="104"/>
        </w:numPr>
        <w:spacing w:after="11" w:line="249" w:lineRule="auto"/>
        <w:ind w:right="-3"/>
        <w:jc w:val="left"/>
        <w:rPr>
          <w:rFonts w:ascii="Garamond" w:hAnsi="Garamond"/>
          <w:sz w:val="24"/>
          <w:szCs w:val="24"/>
        </w:rPr>
      </w:pPr>
      <w:r w:rsidRPr="00BD127A">
        <w:rPr>
          <w:rFonts w:ascii="Garamond" w:hAnsi="Garamond"/>
          <w:sz w:val="24"/>
          <w:szCs w:val="24"/>
        </w:rPr>
        <w:t>przekazuje dane pomiarowe odbiorcy,</w:t>
      </w:r>
      <w:r w:rsidR="00901CD5" w:rsidRPr="00BD127A">
        <w:rPr>
          <w:rFonts w:ascii="Garamond" w:hAnsi="Garamond"/>
          <w:sz w:val="24"/>
          <w:szCs w:val="24"/>
        </w:rPr>
        <w:t xml:space="preserve"> </w:t>
      </w:r>
      <w:r w:rsidR="00190EAB" w:rsidRPr="00BD127A">
        <w:rPr>
          <w:rFonts w:ascii="Garamond" w:hAnsi="Garamond"/>
          <w:sz w:val="24"/>
          <w:szCs w:val="24"/>
        </w:rPr>
        <w:t>wytwórcy,</w:t>
      </w:r>
      <w:r w:rsidR="00901CD5" w:rsidRPr="00BD127A">
        <w:rPr>
          <w:rFonts w:ascii="Garamond" w:hAnsi="Garamond"/>
          <w:sz w:val="24"/>
          <w:szCs w:val="24"/>
        </w:rPr>
        <w:t xml:space="preserve"> posiadaczowi magazynu energii </w:t>
      </w:r>
      <w:r w:rsidR="00190EAB" w:rsidRPr="00BD127A">
        <w:rPr>
          <w:rFonts w:ascii="Garamond" w:hAnsi="Garamond"/>
          <w:sz w:val="24"/>
          <w:szCs w:val="24"/>
        </w:rPr>
        <w:t>elektrycznej, sprzedawcy</w:t>
      </w:r>
      <w:r w:rsidRPr="00BD127A">
        <w:rPr>
          <w:rFonts w:ascii="Garamond" w:hAnsi="Garamond"/>
          <w:sz w:val="24"/>
          <w:szCs w:val="24"/>
        </w:rPr>
        <w:t xml:space="preserve"> oraz podmiotowi odpowiedzialnemu za </w:t>
      </w:r>
      <w:r w:rsidR="00901CD5" w:rsidRPr="00BD127A">
        <w:rPr>
          <w:rFonts w:ascii="Garamond" w:hAnsi="Garamond"/>
          <w:sz w:val="24"/>
          <w:szCs w:val="24"/>
        </w:rPr>
        <w:t xml:space="preserve">bilansowanie handlowe energii elektrycznej </w:t>
      </w:r>
      <w:r w:rsidRPr="00BD127A">
        <w:rPr>
          <w:rFonts w:ascii="Garamond" w:hAnsi="Garamond"/>
          <w:sz w:val="24"/>
          <w:szCs w:val="24"/>
        </w:rPr>
        <w:t>dostarczonej i pobranej z systemu,</w:t>
      </w:r>
      <w:r w:rsidR="00190EAB" w:rsidRPr="00BD127A">
        <w:rPr>
          <w:rFonts w:ascii="Garamond" w:hAnsi="Garamond"/>
          <w:sz w:val="24"/>
          <w:szCs w:val="24"/>
        </w:rPr>
        <w:t xml:space="preserve"> </w:t>
      </w:r>
    </w:p>
    <w:p w14:paraId="30744A24" w14:textId="77777777" w:rsidR="002A143B" w:rsidRPr="00BD127A" w:rsidRDefault="00DA12DF">
      <w:pPr>
        <w:pStyle w:val="Akapitzlist"/>
        <w:numPr>
          <w:ilvl w:val="0"/>
          <w:numId w:val="104"/>
        </w:numPr>
        <w:spacing w:after="27"/>
        <w:ind w:right="-3"/>
        <w:jc w:val="left"/>
        <w:rPr>
          <w:rFonts w:ascii="Garamond" w:hAnsi="Garamond"/>
          <w:sz w:val="24"/>
          <w:szCs w:val="24"/>
        </w:rPr>
      </w:pPr>
      <w:r w:rsidRPr="00BD127A">
        <w:rPr>
          <w:rFonts w:ascii="Garamond" w:hAnsi="Garamond"/>
          <w:sz w:val="24"/>
          <w:szCs w:val="24"/>
        </w:rPr>
        <w:t>umożliwia wgląd do wskazań układu pomiarowo-rozliczeniowego oraz dokumentów stanowiących podstawę do rozliczeń za dostarczoną energię elektryczną, a także do wyników kontroli prawidłowości wskazań tych układów,</w:t>
      </w:r>
    </w:p>
    <w:p w14:paraId="784D1E1F" w14:textId="77777777" w:rsidR="002A143B" w:rsidRPr="00BD127A" w:rsidRDefault="00DA12DF">
      <w:pPr>
        <w:pStyle w:val="Akapitzlist"/>
        <w:numPr>
          <w:ilvl w:val="0"/>
          <w:numId w:val="104"/>
        </w:numPr>
        <w:spacing w:after="66"/>
        <w:ind w:right="-3"/>
        <w:jc w:val="left"/>
        <w:rPr>
          <w:rFonts w:ascii="Garamond" w:hAnsi="Garamond"/>
          <w:sz w:val="24"/>
          <w:szCs w:val="24"/>
        </w:rPr>
      </w:pPr>
      <w:r w:rsidRPr="00BD127A">
        <w:rPr>
          <w:rFonts w:ascii="Garamond" w:hAnsi="Garamond"/>
          <w:sz w:val="24"/>
          <w:szCs w:val="24"/>
        </w:rPr>
        <w:t>opracowuje, aktualizuje i udostępnia odbiorcom ich standardowe profile zużycia energii elektrycznej,</w:t>
      </w:r>
    </w:p>
    <w:p w14:paraId="418995E1" w14:textId="77777777" w:rsidR="002A143B" w:rsidRPr="00BD127A" w:rsidRDefault="00DA12DF">
      <w:pPr>
        <w:pStyle w:val="Akapitzlist"/>
        <w:numPr>
          <w:ilvl w:val="0"/>
          <w:numId w:val="104"/>
        </w:numPr>
        <w:spacing w:after="134"/>
        <w:ind w:right="-3"/>
        <w:jc w:val="left"/>
        <w:rPr>
          <w:rFonts w:ascii="Garamond" w:hAnsi="Garamond"/>
          <w:sz w:val="24"/>
          <w:szCs w:val="24"/>
        </w:rPr>
      </w:pPr>
      <w:r w:rsidRPr="00BD127A">
        <w:rPr>
          <w:rFonts w:ascii="Garamond" w:hAnsi="Garamond"/>
          <w:sz w:val="24"/>
          <w:szCs w:val="24"/>
        </w:rPr>
        <w:t>opracowuje i wdraża procedury zmiany sprzedawcy.</w:t>
      </w:r>
    </w:p>
    <w:p w14:paraId="5647B413" w14:textId="309F0F22" w:rsidR="002A143B" w:rsidRPr="00AE3F1B" w:rsidRDefault="00151DDD" w:rsidP="008D2A5B">
      <w:pPr>
        <w:spacing w:after="167"/>
        <w:ind w:right="-3"/>
        <w:jc w:val="left"/>
        <w:rPr>
          <w:rFonts w:ascii="Garamond" w:hAnsi="Garamond"/>
          <w:sz w:val="24"/>
          <w:szCs w:val="24"/>
        </w:rPr>
      </w:pPr>
      <w:r w:rsidRPr="00AE3F1B">
        <w:rPr>
          <w:rFonts w:ascii="Garamond" w:hAnsi="Garamond"/>
          <w:sz w:val="24"/>
          <w:szCs w:val="24"/>
        </w:rPr>
        <w:lastRenderedPageBreak/>
        <w:t>I.3.3 Przyłączenie podmiotu do sieci następuje na podstawie umowy o przyłączenie do sieci i po spełnieniu warunków przyłączenia do sieci.</w:t>
      </w:r>
      <w:r w:rsidR="00901CD5" w:rsidRPr="00AE3F1B">
        <w:rPr>
          <w:rFonts w:ascii="Garamond" w:hAnsi="Garamond"/>
          <w:sz w:val="24"/>
          <w:szCs w:val="24"/>
        </w:rPr>
        <w:t xml:space="preserve"> Przyłączenie mikroinstalacji do sieci może nastąpić na podstawie zgłoszenia albo na podstawie umowy o przyłączenie i po spełnieniu warunków przyłączenia do sieci, zgodnie z ustawą OZE.</w:t>
      </w:r>
    </w:p>
    <w:p w14:paraId="17D426DB" w14:textId="611460FE" w:rsidR="002A143B" w:rsidRPr="00AE3F1B" w:rsidRDefault="00151DDD" w:rsidP="008D2A5B">
      <w:pPr>
        <w:spacing w:after="204"/>
        <w:ind w:right="-3"/>
        <w:jc w:val="left"/>
        <w:rPr>
          <w:rFonts w:ascii="Garamond" w:hAnsi="Garamond"/>
          <w:sz w:val="24"/>
          <w:szCs w:val="24"/>
        </w:rPr>
      </w:pPr>
      <w:r w:rsidRPr="00AE3F1B">
        <w:rPr>
          <w:rFonts w:ascii="Garamond" w:hAnsi="Garamond"/>
          <w:sz w:val="24"/>
          <w:szCs w:val="24"/>
        </w:rPr>
        <w:t>I.3.4.</w:t>
      </w:r>
      <w:r w:rsidR="008E4982">
        <w:rPr>
          <w:rFonts w:ascii="Garamond" w:hAnsi="Garamond"/>
          <w:sz w:val="24"/>
          <w:szCs w:val="24"/>
        </w:rPr>
        <w:t xml:space="preserve"> </w:t>
      </w:r>
      <w:r w:rsidRPr="00AE3F1B">
        <w:rPr>
          <w:rFonts w:ascii="Garamond" w:hAnsi="Garamond"/>
          <w:sz w:val="24"/>
          <w:szCs w:val="24"/>
        </w:rPr>
        <w:t>ID Sp. z o.o. ustala oraz udostępnia wzór wniosku o określenie warunków przyłączenia</w:t>
      </w:r>
      <w:r w:rsidR="00901CD5" w:rsidRPr="00AE3F1B">
        <w:rPr>
          <w:rFonts w:ascii="Garamond" w:hAnsi="Garamond"/>
          <w:sz w:val="24"/>
          <w:szCs w:val="24"/>
        </w:rPr>
        <w:t xml:space="preserve"> oraz   </w:t>
      </w:r>
      <w:r w:rsidR="00901CD5" w:rsidRPr="00AE3F1B">
        <w:rPr>
          <w:rFonts w:ascii="Garamond" w:hAnsi="Garamond"/>
          <w:sz w:val="24"/>
          <w:szCs w:val="24"/>
        </w:rPr>
        <w:br/>
        <w:t xml:space="preserve"> wzór zgłoszenia przyłączenia mikroinstalacji; we wzorze wniosku o określenie warunków  </w:t>
      </w:r>
      <w:r w:rsidR="00901CD5" w:rsidRPr="00AE3F1B">
        <w:rPr>
          <w:rFonts w:ascii="Garamond" w:hAnsi="Garamond"/>
          <w:sz w:val="24"/>
          <w:szCs w:val="24"/>
        </w:rPr>
        <w:br/>
        <w:t xml:space="preserve"> przyłączenia dla podmiotu zaliczanego do II grupy przyłączeniowej powinien być określony </w:t>
      </w:r>
      <w:r w:rsidR="007C2695">
        <w:rPr>
          <w:rFonts w:ascii="Garamond" w:hAnsi="Garamond"/>
          <w:sz w:val="24"/>
          <w:szCs w:val="24"/>
        </w:rPr>
        <w:br/>
        <w:t xml:space="preserve"> </w:t>
      </w:r>
      <w:r w:rsidR="00901CD5" w:rsidRPr="00AE3F1B">
        <w:rPr>
          <w:rFonts w:ascii="Garamond" w:hAnsi="Garamond"/>
          <w:sz w:val="24"/>
          <w:szCs w:val="24"/>
        </w:rPr>
        <w:t>co najmniej taki zakres informacji, jaki zawiera wzór wniosku ustalony przez PGE Dystrybucja</w:t>
      </w:r>
      <w:r w:rsidR="008E4982">
        <w:rPr>
          <w:rFonts w:ascii="Garamond" w:hAnsi="Garamond"/>
          <w:sz w:val="24"/>
          <w:szCs w:val="24"/>
        </w:rPr>
        <w:t xml:space="preserve"> </w:t>
      </w:r>
      <w:r w:rsidR="00901CD5" w:rsidRPr="00AE3F1B">
        <w:rPr>
          <w:rFonts w:ascii="Garamond" w:hAnsi="Garamond"/>
          <w:sz w:val="24"/>
          <w:szCs w:val="24"/>
        </w:rPr>
        <w:t>S.A.</w:t>
      </w:r>
    </w:p>
    <w:p w14:paraId="40E34CE4" w14:textId="3DD197A2" w:rsidR="002A143B" w:rsidRPr="00AE3F1B" w:rsidRDefault="00190EAB" w:rsidP="008D2A5B">
      <w:pPr>
        <w:spacing w:after="205" w:line="249" w:lineRule="auto"/>
        <w:ind w:right="-3"/>
        <w:jc w:val="left"/>
        <w:rPr>
          <w:rFonts w:ascii="Garamond" w:hAnsi="Garamond"/>
          <w:sz w:val="24"/>
          <w:szCs w:val="24"/>
        </w:rPr>
      </w:pPr>
      <w:r w:rsidRPr="00AE3F1B">
        <w:rPr>
          <w:rFonts w:ascii="Garamond" w:hAnsi="Garamond"/>
          <w:sz w:val="24"/>
          <w:szCs w:val="24"/>
        </w:rPr>
        <w:t>I.3.5. Wymagania</w:t>
      </w:r>
      <w:r w:rsidR="00151DDD" w:rsidRPr="00AE3F1B">
        <w:rPr>
          <w:rFonts w:ascii="Garamond" w:hAnsi="Garamond"/>
          <w:sz w:val="24"/>
          <w:szCs w:val="24"/>
        </w:rPr>
        <w:t xml:space="preserve"> techniczne w zakresie przyłączania do sieci urządzeń wytwórczych, </w:t>
      </w:r>
      <w:r w:rsidR="00025C72" w:rsidRPr="00AE3F1B">
        <w:rPr>
          <w:rFonts w:ascii="Garamond" w:hAnsi="Garamond"/>
          <w:sz w:val="24"/>
          <w:szCs w:val="24"/>
        </w:rPr>
        <w:t xml:space="preserve">magazynów energii elektrycznej, </w:t>
      </w:r>
      <w:r w:rsidR="00151DDD" w:rsidRPr="00AE3F1B">
        <w:rPr>
          <w:rFonts w:ascii="Garamond" w:hAnsi="Garamond"/>
          <w:sz w:val="24"/>
          <w:szCs w:val="24"/>
        </w:rPr>
        <w:t>sieci innych operatorów</w:t>
      </w:r>
      <w:r w:rsidR="007C2695">
        <w:rPr>
          <w:rFonts w:ascii="Garamond" w:hAnsi="Garamond"/>
          <w:sz w:val="24"/>
          <w:szCs w:val="24"/>
        </w:rPr>
        <w:t xml:space="preserve"> </w:t>
      </w:r>
      <w:r w:rsidR="00151DDD" w:rsidRPr="00AE3F1B">
        <w:rPr>
          <w:rFonts w:ascii="Garamond" w:hAnsi="Garamond"/>
          <w:sz w:val="24"/>
          <w:szCs w:val="24"/>
        </w:rPr>
        <w:t>elektroenergetycznych oraz urządzeń odbiorców określone są w dalszej części instrukcji.</w:t>
      </w:r>
    </w:p>
    <w:p w14:paraId="1BD10025" w14:textId="49939540" w:rsidR="008D2A5B" w:rsidRDefault="009842A5" w:rsidP="008D2A5B">
      <w:pPr>
        <w:spacing w:after="180"/>
        <w:ind w:right="-3"/>
        <w:jc w:val="left"/>
        <w:rPr>
          <w:rFonts w:ascii="Garamond" w:hAnsi="Garamond"/>
          <w:sz w:val="24"/>
          <w:szCs w:val="24"/>
        </w:rPr>
      </w:pPr>
      <w:r w:rsidRPr="00AE3F1B">
        <w:rPr>
          <w:rFonts w:ascii="Garamond" w:hAnsi="Garamond"/>
          <w:sz w:val="24"/>
          <w:szCs w:val="24"/>
        </w:rPr>
        <w:t>I.3.6.</w:t>
      </w:r>
      <w:r w:rsidR="007C2695">
        <w:rPr>
          <w:rFonts w:ascii="Garamond" w:hAnsi="Garamond"/>
          <w:sz w:val="24"/>
          <w:szCs w:val="24"/>
        </w:rPr>
        <w:t xml:space="preserve"> </w:t>
      </w:r>
      <w:r w:rsidRPr="00AE3F1B">
        <w:rPr>
          <w:rFonts w:ascii="Garamond" w:hAnsi="Garamond"/>
          <w:sz w:val="24"/>
          <w:szCs w:val="24"/>
        </w:rPr>
        <w:t xml:space="preserve">Przepisy związane z przyłączeniem stosuje się odpowiednio w przypadku zwiększenia, </w:t>
      </w:r>
      <w:r w:rsidR="00190EAB" w:rsidRPr="00AE3F1B">
        <w:rPr>
          <w:rFonts w:ascii="Garamond" w:hAnsi="Garamond"/>
          <w:sz w:val="24"/>
          <w:szCs w:val="24"/>
        </w:rPr>
        <w:t xml:space="preserve">przez </w:t>
      </w:r>
      <w:r w:rsidR="00190EAB">
        <w:rPr>
          <w:rFonts w:ascii="Garamond" w:hAnsi="Garamond"/>
          <w:sz w:val="24"/>
          <w:szCs w:val="24"/>
        </w:rPr>
        <w:t>podmiot</w:t>
      </w:r>
      <w:r w:rsidRPr="00AE3F1B">
        <w:rPr>
          <w:rFonts w:ascii="Garamond" w:hAnsi="Garamond"/>
          <w:sz w:val="24"/>
          <w:szCs w:val="24"/>
        </w:rPr>
        <w:t xml:space="preserve"> przyłączony do</w:t>
      </w:r>
      <w:r w:rsidR="00190EAB">
        <w:rPr>
          <w:rFonts w:ascii="Garamond" w:hAnsi="Garamond"/>
          <w:sz w:val="24"/>
          <w:szCs w:val="24"/>
        </w:rPr>
        <w:t xml:space="preserve"> </w:t>
      </w:r>
      <w:r w:rsidRPr="00AE3F1B">
        <w:rPr>
          <w:rFonts w:ascii="Garamond" w:hAnsi="Garamond"/>
          <w:sz w:val="24"/>
          <w:szCs w:val="24"/>
        </w:rPr>
        <w:t>sieci zapotrzebowania na moc przyłączeniową lub zmiany dotychczasowych warunków i parametrów technicznych pracy urządzeń, instalacji i sieci przyłączonego podmiotu oraz ponownego przyłączenia odłączonego podmiotu.</w:t>
      </w:r>
    </w:p>
    <w:p w14:paraId="6AC778E7" w14:textId="3BFF3B52" w:rsidR="002A143B" w:rsidRPr="00AE3F1B" w:rsidRDefault="009842A5" w:rsidP="008D2A5B">
      <w:pPr>
        <w:spacing w:after="180"/>
        <w:ind w:right="-3"/>
        <w:jc w:val="left"/>
        <w:rPr>
          <w:rFonts w:ascii="Garamond" w:hAnsi="Garamond"/>
          <w:sz w:val="24"/>
          <w:szCs w:val="24"/>
        </w:rPr>
      </w:pPr>
      <w:r w:rsidRPr="00AE3F1B">
        <w:rPr>
          <w:rFonts w:ascii="Garamond" w:hAnsi="Garamond"/>
          <w:sz w:val="24"/>
          <w:szCs w:val="24"/>
        </w:rPr>
        <w:t>I.3.7.Warunki przyłączenia są przekazywane wnioskodawcy wraz z projektem umowy o przyłączenie</w:t>
      </w:r>
      <w:r w:rsidR="00FE41C8">
        <w:rPr>
          <w:rFonts w:ascii="Garamond" w:hAnsi="Garamond"/>
          <w:sz w:val="24"/>
          <w:szCs w:val="24"/>
        </w:rPr>
        <w:t xml:space="preserve"> </w:t>
      </w:r>
      <w:r w:rsidRPr="00AE3F1B">
        <w:rPr>
          <w:rFonts w:ascii="Garamond" w:hAnsi="Garamond"/>
          <w:sz w:val="24"/>
          <w:szCs w:val="24"/>
        </w:rPr>
        <w:t xml:space="preserve">do </w:t>
      </w:r>
      <w:r w:rsidR="00190EAB" w:rsidRPr="00AE3F1B">
        <w:rPr>
          <w:rFonts w:ascii="Garamond" w:hAnsi="Garamond"/>
          <w:sz w:val="24"/>
          <w:szCs w:val="24"/>
        </w:rPr>
        <w:t>sieci,</w:t>
      </w:r>
      <w:r w:rsidR="00025C72" w:rsidRPr="00AE3F1B">
        <w:rPr>
          <w:rFonts w:ascii="Garamond" w:hAnsi="Garamond"/>
          <w:sz w:val="24"/>
          <w:szCs w:val="24"/>
        </w:rPr>
        <w:t xml:space="preserve"> jeśli taka jest niezbędna.</w:t>
      </w:r>
    </w:p>
    <w:p w14:paraId="0FDA6F61" w14:textId="64B6BB01" w:rsidR="008D2A5B" w:rsidRDefault="009842A5" w:rsidP="00190EAB">
      <w:pPr>
        <w:ind w:left="142" w:right="-3" w:hanging="142"/>
        <w:jc w:val="left"/>
        <w:rPr>
          <w:rFonts w:ascii="Garamond" w:hAnsi="Garamond"/>
          <w:sz w:val="24"/>
          <w:szCs w:val="24"/>
        </w:rPr>
      </w:pPr>
      <w:r w:rsidRPr="00AE3F1B">
        <w:rPr>
          <w:rFonts w:ascii="Garamond" w:hAnsi="Garamond"/>
          <w:sz w:val="24"/>
          <w:szCs w:val="24"/>
        </w:rPr>
        <w:t>I.3.8. Warunki przyłączenia są ważne dwa lata od dnia ich doręczenia</w:t>
      </w:r>
      <w:r w:rsidR="00025C72" w:rsidRPr="00AE3F1B">
        <w:rPr>
          <w:rFonts w:ascii="Garamond" w:hAnsi="Garamond"/>
          <w:sz w:val="24"/>
          <w:szCs w:val="24"/>
        </w:rPr>
        <w:t xml:space="preserve"> lub przez okres ważności umowy.</w:t>
      </w:r>
    </w:p>
    <w:p w14:paraId="0176323A" w14:textId="65D9E1B6" w:rsidR="00BB01D3" w:rsidRDefault="00A71C47" w:rsidP="008D2A5B">
      <w:pPr>
        <w:ind w:right="-3"/>
        <w:jc w:val="left"/>
        <w:rPr>
          <w:rFonts w:ascii="Garamond" w:hAnsi="Garamond"/>
          <w:sz w:val="24"/>
          <w:szCs w:val="24"/>
        </w:rPr>
      </w:pPr>
      <w:r w:rsidRPr="00AE3F1B">
        <w:rPr>
          <w:rFonts w:ascii="Garamond" w:hAnsi="Garamond"/>
          <w:sz w:val="24"/>
          <w:szCs w:val="24"/>
        </w:rPr>
        <w:t>I.3.9.</w:t>
      </w:r>
      <w:r w:rsidR="007C2695">
        <w:rPr>
          <w:rFonts w:ascii="Garamond" w:hAnsi="Garamond"/>
          <w:sz w:val="24"/>
          <w:szCs w:val="24"/>
        </w:rPr>
        <w:t xml:space="preserve"> </w:t>
      </w:r>
      <w:r w:rsidRPr="00AE3F1B">
        <w:rPr>
          <w:rFonts w:ascii="Garamond" w:hAnsi="Garamond"/>
          <w:sz w:val="24"/>
          <w:szCs w:val="24"/>
        </w:rPr>
        <w:t>Zapisy pkt I.3.1 i I.3.2. dotyczące odbiorców stosuje się do posiadaczy magazynów energii elektrycznej.</w:t>
      </w:r>
      <w:r w:rsidRPr="00AE3F1B">
        <w:rPr>
          <w:rFonts w:ascii="Garamond" w:hAnsi="Garamond"/>
          <w:sz w:val="24"/>
          <w:szCs w:val="24"/>
        </w:rPr>
        <w:br/>
        <w:t xml:space="preserve">I.3.10. Sprawę z wniosku o określenie warunków przyłączenia lub zgłoszenia przyłączenia mikroinstalacji, rozpatruje się za pomocą środków komunikacji elektronicznej w rozumieniu art. 2 pkt 5 ustawy z dnia 18 lipca 2002 o świadczeniu usług drogą elektroniczną w przypadku gdy wniosek lub zgłoszenie zostały złożone w postaci elektronicznej  lub składający wniosek lub zgłoszenie w postaci papierowej wyraził </w:t>
      </w:r>
      <w:r w:rsidR="007C2695">
        <w:rPr>
          <w:rFonts w:ascii="Garamond" w:hAnsi="Garamond"/>
          <w:sz w:val="24"/>
          <w:szCs w:val="24"/>
        </w:rPr>
        <w:t xml:space="preserve"> </w:t>
      </w:r>
      <w:r w:rsidRPr="00AE3F1B">
        <w:rPr>
          <w:rFonts w:ascii="Garamond" w:hAnsi="Garamond"/>
          <w:sz w:val="24"/>
          <w:szCs w:val="24"/>
        </w:rPr>
        <w:t>zgodę na prowadzenie sprawy</w:t>
      </w:r>
      <w:r w:rsidR="007C2695">
        <w:rPr>
          <w:rFonts w:ascii="Garamond" w:hAnsi="Garamond"/>
          <w:sz w:val="24"/>
          <w:szCs w:val="24"/>
        </w:rPr>
        <w:t xml:space="preserve"> </w:t>
      </w:r>
      <w:r w:rsidRPr="00AE3F1B">
        <w:rPr>
          <w:rFonts w:ascii="Garamond" w:hAnsi="Garamond"/>
          <w:sz w:val="24"/>
          <w:szCs w:val="24"/>
        </w:rPr>
        <w:t>w formie elektronicznej</w:t>
      </w:r>
      <w:r w:rsidR="007413E8" w:rsidRPr="00AE3F1B">
        <w:rPr>
          <w:rFonts w:ascii="Garamond" w:hAnsi="Garamond"/>
          <w:sz w:val="24"/>
          <w:szCs w:val="24"/>
        </w:rPr>
        <w:t>.</w:t>
      </w:r>
    </w:p>
    <w:p w14:paraId="505EFF96" w14:textId="77777777" w:rsidR="00190EAB" w:rsidRDefault="00190EAB" w:rsidP="00190EAB">
      <w:pPr>
        <w:ind w:left="142" w:right="-3" w:hanging="142"/>
        <w:jc w:val="left"/>
        <w:rPr>
          <w:rFonts w:ascii="Garamond" w:hAnsi="Garamond"/>
          <w:sz w:val="24"/>
          <w:szCs w:val="24"/>
        </w:rPr>
      </w:pPr>
    </w:p>
    <w:p w14:paraId="280A93EA" w14:textId="77777777" w:rsidR="00907207" w:rsidRDefault="00BB01D3" w:rsidP="005A5594">
      <w:pPr>
        <w:spacing w:after="0"/>
        <w:ind w:left="567" w:right="-3" w:hanging="567"/>
        <w:jc w:val="left"/>
        <w:rPr>
          <w:rFonts w:ascii="Garamond" w:hAnsi="Garamond"/>
          <w:b/>
          <w:bCs/>
          <w:sz w:val="24"/>
          <w:szCs w:val="24"/>
        </w:rPr>
      </w:pPr>
      <w:r>
        <w:rPr>
          <w:rFonts w:ascii="Garamond" w:hAnsi="Garamond"/>
          <w:b/>
          <w:bCs/>
          <w:sz w:val="24"/>
          <w:szCs w:val="24"/>
        </w:rPr>
        <w:t>I</w:t>
      </w:r>
      <w:r w:rsidRPr="00AE3F1B">
        <w:rPr>
          <w:rFonts w:ascii="Garamond" w:hAnsi="Garamond"/>
          <w:b/>
          <w:bCs/>
          <w:sz w:val="24"/>
          <w:szCs w:val="24"/>
        </w:rPr>
        <w:t>.4. OGÓLNE STANDARDY JAKOŚCIOWE OBSŁUGI U</w:t>
      </w:r>
      <w:r w:rsidR="00A71C47" w:rsidRPr="00AE3F1B">
        <w:rPr>
          <w:rFonts w:ascii="Garamond" w:hAnsi="Garamond"/>
          <w:b/>
          <w:bCs/>
          <w:sz w:val="24"/>
          <w:szCs w:val="24"/>
        </w:rPr>
        <w:t>Ż</w:t>
      </w:r>
      <w:r w:rsidRPr="00AE3F1B">
        <w:rPr>
          <w:rFonts w:ascii="Garamond" w:hAnsi="Garamond"/>
          <w:b/>
          <w:bCs/>
          <w:sz w:val="24"/>
          <w:szCs w:val="24"/>
        </w:rPr>
        <w:t>YTKOWNIKÓW SYSTEMU DYSTRYBUCYJNEGO</w:t>
      </w:r>
    </w:p>
    <w:p w14:paraId="5E41B466" w14:textId="77777777" w:rsidR="005A5594" w:rsidRDefault="005A5594" w:rsidP="005A5594">
      <w:pPr>
        <w:spacing w:after="0"/>
        <w:ind w:left="567" w:right="-3" w:hanging="567"/>
        <w:jc w:val="left"/>
        <w:rPr>
          <w:rFonts w:ascii="Garamond" w:hAnsi="Garamond"/>
          <w:b/>
          <w:bCs/>
          <w:sz w:val="24"/>
          <w:szCs w:val="24"/>
        </w:rPr>
      </w:pPr>
    </w:p>
    <w:p w14:paraId="43EE0C47" w14:textId="48576FA6" w:rsidR="00907207" w:rsidRDefault="00C96488" w:rsidP="008D2A5B">
      <w:pPr>
        <w:spacing w:after="0"/>
        <w:ind w:left="567" w:right="-3" w:hanging="567"/>
        <w:jc w:val="left"/>
        <w:rPr>
          <w:rFonts w:ascii="Garamond" w:hAnsi="Garamond"/>
          <w:sz w:val="24"/>
          <w:szCs w:val="24"/>
        </w:rPr>
      </w:pPr>
      <w:r w:rsidRPr="00AE3F1B">
        <w:rPr>
          <w:rFonts w:ascii="Garamond" w:hAnsi="Garamond"/>
          <w:sz w:val="24"/>
          <w:szCs w:val="24"/>
        </w:rPr>
        <w:t>I.4.</w:t>
      </w:r>
      <w:r w:rsidR="007606DB">
        <w:rPr>
          <w:rFonts w:ascii="Garamond" w:hAnsi="Garamond"/>
          <w:sz w:val="24"/>
          <w:szCs w:val="24"/>
        </w:rPr>
        <w:t>1</w:t>
      </w:r>
      <w:r w:rsidR="00190EAB" w:rsidRPr="00AE3F1B">
        <w:rPr>
          <w:rFonts w:ascii="Garamond" w:hAnsi="Garamond"/>
          <w:sz w:val="24"/>
          <w:szCs w:val="24"/>
        </w:rPr>
        <w:t>.</w:t>
      </w:r>
      <w:r w:rsidR="007C2695">
        <w:rPr>
          <w:rFonts w:ascii="Garamond" w:hAnsi="Garamond"/>
          <w:sz w:val="24"/>
          <w:szCs w:val="24"/>
        </w:rPr>
        <w:t xml:space="preserve"> </w:t>
      </w:r>
      <w:r w:rsidRPr="00AE3F1B">
        <w:rPr>
          <w:rFonts w:ascii="Garamond" w:hAnsi="Garamond"/>
          <w:sz w:val="24"/>
          <w:szCs w:val="24"/>
        </w:rPr>
        <w:t>ID Sp. z o.o. świadczy usługi dystrybucji na zasadzie równoprawnego traktowania wszystkich użytkowników systemu</w:t>
      </w:r>
      <w:r w:rsidR="00A71C47" w:rsidRPr="00AE3F1B">
        <w:rPr>
          <w:rFonts w:ascii="Garamond" w:hAnsi="Garamond"/>
          <w:sz w:val="24"/>
          <w:szCs w:val="24"/>
        </w:rPr>
        <w:t xml:space="preserve"> z uwzględnieniem wynikającego z norm prawnych z obowiązku zapewnienia pierwszeństwa świadczeniu usług dystrybucji energii elektrycznej wytworzonej </w:t>
      </w:r>
      <w:r w:rsidR="007C2695">
        <w:rPr>
          <w:rFonts w:ascii="Garamond" w:hAnsi="Garamond"/>
          <w:sz w:val="24"/>
          <w:szCs w:val="24"/>
        </w:rPr>
        <w:br/>
      </w:r>
      <w:r w:rsidR="00A71C47" w:rsidRPr="00AE3F1B">
        <w:rPr>
          <w:rFonts w:ascii="Garamond" w:hAnsi="Garamond"/>
          <w:sz w:val="24"/>
          <w:szCs w:val="24"/>
        </w:rPr>
        <w:t xml:space="preserve">w instalacjach OZE oraz wysokosprawnej kogeneracji, </w:t>
      </w:r>
      <w:r w:rsidR="00112BCC" w:rsidRPr="00AE3F1B">
        <w:rPr>
          <w:rFonts w:ascii="Garamond" w:hAnsi="Garamond"/>
          <w:sz w:val="24"/>
          <w:szCs w:val="24"/>
        </w:rPr>
        <w:br/>
      </w:r>
      <w:r w:rsidR="00A71C47" w:rsidRPr="00AE3F1B">
        <w:rPr>
          <w:rFonts w:ascii="Garamond" w:hAnsi="Garamond"/>
          <w:sz w:val="24"/>
          <w:szCs w:val="24"/>
        </w:rPr>
        <w:t>z zachowaniem niezawodności i bezpieczeństwa działania systemu dystrybucyjnego.</w:t>
      </w:r>
    </w:p>
    <w:p w14:paraId="01F4C0F7" w14:textId="77777777" w:rsidR="008D2A5B" w:rsidRDefault="008D2A5B" w:rsidP="008D2A5B">
      <w:pPr>
        <w:spacing w:after="0"/>
        <w:ind w:left="567" w:right="-3" w:hanging="567"/>
        <w:jc w:val="left"/>
        <w:rPr>
          <w:rFonts w:ascii="Garamond" w:hAnsi="Garamond"/>
          <w:b/>
          <w:bCs/>
          <w:sz w:val="24"/>
          <w:szCs w:val="24"/>
        </w:rPr>
      </w:pPr>
    </w:p>
    <w:p w14:paraId="120221C2" w14:textId="76D5C0DA" w:rsidR="005A5594" w:rsidRDefault="00C96488" w:rsidP="005A5594">
      <w:pPr>
        <w:spacing w:after="0"/>
        <w:ind w:left="567" w:right="-3" w:hanging="567"/>
        <w:jc w:val="left"/>
      </w:pPr>
      <w:r w:rsidRPr="00AE3F1B">
        <w:rPr>
          <w:rFonts w:ascii="Garamond" w:hAnsi="Garamond"/>
          <w:sz w:val="24"/>
          <w:szCs w:val="24"/>
        </w:rPr>
        <w:t>I.4.2. W celu realizacji powyższego obowiązku ID Sp. z o.o. opracowuje i udostępnia wzory wniosków</w:t>
      </w:r>
      <w:r w:rsidR="007C2695">
        <w:rPr>
          <w:rFonts w:ascii="Garamond" w:hAnsi="Garamond"/>
          <w:sz w:val="24"/>
          <w:szCs w:val="24"/>
        </w:rPr>
        <w:br/>
      </w:r>
      <w:r w:rsidRPr="00AE3F1B">
        <w:rPr>
          <w:rFonts w:ascii="Garamond" w:hAnsi="Garamond"/>
          <w:sz w:val="24"/>
          <w:szCs w:val="24"/>
        </w:rPr>
        <w:t xml:space="preserve">i standardy umów o świadczenie usług dystrybucji </w:t>
      </w:r>
      <w:r w:rsidR="00112BCC" w:rsidRPr="00AE3F1B">
        <w:rPr>
          <w:rFonts w:ascii="Garamond" w:hAnsi="Garamond"/>
          <w:sz w:val="24"/>
          <w:szCs w:val="24"/>
        </w:rPr>
        <w:t>na swojej stronie internetowej</w:t>
      </w:r>
      <w:r w:rsidR="00112BCC" w:rsidRPr="00AE3F1B">
        <w:rPr>
          <w:rFonts w:ascii="Garamond" w:hAnsi="Garamond"/>
          <w:sz w:val="24"/>
          <w:szCs w:val="24"/>
        </w:rPr>
        <w:br/>
      </w:r>
      <w:hyperlink r:id="rId8" w:history="1">
        <w:r w:rsidR="00B70465" w:rsidRPr="00AE3F1B">
          <w:rPr>
            <w:rStyle w:val="Hipercze"/>
            <w:rFonts w:ascii="Garamond" w:eastAsia="Calibri" w:hAnsi="Garamond"/>
            <w:sz w:val="24"/>
            <w:szCs w:val="24"/>
          </w:rPr>
          <w:t>www.industria.eu/dystrybucja/</w:t>
        </w:r>
      </w:hyperlink>
    </w:p>
    <w:p w14:paraId="6DB1473C" w14:textId="77777777" w:rsidR="005A5594" w:rsidRPr="005A5594" w:rsidRDefault="005A5594" w:rsidP="005A5594">
      <w:pPr>
        <w:spacing w:after="0"/>
        <w:ind w:left="567" w:right="-3" w:hanging="567"/>
        <w:jc w:val="left"/>
      </w:pPr>
    </w:p>
    <w:p w14:paraId="4956C435" w14:textId="1E5CF10B" w:rsidR="002A143B" w:rsidRPr="00AE3F1B" w:rsidRDefault="00937322" w:rsidP="00175586">
      <w:pPr>
        <w:ind w:left="567" w:right="-3" w:hanging="567"/>
        <w:jc w:val="left"/>
        <w:rPr>
          <w:rFonts w:ascii="Garamond" w:hAnsi="Garamond"/>
          <w:sz w:val="24"/>
          <w:szCs w:val="24"/>
        </w:rPr>
      </w:pPr>
      <w:r w:rsidRPr="00AE3F1B">
        <w:rPr>
          <w:rFonts w:ascii="Garamond" w:hAnsi="Garamond"/>
          <w:sz w:val="24"/>
          <w:szCs w:val="24"/>
        </w:rPr>
        <w:t>I.4.3. ID</w:t>
      </w:r>
      <w:r w:rsidR="00112BCC" w:rsidRPr="00AE3F1B">
        <w:rPr>
          <w:rFonts w:ascii="Garamond" w:hAnsi="Garamond"/>
          <w:sz w:val="24"/>
          <w:szCs w:val="24"/>
        </w:rPr>
        <w:t xml:space="preserve"> Sp. z o.o. stosuje </w:t>
      </w:r>
      <w:r w:rsidR="00C96488" w:rsidRPr="00AE3F1B">
        <w:rPr>
          <w:rFonts w:ascii="Garamond" w:hAnsi="Garamond"/>
          <w:sz w:val="24"/>
          <w:szCs w:val="24"/>
        </w:rPr>
        <w:t>standard</w:t>
      </w:r>
      <w:r w:rsidR="00112BCC" w:rsidRPr="00AE3F1B">
        <w:rPr>
          <w:rFonts w:ascii="Garamond" w:hAnsi="Garamond"/>
          <w:sz w:val="24"/>
          <w:szCs w:val="24"/>
        </w:rPr>
        <w:t>y</w:t>
      </w:r>
      <w:r w:rsidR="00C96488" w:rsidRPr="00AE3F1B">
        <w:rPr>
          <w:rFonts w:ascii="Garamond" w:hAnsi="Garamond"/>
          <w:sz w:val="24"/>
          <w:szCs w:val="24"/>
        </w:rPr>
        <w:t xml:space="preserve"> jakościow</w:t>
      </w:r>
      <w:r w:rsidR="00112BCC" w:rsidRPr="00AE3F1B">
        <w:rPr>
          <w:rFonts w:ascii="Garamond" w:hAnsi="Garamond"/>
          <w:sz w:val="24"/>
          <w:szCs w:val="24"/>
        </w:rPr>
        <w:t xml:space="preserve">e </w:t>
      </w:r>
      <w:r w:rsidR="00C96488" w:rsidRPr="00AE3F1B">
        <w:rPr>
          <w:rFonts w:ascii="Garamond" w:hAnsi="Garamond"/>
          <w:sz w:val="24"/>
          <w:szCs w:val="24"/>
        </w:rPr>
        <w:t>obsługi użytkowników systemu</w:t>
      </w:r>
      <w:r w:rsidR="00112BCC" w:rsidRPr="00AE3F1B">
        <w:rPr>
          <w:rFonts w:ascii="Garamond" w:hAnsi="Garamond"/>
          <w:sz w:val="24"/>
          <w:szCs w:val="24"/>
        </w:rPr>
        <w:t xml:space="preserve"> określone w obowiązujących przepisach</w:t>
      </w:r>
      <w:r w:rsidR="00C96488" w:rsidRPr="00AE3F1B">
        <w:rPr>
          <w:rFonts w:ascii="Garamond" w:hAnsi="Garamond"/>
          <w:sz w:val="24"/>
          <w:szCs w:val="24"/>
        </w:rPr>
        <w:t>.</w:t>
      </w:r>
      <w:r w:rsidR="00112BCC" w:rsidRPr="00AE3F1B">
        <w:rPr>
          <w:rFonts w:ascii="Garamond" w:hAnsi="Garamond"/>
          <w:sz w:val="24"/>
          <w:szCs w:val="24"/>
        </w:rPr>
        <w:t xml:space="preserve"> W szczególności ID Sp. z o.o. </w:t>
      </w:r>
      <w:r w:rsidR="00C96488" w:rsidRPr="00AE3F1B">
        <w:rPr>
          <w:rFonts w:ascii="Garamond" w:hAnsi="Garamond"/>
          <w:sz w:val="24"/>
          <w:szCs w:val="24"/>
        </w:rPr>
        <w:t>stosuje następujące standardy jakościowe obsługi odbiorców:</w:t>
      </w:r>
    </w:p>
    <w:p w14:paraId="20B20218" w14:textId="77777777" w:rsidR="002A143B" w:rsidRPr="00AE3F1B" w:rsidRDefault="00DA12DF">
      <w:pPr>
        <w:numPr>
          <w:ilvl w:val="3"/>
          <w:numId w:val="3"/>
        </w:numPr>
        <w:spacing w:after="11" w:line="249" w:lineRule="auto"/>
        <w:ind w:left="567" w:right="-3" w:hanging="567"/>
        <w:jc w:val="left"/>
        <w:rPr>
          <w:rFonts w:ascii="Garamond" w:hAnsi="Garamond"/>
          <w:sz w:val="24"/>
          <w:szCs w:val="24"/>
        </w:rPr>
      </w:pPr>
      <w:r w:rsidRPr="00AE3F1B">
        <w:rPr>
          <w:rFonts w:ascii="Garamond" w:hAnsi="Garamond"/>
          <w:sz w:val="24"/>
          <w:szCs w:val="24"/>
        </w:rPr>
        <w:t>przyjmuje od odbiorców przez całą dobę zgłoszenia i reklamacje dotyczące dostarczania energii elektrycznej z sieci dystrybucyjnej,</w:t>
      </w:r>
    </w:p>
    <w:p w14:paraId="68070837" w14:textId="77777777" w:rsidR="002A143B" w:rsidRPr="00AE3F1B" w:rsidRDefault="00DA12DF">
      <w:pPr>
        <w:numPr>
          <w:ilvl w:val="3"/>
          <w:numId w:val="3"/>
        </w:numPr>
        <w:spacing w:after="174"/>
        <w:ind w:left="567" w:right="-3" w:hanging="567"/>
        <w:jc w:val="left"/>
        <w:rPr>
          <w:rFonts w:ascii="Garamond" w:hAnsi="Garamond"/>
          <w:sz w:val="24"/>
          <w:szCs w:val="24"/>
        </w:rPr>
      </w:pPr>
      <w:r w:rsidRPr="00AE3F1B">
        <w:rPr>
          <w:rFonts w:ascii="Garamond" w:hAnsi="Garamond"/>
          <w:sz w:val="24"/>
          <w:szCs w:val="24"/>
        </w:rPr>
        <w:lastRenderedPageBreak/>
        <w:t>bezzwłocznie przystępuje do usuwania zakłóceń w dostarczaniu energii elektrycznej spowodowanych nieprawidłową pracą sieci dystrybucyjnej</w:t>
      </w:r>
      <w:r w:rsidR="00C27CE5" w:rsidRPr="00AE3F1B">
        <w:rPr>
          <w:rFonts w:ascii="Garamond" w:hAnsi="Garamond"/>
          <w:sz w:val="24"/>
          <w:szCs w:val="24"/>
        </w:rPr>
        <w:t>,</w:t>
      </w:r>
    </w:p>
    <w:p w14:paraId="70D31A57" w14:textId="77777777" w:rsidR="001A0C6D" w:rsidRPr="00AE3F1B" w:rsidRDefault="00DA12DF">
      <w:pPr>
        <w:numPr>
          <w:ilvl w:val="3"/>
          <w:numId w:val="3"/>
        </w:numPr>
        <w:spacing w:after="11" w:line="249" w:lineRule="auto"/>
        <w:ind w:left="567" w:right="-3" w:hanging="567"/>
        <w:jc w:val="left"/>
        <w:rPr>
          <w:rFonts w:ascii="Garamond" w:hAnsi="Garamond"/>
          <w:sz w:val="24"/>
          <w:szCs w:val="24"/>
        </w:rPr>
      </w:pPr>
      <w:r w:rsidRPr="00AE3F1B">
        <w:rPr>
          <w:rFonts w:ascii="Garamond" w:hAnsi="Garamond"/>
          <w:sz w:val="24"/>
          <w:szCs w:val="24"/>
        </w:rPr>
        <w:t xml:space="preserve">udziela odbiorcom, na ich żądanie, informacji o przewidywanym </w:t>
      </w:r>
      <w:r w:rsidR="001A0C6D" w:rsidRPr="00AE3F1B">
        <w:rPr>
          <w:rFonts w:ascii="Garamond" w:hAnsi="Garamond"/>
          <w:sz w:val="24"/>
          <w:szCs w:val="24"/>
        </w:rPr>
        <w:t>terminie</w:t>
      </w:r>
      <w:r w:rsidRPr="00AE3F1B">
        <w:rPr>
          <w:rFonts w:ascii="Garamond" w:hAnsi="Garamond"/>
          <w:sz w:val="24"/>
          <w:szCs w:val="24"/>
        </w:rPr>
        <w:t xml:space="preserve"> wznowienia dostarczania energii elektrycznej przerwanego z powodu awarii w sieci dystrybucyjnej,</w:t>
      </w:r>
      <w:r w:rsidR="001A0C6D" w:rsidRPr="00AE3F1B">
        <w:rPr>
          <w:rFonts w:ascii="Garamond" w:hAnsi="Garamond"/>
          <w:sz w:val="24"/>
          <w:szCs w:val="24"/>
        </w:rPr>
        <w:tab/>
      </w:r>
      <w:r w:rsidR="001A0C6D" w:rsidRPr="00AE3F1B">
        <w:rPr>
          <w:rFonts w:ascii="Garamond" w:hAnsi="Garamond"/>
          <w:sz w:val="24"/>
          <w:szCs w:val="24"/>
        </w:rPr>
        <w:tab/>
      </w:r>
      <w:r w:rsidR="001A0C6D" w:rsidRPr="00AE3F1B">
        <w:rPr>
          <w:rFonts w:ascii="Garamond" w:hAnsi="Garamond"/>
          <w:sz w:val="24"/>
          <w:szCs w:val="24"/>
        </w:rPr>
        <w:tab/>
      </w:r>
      <w:r w:rsidR="001A0C6D" w:rsidRPr="00AE3F1B">
        <w:rPr>
          <w:rFonts w:ascii="Garamond" w:hAnsi="Garamond"/>
          <w:sz w:val="24"/>
          <w:szCs w:val="24"/>
        </w:rPr>
        <w:tab/>
      </w:r>
      <w:r w:rsidR="001A0C6D" w:rsidRPr="00AE3F1B">
        <w:rPr>
          <w:rFonts w:ascii="Garamond" w:hAnsi="Garamond"/>
          <w:sz w:val="24"/>
          <w:szCs w:val="24"/>
        </w:rPr>
        <w:tab/>
      </w:r>
    </w:p>
    <w:p w14:paraId="6DA67F2D" w14:textId="77777777" w:rsidR="002A143B" w:rsidRPr="00AE3F1B" w:rsidRDefault="00DA12DF">
      <w:pPr>
        <w:numPr>
          <w:ilvl w:val="3"/>
          <w:numId w:val="3"/>
        </w:numPr>
        <w:spacing w:after="11" w:line="249" w:lineRule="auto"/>
        <w:ind w:left="567" w:right="-3" w:hanging="567"/>
        <w:jc w:val="left"/>
        <w:rPr>
          <w:rFonts w:ascii="Garamond" w:hAnsi="Garamond"/>
          <w:sz w:val="24"/>
          <w:szCs w:val="24"/>
        </w:rPr>
      </w:pPr>
      <w:r w:rsidRPr="00AE3F1B">
        <w:rPr>
          <w:rFonts w:ascii="Garamond" w:hAnsi="Garamond"/>
          <w:sz w:val="24"/>
          <w:szCs w:val="24"/>
        </w:rPr>
        <w:t xml:space="preserve"> powiadamia ze zgodnym z obowiązujący</w:t>
      </w:r>
      <w:r w:rsidR="001A0C6D" w:rsidRPr="00AE3F1B">
        <w:rPr>
          <w:rFonts w:ascii="Garamond" w:hAnsi="Garamond"/>
          <w:sz w:val="24"/>
          <w:szCs w:val="24"/>
        </w:rPr>
        <w:t>mi</w:t>
      </w:r>
      <w:r w:rsidRPr="00AE3F1B">
        <w:rPr>
          <w:rFonts w:ascii="Garamond" w:hAnsi="Garamond"/>
          <w:sz w:val="24"/>
          <w:szCs w:val="24"/>
        </w:rPr>
        <w:t xml:space="preserve"> przepisami wyprzedzeniem, o terminach, czasie planowanych przerw w dostarczaniu energii elektrycznej oraz zmian</w:t>
      </w:r>
      <w:r w:rsidR="00112BCC" w:rsidRPr="00AE3F1B">
        <w:rPr>
          <w:rFonts w:ascii="Garamond" w:hAnsi="Garamond"/>
          <w:sz w:val="24"/>
          <w:szCs w:val="24"/>
        </w:rPr>
        <w:t xml:space="preserve">ie funkcjonowania </w:t>
      </w:r>
      <w:r w:rsidRPr="00AE3F1B">
        <w:rPr>
          <w:rFonts w:ascii="Garamond" w:hAnsi="Garamond"/>
          <w:sz w:val="24"/>
          <w:szCs w:val="24"/>
        </w:rPr>
        <w:t xml:space="preserve">odbiorców zasilanych z sieci dystrybucyjnej </w:t>
      </w:r>
      <w:r w:rsidR="001A0C6D" w:rsidRPr="00AE3F1B">
        <w:rPr>
          <w:rFonts w:ascii="Garamond" w:hAnsi="Garamond"/>
          <w:sz w:val="24"/>
          <w:szCs w:val="24"/>
        </w:rPr>
        <w:t>ID Sp. z o.o</w:t>
      </w:r>
      <w:r w:rsidRPr="00AE3F1B">
        <w:rPr>
          <w:rFonts w:ascii="Garamond" w:hAnsi="Garamond"/>
          <w:sz w:val="24"/>
          <w:szCs w:val="24"/>
        </w:rPr>
        <w:t>.,</w:t>
      </w:r>
    </w:p>
    <w:p w14:paraId="2769E00E" w14:textId="77777777" w:rsidR="002A143B" w:rsidRPr="00AE3F1B" w:rsidRDefault="00DA12DF">
      <w:pPr>
        <w:numPr>
          <w:ilvl w:val="3"/>
          <w:numId w:val="7"/>
        </w:numPr>
        <w:spacing w:after="34"/>
        <w:ind w:left="567" w:right="-3" w:hanging="567"/>
        <w:jc w:val="left"/>
        <w:rPr>
          <w:rFonts w:ascii="Garamond" w:hAnsi="Garamond"/>
          <w:sz w:val="24"/>
          <w:szCs w:val="24"/>
        </w:rPr>
      </w:pPr>
      <w:r w:rsidRPr="00AE3F1B">
        <w:rPr>
          <w:rFonts w:ascii="Garamond" w:hAnsi="Garamond"/>
          <w:sz w:val="24"/>
          <w:szCs w:val="24"/>
        </w:rPr>
        <w:t>odpłatnie podejmuje stosowne czynności w sieci dystrybucyjnej w celu umożliwienia bezpiecznego wykonania, przez odbiorcę lub inny podmiot, prac w obszarze oddziaływania tej sieci,</w:t>
      </w:r>
    </w:p>
    <w:p w14:paraId="23C5328F" w14:textId="77777777" w:rsidR="002A143B" w:rsidRPr="00AE3F1B" w:rsidRDefault="00DA12DF">
      <w:pPr>
        <w:numPr>
          <w:ilvl w:val="3"/>
          <w:numId w:val="7"/>
        </w:numPr>
        <w:spacing w:after="40"/>
        <w:ind w:left="567" w:right="-3" w:hanging="567"/>
        <w:jc w:val="left"/>
        <w:rPr>
          <w:rFonts w:ascii="Garamond" w:hAnsi="Garamond"/>
          <w:sz w:val="24"/>
          <w:szCs w:val="24"/>
        </w:rPr>
      </w:pPr>
      <w:r w:rsidRPr="00AE3F1B">
        <w:rPr>
          <w:rFonts w:ascii="Garamond" w:hAnsi="Garamond"/>
          <w:sz w:val="24"/>
          <w:szCs w:val="24"/>
        </w:rPr>
        <w:t xml:space="preserve">nieodpłatnie udziela informacji w sprawie zasad rozliczeń oraz taryfy </w:t>
      </w:r>
      <w:r w:rsidR="001A0C6D" w:rsidRPr="00AE3F1B">
        <w:rPr>
          <w:rFonts w:ascii="Garamond" w:hAnsi="Garamond"/>
          <w:sz w:val="24"/>
          <w:szCs w:val="24"/>
        </w:rPr>
        <w:t>ID Sp. z o.o.</w:t>
      </w:r>
      <w:r w:rsidRPr="00AE3F1B">
        <w:rPr>
          <w:rFonts w:ascii="Garamond" w:hAnsi="Garamond"/>
          <w:sz w:val="24"/>
          <w:szCs w:val="24"/>
        </w:rPr>
        <w:t>,</w:t>
      </w:r>
    </w:p>
    <w:p w14:paraId="5F3157A3" w14:textId="77777777" w:rsidR="002A143B" w:rsidRPr="00AE3F1B" w:rsidRDefault="00DA12DF">
      <w:pPr>
        <w:numPr>
          <w:ilvl w:val="3"/>
          <w:numId w:val="7"/>
        </w:numPr>
        <w:ind w:left="567" w:right="-3" w:hanging="567"/>
        <w:jc w:val="left"/>
        <w:rPr>
          <w:rFonts w:ascii="Garamond" w:hAnsi="Garamond"/>
          <w:sz w:val="24"/>
          <w:szCs w:val="24"/>
        </w:rPr>
      </w:pPr>
      <w:r w:rsidRPr="00AE3F1B">
        <w:rPr>
          <w:rFonts w:ascii="Garamond" w:hAnsi="Garamond"/>
          <w:sz w:val="24"/>
          <w:szCs w:val="24"/>
        </w:rPr>
        <w:t>rozpatruje wnioski lub reklamacje odbiorcy w sprawie rozliczeń i udziela odpowiedzi nie później niż w terminie 14 dni od dnia złożenia wniosku lub zgłoszenia reklamacji, chyba że w umowie między stronami określono inny term</w:t>
      </w:r>
      <w:r w:rsidR="001A0C6D" w:rsidRPr="00AE3F1B">
        <w:rPr>
          <w:rFonts w:ascii="Garamond" w:hAnsi="Garamond"/>
          <w:sz w:val="24"/>
          <w:szCs w:val="24"/>
        </w:rPr>
        <w:t>i</w:t>
      </w:r>
      <w:r w:rsidRPr="00AE3F1B">
        <w:rPr>
          <w:rFonts w:ascii="Garamond" w:hAnsi="Garamond"/>
          <w:sz w:val="24"/>
          <w:szCs w:val="24"/>
        </w:rPr>
        <w:t>n,</w:t>
      </w:r>
    </w:p>
    <w:p w14:paraId="02FBF132" w14:textId="77777777" w:rsidR="002A143B" w:rsidRPr="00AE3F1B" w:rsidRDefault="00DA12DF">
      <w:pPr>
        <w:numPr>
          <w:ilvl w:val="3"/>
          <w:numId w:val="7"/>
        </w:numPr>
        <w:spacing w:after="100" w:afterAutospacing="1"/>
        <w:ind w:left="567" w:right="-3" w:hanging="567"/>
        <w:jc w:val="left"/>
        <w:rPr>
          <w:rFonts w:ascii="Garamond" w:hAnsi="Garamond"/>
          <w:sz w:val="24"/>
          <w:szCs w:val="24"/>
        </w:rPr>
      </w:pPr>
      <w:r w:rsidRPr="00AE3F1B">
        <w:rPr>
          <w:rFonts w:ascii="Garamond" w:hAnsi="Garamond"/>
          <w:sz w:val="24"/>
          <w:szCs w:val="24"/>
        </w:rPr>
        <w:t xml:space="preserve">na wniosek odbiorcy, w miarę możliwości technicznych i organizacyjnych, dokonuje sprawdzenia dotrzymania parametrów jakościowych </w:t>
      </w:r>
      <w:r w:rsidR="001A0C6D" w:rsidRPr="00AE3F1B">
        <w:rPr>
          <w:rFonts w:ascii="Garamond" w:hAnsi="Garamond"/>
          <w:sz w:val="24"/>
          <w:szCs w:val="24"/>
        </w:rPr>
        <w:t>energii</w:t>
      </w:r>
      <w:r w:rsidRPr="00AE3F1B">
        <w:rPr>
          <w:rFonts w:ascii="Garamond" w:hAnsi="Garamond"/>
          <w:sz w:val="24"/>
          <w:szCs w:val="24"/>
        </w:rPr>
        <w:t xml:space="preserve"> elektrycznej dostarczanej </w:t>
      </w:r>
      <w:r w:rsidR="00DB18C9" w:rsidRPr="00AE3F1B">
        <w:rPr>
          <w:rFonts w:ascii="Garamond" w:hAnsi="Garamond"/>
          <w:sz w:val="24"/>
          <w:szCs w:val="24"/>
        </w:rPr>
        <w:br/>
      </w:r>
      <w:r w:rsidRPr="00AE3F1B">
        <w:rPr>
          <w:rFonts w:ascii="Garamond" w:hAnsi="Garamond"/>
          <w:sz w:val="24"/>
          <w:szCs w:val="24"/>
        </w:rPr>
        <w:t>z sieci, poprzez wykonanie odpowiednich pomiarów.</w:t>
      </w:r>
    </w:p>
    <w:p w14:paraId="2715C1EC" w14:textId="062EB331" w:rsidR="00937322" w:rsidRDefault="00DB18C9">
      <w:pPr>
        <w:numPr>
          <w:ilvl w:val="3"/>
          <w:numId w:val="7"/>
        </w:numPr>
        <w:spacing w:after="311"/>
        <w:ind w:left="567" w:right="-3" w:hanging="567"/>
        <w:jc w:val="left"/>
        <w:rPr>
          <w:rFonts w:ascii="Garamond" w:hAnsi="Garamond"/>
          <w:sz w:val="24"/>
          <w:szCs w:val="24"/>
        </w:rPr>
      </w:pPr>
      <w:r w:rsidRPr="00AE3F1B">
        <w:rPr>
          <w:rFonts w:ascii="Garamond" w:hAnsi="Garamond"/>
          <w:sz w:val="24"/>
          <w:szCs w:val="24"/>
        </w:rPr>
        <w:t>Udziela bonifikaty w wysokości określonej w taryfie za niedotrzymanie parametrów jakościowych energii lub które określono w umowie. OSD</w:t>
      </w:r>
      <w:r w:rsidR="004D50C2" w:rsidRPr="00AE3F1B">
        <w:rPr>
          <w:rFonts w:ascii="Garamond" w:hAnsi="Garamond"/>
          <w:sz w:val="24"/>
          <w:szCs w:val="24"/>
        </w:rPr>
        <w:t>n</w:t>
      </w:r>
      <w:r w:rsidRPr="00AE3F1B">
        <w:rPr>
          <w:rFonts w:ascii="Garamond" w:hAnsi="Garamond"/>
          <w:sz w:val="24"/>
          <w:szCs w:val="24"/>
        </w:rPr>
        <w:t xml:space="preserve"> rozpatruje reklamacje otrzymane od sprzedawcy w zakresie świadczonych usług dystrybucji w ramach umowy kompleksowej zawartej przez odbiorcę ze sprzedawcą na zasadach i w terminach określonych w rozdziale „E” </w:t>
      </w:r>
      <w:r w:rsidR="0046030C" w:rsidRPr="0046030C">
        <w:rPr>
          <w:rFonts w:ascii="Garamond" w:hAnsi="Garamond"/>
          <w:sz w:val="24"/>
          <w:szCs w:val="24"/>
        </w:rPr>
        <w:t>IRiESD</w:t>
      </w:r>
      <w:r w:rsidRPr="00AE3F1B">
        <w:rPr>
          <w:rFonts w:ascii="Garamond" w:hAnsi="Garamond"/>
          <w:sz w:val="24"/>
          <w:szCs w:val="24"/>
        </w:rPr>
        <w:t>n – bilansowanie.</w:t>
      </w:r>
    </w:p>
    <w:p w14:paraId="592D548F" w14:textId="77777777" w:rsidR="00937322" w:rsidRPr="00937322" w:rsidRDefault="00937322" w:rsidP="00937322">
      <w:pPr>
        <w:spacing w:after="311"/>
        <w:ind w:right="-3"/>
        <w:jc w:val="left"/>
        <w:rPr>
          <w:rFonts w:ascii="Garamond" w:hAnsi="Garamond"/>
          <w:b/>
          <w:bCs/>
          <w:color w:val="0070C0"/>
          <w:sz w:val="24"/>
          <w:szCs w:val="24"/>
        </w:rPr>
      </w:pPr>
      <w:r w:rsidRPr="00937322">
        <w:rPr>
          <w:rFonts w:ascii="Garamond" w:hAnsi="Garamond"/>
          <w:b/>
          <w:bCs/>
          <w:color w:val="0070C0"/>
          <w:sz w:val="24"/>
          <w:szCs w:val="24"/>
        </w:rPr>
        <w:t>I.5. REJESTR MAGAZYNÓW ENERGII ELEKTRYCZNEJ:</w:t>
      </w:r>
    </w:p>
    <w:p w14:paraId="16B7D293" w14:textId="674976FB" w:rsidR="005A5594" w:rsidRDefault="00937322" w:rsidP="005A5594">
      <w:pPr>
        <w:spacing w:after="0"/>
        <w:ind w:right="-3"/>
        <w:jc w:val="left"/>
        <w:rPr>
          <w:rFonts w:ascii="Garamond" w:hAnsi="Garamond"/>
          <w:color w:val="0070C0"/>
          <w:sz w:val="24"/>
          <w:szCs w:val="24"/>
        </w:rPr>
      </w:pPr>
      <w:r w:rsidRPr="00937322">
        <w:rPr>
          <w:rFonts w:ascii="Garamond" w:hAnsi="Garamond"/>
          <w:color w:val="0070C0"/>
          <w:sz w:val="24"/>
          <w:szCs w:val="24"/>
        </w:rPr>
        <w:t>I.5.1.ID Sp. z o.o. prowadzi, w postaci elektronicznej, rejestr magazynów energii elektrycznej o</w:t>
      </w:r>
      <w:r w:rsidR="005A5594">
        <w:rPr>
          <w:rFonts w:ascii="Garamond" w:hAnsi="Garamond"/>
          <w:color w:val="0070C0"/>
          <w:sz w:val="24"/>
          <w:szCs w:val="24"/>
        </w:rPr>
        <w:t xml:space="preserve"> </w:t>
      </w:r>
      <w:r w:rsidRPr="00937322">
        <w:rPr>
          <w:rFonts w:ascii="Garamond" w:hAnsi="Garamond"/>
          <w:color w:val="0070C0"/>
          <w:sz w:val="24"/>
          <w:szCs w:val="24"/>
        </w:rPr>
        <w:t>łącznej mocy zainstalowanej większej niż 50 kW, przyłączonych do sieci dystrybucyjnej ID Sp. z o.o., stanowiących jej część lub wchodzących w skład jednostki wytwórczej lub instalacji odbiorcy końcowego.</w:t>
      </w:r>
    </w:p>
    <w:p w14:paraId="31949A03" w14:textId="3CFED17F" w:rsidR="00937322" w:rsidRDefault="00937322" w:rsidP="00937322">
      <w:pPr>
        <w:spacing w:after="311"/>
        <w:ind w:right="-3"/>
        <w:jc w:val="left"/>
        <w:rPr>
          <w:rFonts w:ascii="Garamond" w:hAnsi="Garamond"/>
          <w:color w:val="0070C0"/>
          <w:sz w:val="24"/>
          <w:szCs w:val="24"/>
        </w:rPr>
      </w:pPr>
      <w:r w:rsidRPr="00937322">
        <w:rPr>
          <w:rFonts w:ascii="Garamond" w:hAnsi="Garamond"/>
          <w:color w:val="0070C0"/>
          <w:sz w:val="24"/>
          <w:szCs w:val="24"/>
        </w:rPr>
        <w:t>I.5.2. Rejestr prowadzony jest zgodnie z wymogami ustawy Prawo energetyczne oraz aktów wykonawczych. Posiadacz magazynu energii zobowiązany jest do przekazania ID Sp. z o.o. informacji niezbędnych do wpisu do rejestru w terminie 14 dni od oddania magazynu do eksploatacji.</w:t>
      </w:r>
    </w:p>
    <w:p w14:paraId="60F5956A" w14:textId="77777777" w:rsidR="008D2A5B" w:rsidRDefault="008D2A5B" w:rsidP="00937322">
      <w:pPr>
        <w:spacing w:after="311"/>
        <w:ind w:right="-3"/>
        <w:jc w:val="left"/>
        <w:rPr>
          <w:rFonts w:ascii="Garamond" w:hAnsi="Garamond"/>
          <w:color w:val="0070C0"/>
          <w:sz w:val="24"/>
          <w:szCs w:val="24"/>
        </w:rPr>
      </w:pPr>
    </w:p>
    <w:p w14:paraId="65D69BDF" w14:textId="77777777" w:rsidR="00BD127A" w:rsidRDefault="00BD127A" w:rsidP="00937322">
      <w:pPr>
        <w:spacing w:after="311"/>
        <w:ind w:right="-3"/>
        <w:jc w:val="left"/>
        <w:rPr>
          <w:rFonts w:ascii="Garamond" w:hAnsi="Garamond"/>
          <w:color w:val="0070C0"/>
          <w:sz w:val="24"/>
          <w:szCs w:val="24"/>
        </w:rPr>
      </w:pPr>
    </w:p>
    <w:p w14:paraId="68B46DCF" w14:textId="77777777" w:rsidR="00BD127A" w:rsidRDefault="00BD127A" w:rsidP="00937322">
      <w:pPr>
        <w:spacing w:after="311"/>
        <w:ind w:right="-3"/>
        <w:jc w:val="left"/>
        <w:rPr>
          <w:rFonts w:ascii="Garamond" w:hAnsi="Garamond"/>
          <w:color w:val="0070C0"/>
          <w:sz w:val="24"/>
          <w:szCs w:val="24"/>
        </w:rPr>
      </w:pPr>
    </w:p>
    <w:p w14:paraId="60AA7F13" w14:textId="77777777" w:rsidR="00BD127A" w:rsidRDefault="00BD127A" w:rsidP="00937322">
      <w:pPr>
        <w:spacing w:after="311"/>
        <w:ind w:right="-3"/>
        <w:jc w:val="left"/>
        <w:rPr>
          <w:rFonts w:ascii="Garamond" w:hAnsi="Garamond"/>
          <w:color w:val="0070C0"/>
          <w:sz w:val="24"/>
          <w:szCs w:val="24"/>
        </w:rPr>
      </w:pPr>
    </w:p>
    <w:p w14:paraId="7204A451" w14:textId="77777777" w:rsidR="005A5594" w:rsidRDefault="005A5594" w:rsidP="00937322">
      <w:pPr>
        <w:spacing w:after="311"/>
        <w:ind w:right="-3"/>
        <w:jc w:val="left"/>
        <w:rPr>
          <w:rFonts w:ascii="Garamond" w:hAnsi="Garamond"/>
          <w:color w:val="0070C0"/>
          <w:sz w:val="24"/>
          <w:szCs w:val="24"/>
        </w:rPr>
      </w:pPr>
    </w:p>
    <w:p w14:paraId="7AB629E3" w14:textId="77777777" w:rsidR="005A5594" w:rsidRDefault="005A5594" w:rsidP="00937322">
      <w:pPr>
        <w:spacing w:after="311"/>
        <w:ind w:right="-3"/>
        <w:jc w:val="left"/>
        <w:rPr>
          <w:rFonts w:ascii="Garamond" w:hAnsi="Garamond"/>
          <w:color w:val="0070C0"/>
          <w:sz w:val="24"/>
          <w:szCs w:val="24"/>
        </w:rPr>
      </w:pPr>
    </w:p>
    <w:p w14:paraId="6AD3AEAC" w14:textId="77777777" w:rsidR="008D2A5B" w:rsidRPr="00937322" w:rsidRDefault="008D2A5B" w:rsidP="00937322">
      <w:pPr>
        <w:spacing w:after="311"/>
        <w:ind w:right="-3"/>
        <w:jc w:val="left"/>
        <w:rPr>
          <w:rFonts w:ascii="Garamond" w:hAnsi="Garamond"/>
          <w:color w:val="0070C0"/>
          <w:sz w:val="24"/>
          <w:szCs w:val="24"/>
        </w:rPr>
      </w:pPr>
    </w:p>
    <w:p w14:paraId="157EEDC9" w14:textId="77777777" w:rsidR="005244A0" w:rsidRPr="003F0562" w:rsidRDefault="007413E8" w:rsidP="006C5B5C">
      <w:pPr>
        <w:pStyle w:val="Nagwek2"/>
        <w:rPr>
          <w:rFonts w:asciiTheme="majorHAnsi" w:hAnsiTheme="majorHAnsi"/>
          <w:b/>
          <w:bCs/>
          <w:sz w:val="24"/>
          <w:szCs w:val="24"/>
        </w:rPr>
      </w:pPr>
      <w:bookmarkStart w:id="4" w:name="_Toc171860215"/>
      <w:bookmarkStart w:id="5" w:name="_Toc171861034"/>
      <w:r w:rsidRPr="003F0562">
        <w:rPr>
          <w:rFonts w:asciiTheme="majorHAnsi" w:hAnsiTheme="majorHAnsi"/>
          <w:b/>
          <w:bCs/>
          <w:sz w:val="24"/>
          <w:szCs w:val="24"/>
        </w:rPr>
        <w:lastRenderedPageBreak/>
        <w:t>II</w:t>
      </w:r>
      <w:r w:rsidR="005244A0" w:rsidRPr="003F0562">
        <w:rPr>
          <w:rFonts w:asciiTheme="majorHAnsi" w:hAnsiTheme="majorHAnsi"/>
          <w:b/>
          <w:bCs/>
          <w:sz w:val="24"/>
          <w:szCs w:val="24"/>
        </w:rPr>
        <w:t>.</w:t>
      </w:r>
      <w:r w:rsidR="005244A0" w:rsidRPr="003F0562">
        <w:rPr>
          <w:rFonts w:asciiTheme="majorHAnsi" w:hAnsiTheme="majorHAnsi"/>
          <w:b/>
          <w:bCs/>
          <w:sz w:val="24"/>
          <w:szCs w:val="24"/>
        </w:rPr>
        <w:tab/>
      </w:r>
      <w:r w:rsidR="003F0562">
        <w:rPr>
          <w:rFonts w:asciiTheme="majorHAnsi" w:hAnsiTheme="majorHAnsi"/>
          <w:b/>
          <w:bCs/>
          <w:sz w:val="24"/>
          <w:szCs w:val="24"/>
        </w:rPr>
        <w:t xml:space="preserve">Przyłączanie do sieci dystrybucyjnej wytwórczych sieci, urządzeń </w:t>
      </w:r>
      <w:r w:rsidR="00C4362D">
        <w:rPr>
          <w:rFonts w:asciiTheme="majorHAnsi" w:hAnsiTheme="majorHAnsi"/>
          <w:b/>
          <w:bCs/>
          <w:sz w:val="24"/>
          <w:szCs w:val="24"/>
        </w:rPr>
        <w:br/>
      </w:r>
      <w:r w:rsidR="003F0562">
        <w:rPr>
          <w:rFonts w:asciiTheme="majorHAnsi" w:hAnsiTheme="majorHAnsi"/>
          <w:b/>
          <w:bCs/>
          <w:sz w:val="24"/>
          <w:szCs w:val="24"/>
        </w:rPr>
        <w:t>odbiorców końcowych</w:t>
      </w:r>
      <w:bookmarkEnd w:id="4"/>
      <w:bookmarkEnd w:id="5"/>
    </w:p>
    <w:p w14:paraId="4174F5D6" w14:textId="77777777" w:rsidR="005244A0" w:rsidRPr="00BB01D3" w:rsidRDefault="00E10E14" w:rsidP="00175586">
      <w:pPr>
        <w:keepNext/>
        <w:keepLines/>
        <w:tabs>
          <w:tab w:val="center" w:pos="2461"/>
        </w:tabs>
        <w:spacing w:after="192" w:line="248" w:lineRule="auto"/>
        <w:ind w:left="567" w:right="-3" w:hanging="567"/>
        <w:jc w:val="left"/>
        <w:outlineLvl w:val="1"/>
        <w:rPr>
          <w:rFonts w:asciiTheme="majorHAnsi" w:hAnsiTheme="majorHAnsi"/>
          <w:b/>
          <w:bCs/>
          <w:sz w:val="24"/>
          <w:szCs w:val="24"/>
        </w:rPr>
      </w:pPr>
      <w:bookmarkStart w:id="6" w:name="_Toc171860216"/>
      <w:bookmarkStart w:id="7" w:name="_Toc171861035"/>
      <w:r w:rsidRPr="00BB01D3">
        <w:rPr>
          <w:rFonts w:asciiTheme="majorHAnsi" w:hAnsiTheme="majorHAnsi"/>
          <w:b/>
          <w:bCs/>
          <w:sz w:val="24"/>
          <w:szCs w:val="24"/>
        </w:rPr>
        <w:t>II</w:t>
      </w:r>
      <w:r w:rsidR="005244A0" w:rsidRPr="00BB01D3">
        <w:rPr>
          <w:rFonts w:asciiTheme="majorHAnsi" w:hAnsiTheme="majorHAnsi"/>
          <w:b/>
          <w:bCs/>
          <w:sz w:val="24"/>
          <w:szCs w:val="24"/>
        </w:rPr>
        <w:t>.1</w:t>
      </w:r>
      <w:r w:rsidR="005244A0" w:rsidRPr="00BB01D3">
        <w:rPr>
          <w:rFonts w:asciiTheme="majorHAnsi" w:hAnsiTheme="majorHAnsi"/>
          <w:b/>
          <w:bCs/>
          <w:sz w:val="24"/>
          <w:szCs w:val="24"/>
        </w:rPr>
        <w:tab/>
      </w:r>
      <w:r w:rsidR="00CF48D3" w:rsidRPr="00BB01D3">
        <w:rPr>
          <w:rFonts w:asciiTheme="majorHAnsi" w:hAnsiTheme="majorHAnsi"/>
          <w:b/>
          <w:bCs/>
          <w:sz w:val="24"/>
          <w:szCs w:val="24"/>
        </w:rPr>
        <w:t>Zasady przyłączania</w:t>
      </w:r>
      <w:bookmarkEnd w:id="6"/>
      <w:bookmarkEnd w:id="7"/>
    </w:p>
    <w:p w14:paraId="3F07E6F6" w14:textId="72B50377" w:rsidR="005244A0" w:rsidRPr="00AE3F1B" w:rsidRDefault="00E10E14" w:rsidP="00175586">
      <w:pPr>
        <w:spacing w:after="110" w:line="253" w:lineRule="auto"/>
        <w:ind w:left="567" w:right="-3" w:hanging="567"/>
        <w:jc w:val="left"/>
        <w:rPr>
          <w:rFonts w:ascii="Garamond" w:hAnsi="Garamond"/>
          <w:sz w:val="24"/>
          <w:szCs w:val="24"/>
        </w:rPr>
      </w:pPr>
      <w:r w:rsidRPr="00AE3F1B">
        <w:rPr>
          <w:rFonts w:ascii="Garamond" w:hAnsi="Garamond"/>
          <w:sz w:val="24"/>
          <w:szCs w:val="24"/>
        </w:rPr>
        <w:t>II</w:t>
      </w:r>
      <w:r w:rsidR="005244A0" w:rsidRPr="00AE3F1B">
        <w:rPr>
          <w:rFonts w:ascii="Garamond" w:hAnsi="Garamond"/>
          <w:sz w:val="24"/>
          <w:szCs w:val="24"/>
        </w:rPr>
        <w:t xml:space="preserve">.1.1 Przyłączanie do sieci dystrybucyjnej ID Sp. z o.o. następuje na podstawie umowy o przyłączenie i po spełnieniu warunków przyłączenia, określonych przez ID Sp. z o.o. oraz określonych w ustawie Prawo energetyczne albo na podstawie zgłoszenia przyłączenia mikroinstalacji, o którym mowa w punkcie </w:t>
      </w:r>
      <w:r w:rsidR="007413E8" w:rsidRPr="00AE3F1B">
        <w:rPr>
          <w:rFonts w:ascii="Garamond" w:hAnsi="Garamond"/>
          <w:sz w:val="24"/>
          <w:szCs w:val="24"/>
        </w:rPr>
        <w:t>II</w:t>
      </w:r>
      <w:r w:rsidR="005244A0" w:rsidRPr="00AE3F1B">
        <w:rPr>
          <w:rFonts w:ascii="Garamond" w:hAnsi="Garamond"/>
          <w:sz w:val="24"/>
          <w:szCs w:val="24"/>
        </w:rPr>
        <w:t>.1.16.</w:t>
      </w:r>
    </w:p>
    <w:p w14:paraId="2D344B80" w14:textId="2552F234" w:rsidR="005244A0" w:rsidRPr="00AE3F1B" w:rsidRDefault="00E10E14" w:rsidP="00175586">
      <w:pPr>
        <w:spacing w:line="253" w:lineRule="auto"/>
        <w:ind w:left="567" w:right="-3" w:hanging="567"/>
        <w:jc w:val="left"/>
        <w:rPr>
          <w:rFonts w:ascii="Garamond" w:hAnsi="Garamond"/>
          <w:sz w:val="24"/>
          <w:szCs w:val="24"/>
        </w:rPr>
      </w:pPr>
      <w:r w:rsidRPr="00AE3F1B">
        <w:rPr>
          <w:rFonts w:ascii="Garamond" w:hAnsi="Garamond"/>
          <w:sz w:val="24"/>
          <w:szCs w:val="24"/>
        </w:rPr>
        <w:t>II</w:t>
      </w:r>
      <w:r w:rsidR="005244A0" w:rsidRPr="00AE3F1B">
        <w:rPr>
          <w:rFonts w:ascii="Garamond" w:hAnsi="Garamond"/>
          <w:sz w:val="24"/>
          <w:szCs w:val="24"/>
        </w:rPr>
        <w:t>.1.2. Procedura przyłączenia do sieci dystrybucyjnej OSD</w:t>
      </w:r>
      <w:r w:rsidR="00643D21" w:rsidRPr="00AE3F1B">
        <w:rPr>
          <w:rFonts w:ascii="Garamond" w:hAnsi="Garamond"/>
          <w:sz w:val="24"/>
          <w:szCs w:val="24"/>
        </w:rPr>
        <w:t>n</w:t>
      </w:r>
      <w:r w:rsidR="005244A0" w:rsidRPr="00AE3F1B">
        <w:rPr>
          <w:rFonts w:ascii="Garamond" w:hAnsi="Garamond"/>
          <w:sz w:val="24"/>
          <w:szCs w:val="24"/>
        </w:rPr>
        <w:t>, z wyłączeniem mikroinstalacji przyłączanych na podstawie zgłoszenia, obejmuje:</w:t>
      </w:r>
    </w:p>
    <w:p w14:paraId="4A414910" w14:textId="77777777" w:rsidR="005244A0" w:rsidRPr="00AE3F1B" w:rsidRDefault="005244A0">
      <w:pPr>
        <w:numPr>
          <w:ilvl w:val="0"/>
          <w:numId w:val="18"/>
        </w:numPr>
        <w:spacing w:line="253" w:lineRule="auto"/>
        <w:ind w:left="709" w:right="-3" w:hanging="425"/>
        <w:jc w:val="left"/>
        <w:rPr>
          <w:rFonts w:ascii="Garamond" w:hAnsi="Garamond"/>
          <w:sz w:val="24"/>
          <w:szCs w:val="24"/>
        </w:rPr>
      </w:pPr>
      <w:r w:rsidRPr="00AE3F1B">
        <w:rPr>
          <w:rFonts w:ascii="Garamond" w:hAnsi="Garamond"/>
          <w:sz w:val="24"/>
          <w:szCs w:val="24"/>
        </w:rPr>
        <w:t>pozyskanie przez podmiot od OSD</w:t>
      </w:r>
      <w:r w:rsidR="00643D21" w:rsidRPr="00AE3F1B">
        <w:rPr>
          <w:rFonts w:ascii="Garamond" w:hAnsi="Garamond"/>
          <w:sz w:val="24"/>
          <w:szCs w:val="24"/>
        </w:rPr>
        <w:t>n</w:t>
      </w:r>
      <w:r w:rsidRPr="00AE3F1B">
        <w:rPr>
          <w:rFonts w:ascii="Garamond" w:hAnsi="Garamond"/>
          <w:sz w:val="24"/>
          <w:szCs w:val="24"/>
        </w:rPr>
        <w:t>, wzoru wniosku o określenie warunków przyłączenia,</w:t>
      </w:r>
    </w:p>
    <w:p w14:paraId="459CC34E" w14:textId="77777777" w:rsidR="00B70465" w:rsidRPr="00AE3F1B" w:rsidRDefault="005244A0">
      <w:pPr>
        <w:numPr>
          <w:ilvl w:val="0"/>
          <w:numId w:val="18"/>
        </w:numPr>
        <w:spacing w:line="253" w:lineRule="auto"/>
        <w:ind w:left="709" w:right="-3" w:hanging="425"/>
        <w:jc w:val="left"/>
        <w:rPr>
          <w:rFonts w:ascii="Garamond" w:hAnsi="Garamond"/>
          <w:sz w:val="24"/>
          <w:szCs w:val="24"/>
        </w:rPr>
      </w:pPr>
      <w:r w:rsidRPr="00AE3F1B">
        <w:rPr>
          <w:rFonts w:ascii="Garamond" w:hAnsi="Garamond"/>
          <w:sz w:val="24"/>
          <w:szCs w:val="24"/>
        </w:rPr>
        <w:t xml:space="preserve">złożenie przez podmiot do ID Sp. z o.o., wniosku o określenie warunków przyłączenia </w:t>
      </w:r>
      <w:r w:rsidR="004D50C2" w:rsidRPr="00AE3F1B">
        <w:rPr>
          <w:rFonts w:ascii="Garamond" w:hAnsi="Garamond"/>
          <w:sz w:val="24"/>
          <w:szCs w:val="24"/>
        </w:rPr>
        <w:br/>
      </w:r>
      <w:r w:rsidRPr="00AE3F1B">
        <w:rPr>
          <w:rFonts w:ascii="Garamond" w:hAnsi="Garamond"/>
          <w:sz w:val="24"/>
          <w:szCs w:val="24"/>
        </w:rPr>
        <w:t>wraz z wymaganymi załącznikami, zgodnego ze wzorem określonym przez OSD</w:t>
      </w:r>
      <w:r w:rsidR="00643D21" w:rsidRPr="00AE3F1B">
        <w:rPr>
          <w:rFonts w:ascii="Garamond" w:hAnsi="Garamond"/>
          <w:sz w:val="24"/>
          <w:szCs w:val="24"/>
        </w:rPr>
        <w:t>n</w:t>
      </w:r>
      <w:r w:rsidR="00505AE3" w:rsidRPr="00AE3F1B">
        <w:rPr>
          <w:rFonts w:ascii="Garamond" w:hAnsi="Garamond"/>
          <w:sz w:val="24"/>
          <w:szCs w:val="24"/>
        </w:rPr>
        <w:t xml:space="preserve">. </w:t>
      </w:r>
      <w:r w:rsidRPr="00AE3F1B">
        <w:rPr>
          <w:rFonts w:ascii="Garamond" w:hAnsi="Garamond"/>
          <w:sz w:val="24"/>
          <w:szCs w:val="24"/>
        </w:rPr>
        <w:t>Wniosek składa się w formie pisemnej, dokumentowej lub elektronicznej opatrzonej kwalifikowanym podpisem elektronicznym lub profilem zaufanym e</w:t>
      </w:r>
      <w:r w:rsidR="00643D21" w:rsidRPr="00AE3F1B">
        <w:rPr>
          <w:rFonts w:ascii="Garamond" w:hAnsi="Garamond"/>
          <w:sz w:val="24"/>
          <w:szCs w:val="24"/>
        </w:rPr>
        <w:t>-</w:t>
      </w:r>
      <w:r w:rsidRPr="00AE3F1B">
        <w:rPr>
          <w:rFonts w:ascii="Garamond" w:hAnsi="Garamond"/>
          <w:sz w:val="24"/>
          <w:szCs w:val="24"/>
        </w:rPr>
        <w:t xml:space="preserve">PUAP, </w:t>
      </w:r>
    </w:p>
    <w:p w14:paraId="29FD4EAB" w14:textId="77777777" w:rsidR="005244A0" w:rsidRPr="00AE3F1B" w:rsidRDefault="005244A0">
      <w:pPr>
        <w:numPr>
          <w:ilvl w:val="0"/>
          <w:numId w:val="18"/>
        </w:numPr>
        <w:spacing w:line="253" w:lineRule="auto"/>
        <w:ind w:left="709" w:right="-3" w:hanging="425"/>
        <w:jc w:val="left"/>
        <w:rPr>
          <w:rFonts w:ascii="Garamond" w:hAnsi="Garamond"/>
          <w:sz w:val="24"/>
          <w:szCs w:val="24"/>
        </w:rPr>
      </w:pPr>
      <w:r w:rsidRPr="00AE3F1B">
        <w:rPr>
          <w:rFonts w:ascii="Garamond" w:hAnsi="Garamond"/>
          <w:sz w:val="24"/>
          <w:szCs w:val="24"/>
        </w:rPr>
        <w:t xml:space="preserve">w przypadku podmiotów ubiegających się o przyłączenie źródła energii elektrycznej do sieci elektroenergetycznej o napięciu znamionowym wyższym niż 1 </w:t>
      </w:r>
      <w:proofErr w:type="spellStart"/>
      <w:r w:rsidRPr="00AE3F1B">
        <w:rPr>
          <w:rFonts w:ascii="Garamond" w:hAnsi="Garamond"/>
          <w:sz w:val="24"/>
          <w:szCs w:val="24"/>
        </w:rPr>
        <w:t>kV</w:t>
      </w:r>
      <w:proofErr w:type="spellEnd"/>
      <w:r w:rsidRPr="00AE3F1B">
        <w:rPr>
          <w:rFonts w:ascii="Garamond" w:hAnsi="Garamond"/>
          <w:sz w:val="24"/>
          <w:szCs w:val="24"/>
        </w:rPr>
        <w:t xml:space="preserve"> (z wyłączeniem przypadków określonych w Ustawie) wpłacenie na rachunek bankowy, wskazany przez OSD</w:t>
      </w:r>
      <w:r w:rsidR="00643D21" w:rsidRPr="00AE3F1B">
        <w:rPr>
          <w:rFonts w:ascii="Garamond" w:hAnsi="Garamond"/>
          <w:sz w:val="24"/>
          <w:szCs w:val="24"/>
        </w:rPr>
        <w:t>n</w:t>
      </w:r>
      <w:r w:rsidRPr="00AE3F1B">
        <w:rPr>
          <w:rFonts w:ascii="Garamond" w:hAnsi="Garamond"/>
          <w:sz w:val="24"/>
          <w:szCs w:val="24"/>
        </w:rPr>
        <w:t>, zaliczki na poczet opłaty za przyłączenie do sieci. Zaliczkę wnosi się w ciągu 14 dni kalendarzowych od dnia złożenia wniosku o określenie warunków przyłączenia, pod rygorem pozostawienia wniosku bez rozpatrzenia,</w:t>
      </w:r>
    </w:p>
    <w:p w14:paraId="75BFCCF6" w14:textId="77777777" w:rsidR="005244A0" w:rsidRPr="00AE3F1B" w:rsidRDefault="005244A0">
      <w:pPr>
        <w:numPr>
          <w:ilvl w:val="0"/>
          <w:numId w:val="19"/>
        </w:numPr>
        <w:spacing w:line="253" w:lineRule="auto"/>
        <w:ind w:left="709" w:right="-3" w:hanging="425"/>
        <w:jc w:val="left"/>
        <w:rPr>
          <w:rFonts w:ascii="Garamond" w:hAnsi="Garamond"/>
          <w:sz w:val="24"/>
          <w:szCs w:val="24"/>
        </w:rPr>
      </w:pPr>
      <w:r w:rsidRPr="00AE3F1B">
        <w:rPr>
          <w:rFonts w:ascii="Garamond" w:hAnsi="Garamond"/>
          <w:sz w:val="24"/>
          <w:szCs w:val="24"/>
        </w:rPr>
        <w:t>w przypadku wniesienia zaliczki na poczet opłaty za przyłączenie przed dniem złożenia wniosku o określenie warunków przyłączenia, ID Sp. z o.o. niezwłocznie zwraca zaliczkę,</w:t>
      </w:r>
    </w:p>
    <w:p w14:paraId="5A26E736" w14:textId="77777777" w:rsidR="005244A0" w:rsidRPr="00AE3F1B" w:rsidRDefault="005244A0">
      <w:pPr>
        <w:numPr>
          <w:ilvl w:val="0"/>
          <w:numId w:val="19"/>
        </w:numPr>
        <w:spacing w:line="253" w:lineRule="auto"/>
        <w:ind w:left="709" w:right="-3" w:hanging="425"/>
        <w:jc w:val="left"/>
        <w:rPr>
          <w:rFonts w:ascii="Garamond" w:hAnsi="Garamond"/>
          <w:sz w:val="24"/>
          <w:szCs w:val="24"/>
        </w:rPr>
      </w:pPr>
      <w:r w:rsidRPr="00AE3F1B">
        <w:rPr>
          <w:rFonts w:ascii="Garamond" w:hAnsi="Garamond"/>
          <w:sz w:val="24"/>
          <w:szCs w:val="24"/>
        </w:rPr>
        <w:t>jeżeli złożony wniosek, jest niezgodny z wzorem udostępnionym przez ID Sp. z o.o., nie spełnia wymagań określonych odpowiednio dla danego rodzaju wniosku, OSD</w:t>
      </w:r>
      <w:r w:rsidR="00643D21" w:rsidRPr="00AE3F1B">
        <w:rPr>
          <w:rFonts w:ascii="Garamond" w:hAnsi="Garamond"/>
          <w:sz w:val="24"/>
          <w:szCs w:val="24"/>
        </w:rPr>
        <w:t>n</w:t>
      </w:r>
      <w:r w:rsidRPr="00AE3F1B">
        <w:rPr>
          <w:rFonts w:ascii="Garamond" w:hAnsi="Garamond"/>
          <w:sz w:val="24"/>
          <w:szCs w:val="24"/>
        </w:rPr>
        <w:t xml:space="preserve"> wzywa wnioskodawcę do usunięcia braków w terminie 14 dni od dnia otrzymania wezwania z pouczeniem, że nieusunięcie braków w wyznaczonym terminie spowoduje pozostawienie wniosku bez rozpoznania,</w:t>
      </w:r>
    </w:p>
    <w:p w14:paraId="2180E78C" w14:textId="77777777" w:rsidR="005244A0" w:rsidRPr="00AE3F1B" w:rsidRDefault="005244A0">
      <w:pPr>
        <w:numPr>
          <w:ilvl w:val="0"/>
          <w:numId w:val="19"/>
        </w:numPr>
        <w:spacing w:line="253" w:lineRule="auto"/>
        <w:ind w:left="709" w:right="-3" w:hanging="425"/>
        <w:jc w:val="left"/>
        <w:rPr>
          <w:rFonts w:ascii="Garamond" w:hAnsi="Garamond"/>
          <w:sz w:val="24"/>
          <w:szCs w:val="24"/>
        </w:rPr>
      </w:pPr>
      <w:r w:rsidRPr="00AE3F1B">
        <w:rPr>
          <w:rFonts w:ascii="Garamond" w:hAnsi="Garamond"/>
          <w:sz w:val="24"/>
          <w:szCs w:val="24"/>
        </w:rPr>
        <w:t>w przypadku nieusunięcia braków w wyznaczonym terminie, wniosek pozostawia się bez rozpoznania, o czym OSD</w:t>
      </w:r>
      <w:r w:rsidR="00643D21" w:rsidRPr="00AE3F1B">
        <w:rPr>
          <w:rFonts w:ascii="Garamond" w:hAnsi="Garamond"/>
          <w:sz w:val="24"/>
          <w:szCs w:val="24"/>
        </w:rPr>
        <w:t>n</w:t>
      </w:r>
      <w:r w:rsidRPr="00AE3F1B">
        <w:rPr>
          <w:rFonts w:ascii="Garamond" w:hAnsi="Garamond"/>
          <w:sz w:val="24"/>
          <w:szCs w:val="24"/>
        </w:rPr>
        <w:t xml:space="preserve"> informuje wnioskodawcę,</w:t>
      </w:r>
    </w:p>
    <w:p w14:paraId="693FB309" w14:textId="77777777" w:rsidR="005244A0" w:rsidRPr="00AE3F1B" w:rsidRDefault="005244A0">
      <w:pPr>
        <w:numPr>
          <w:ilvl w:val="0"/>
          <w:numId w:val="19"/>
        </w:numPr>
        <w:spacing w:line="253" w:lineRule="auto"/>
        <w:ind w:left="709" w:right="-3" w:hanging="425"/>
        <w:jc w:val="left"/>
        <w:rPr>
          <w:rFonts w:ascii="Garamond" w:hAnsi="Garamond"/>
          <w:sz w:val="24"/>
          <w:szCs w:val="24"/>
        </w:rPr>
      </w:pPr>
      <w:r w:rsidRPr="00AE3F1B">
        <w:rPr>
          <w:rFonts w:ascii="Garamond" w:hAnsi="Garamond"/>
          <w:sz w:val="24"/>
          <w:szCs w:val="24"/>
        </w:rPr>
        <w:t>ID Sp. z o.o. na żądanie wnioskodawcy, potwierdza w formie pisemnej, dokumentowej lub elektronicznej złożenie wniosku, określając w szczególności datę jego złożenia,</w:t>
      </w:r>
    </w:p>
    <w:p w14:paraId="4BC43D8E" w14:textId="64100987" w:rsidR="005244A0" w:rsidRPr="00AE3F1B" w:rsidRDefault="005244A0">
      <w:pPr>
        <w:numPr>
          <w:ilvl w:val="0"/>
          <w:numId w:val="19"/>
        </w:numPr>
        <w:spacing w:after="229" w:line="253" w:lineRule="auto"/>
        <w:ind w:left="709" w:right="-3" w:hanging="425"/>
        <w:jc w:val="left"/>
        <w:rPr>
          <w:rFonts w:ascii="Garamond" w:hAnsi="Garamond"/>
          <w:sz w:val="24"/>
          <w:szCs w:val="24"/>
        </w:rPr>
      </w:pPr>
      <w:r w:rsidRPr="00AE3F1B">
        <w:rPr>
          <w:rFonts w:ascii="Garamond" w:hAnsi="Garamond"/>
          <w:sz w:val="24"/>
          <w:szCs w:val="24"/>
        </w:rPr>
        <w:t>w przypadku urządzeń, instalacji lub sieci przyłączanych bezpośrednio do sieci o napięciu znamionowym wyższym niż 1kV, zapewnienie przez OSD</w:t>
      </w:r>
      <w:r w:rsidR="00643D21" w:rsidRPr="00AE3F1B">
        <w:rPr>
          <w:rFonts w:ascii="Garamond" w:hAnsi="Garamond"/>
          <w:sz w:val="24"/>
          <w:szCs w:val="24"/>
        </w:rPr>
        <w:t>n</w:t>
      </w:r>
      <w:r w:rsidRPr="00AE3F1B">
        <w:rPr>
          <w:rFonts w:ascii="Garamond" w:hAnsi="Garamond"/>
          <w:sz w:val="24"/>
          <w:szCs w:val="24"/>
        </w:rPr>
        <w:t xml:space="preserve"> wykonania ekspertyzy wpływu tych urządzeń, instalacji lub sieci na system elektroenergetyczny, z wyjątkiem przyłączanych jednostek wytwórczych o łącznej mocy zainstalowanej nie większej niż 2 MW, lub urządzeń odbiorcy końcowego o łącznej mocy przyłączeniowej nie większej niż 5 MW,</w:t>
      </w:r>
    </w:p>
    <w:p w14:paraId="427A4FE5" w14:textId="77777777" w:rsidR="005244A0" w:rsidRPr="00AE3F1B" w:rsidRDefault="005244A0">
      <w:pPr>
        <w:pStyle w:val="Akapitzlist"/>
        <w:numPr>
          <w:ilvl w:val="0"/>
          <w:numId w:val="19"/>
        </w:numPr>
        <w:spacing w:line="253" w:lineRule="auto"/>
        <w:ind w:left="709" w:right="-3" w:hanging="425"/>
        <w:jc w:val="left"/>
        <w:rPr>
          <w:rFonts w:ascii="Garamond" w:hAnsi="Garamond"/>
          <w:sz w:val="24"/>
          <w:szCs w:val="24"/>
        </w:rPr>
      </w:pPr>
      <w:r w:rsidRPr="00AE3F1B">
        <w:rPr>
          <w:rFonts w:ascii="Garamond" w:hAnsi="Garamond"/>
          <w:sz w:val="24"/>
          <w:szCs w:val="24"/>
        </w:rPr>
        <w:t xml:space="preserve">wydanie przez ID Sp. z o.o. warunków przyłączenia oraz przekazanie ich podmiotowi wraz </w:t>
      </w:r>
      <w:r w:rsidR="00643D21" w:rsidRPr="00AE3F1B">
        <w:rPr>
          <w:rFonts w:ascii="Garamond" w:hAnsi="Garamond"/>
          <w:sz w:val="24"/>
          <w:szCs w:val="24"/>
        </w:rPr>
        <w:br/>
      </w:r>
      <w:r w:rsidRPr="00AE3F1B">
        <w:rPr>
          <w:rFonts w:ascii="Garamond" w:hAnsi="Garamond"/>
          <w:sz w:val="24"/>
          <w:szCs w:val="24"/>
        </w:rPr>
        <w:t>z projektem umowy o przyłączenie, w formie pisemnej, dokumentowej lub elektronicznej,</w:t>
      </w:r>
    </w:p>
    <w:p w14:paraId="6957DFD4" w14:textId="77777777" w:rsidR="005244A0" w:rsidRPr="00AE3F1B" w:rsidRDefault="005244A0">
      <w:pPr>
        <w:numPr>
          <w:ilvl w:val="0"/>
          <w:numId w:val="19"/>
        </w:numPr>
        <w:spacing w:line="253" w:lineRule="auto"/>
        <w:ind w:left="709" w:right="-3" w:hanging="425"/>
        <w:jc w:val="left"/>
        <w:rPr>
          <w:rFonts w:ascii="Garamond" w:hAnsi="Garamond"/>
          <w:sz w:val="24"/>
          <w:szCs w:val="24"/>
        </w:rPr>
      </w:pPr>
      <w:r w:rsidRPr="00AE3F1B">
        <w:rPr>
          <w:rFonts w:ascii="Garamond" w:hAnsi="Garamond"/>
          <w:sz w:val="24"/>
          <w:szCs w:val="24"/>
        </w:rPr>
        <w:t>zawarcie umowy o przyłączenie,</w:t>
      </w:r>
    </w:p>
    <w:p w14:paraId="6B32A779" w14:textId="77777777" w:rsidR="005244A0" w:rsidRPr="00AE3F1B" w:rsidRDefault="005244A0">
      <w:pPr>
        <w:numPr>
          <w:ilvl w:val="0"/>
          <w:numId w:val="19"/>
        </w:numPr>
        <w:spacing w:line="253" w:lineRule="auto"/>
        <w:ind w:left="709" w:right="-3" w:hanging="425"/>
        <w:jc w:val="left"/>
        <w:rPr>
          <w:rFonts w:ascii="Garamond" w:hAnsi="Garamond"/>
          <w:sz w:val="24"/>
          <w:szCs w:val="24"/>
        </w:rPr>
      </w:pPr>
      <w:r w:rsidRPr="00AE3F1B">
        <w:rPr>
          <w:rFonts w:ascii="Garamond" w:hAnsi="Garamond"/>
          <w:sz w:val="24"/>
          <w:szCs w:val="24"/>
        </w:rPr>
        <w:t xml:space="preserve">realizację przyłączenia tj. realizację przyłącza(-y) oraz niezbędnych zmian/dostosowania </w:t>
      </w:r>
      <w:r w:rsidR="00643D21" w:rsidRPr="00AE3F1B">
        <w:rPr>
          <w:rFonts w:ascii="Garamond" w:hAnsi="Garamond"/>
          <w:sz w:val="24"/>
          <w:szCs w:val="24"/>
        </w:rPr>
        <w:br/>
      </w:r>
      <w:r w:rsidRPr="00AE3F1B">
        <w:rPr>
          <w:rFonts w:ascii="Garamond" w:hAnsi="Garamond"/>
          <w:sz w:val="24"/>
          <w:szCs w:val="24"/>
        </w:rPr>
        <w:t>w sieci i prac dla realizacji przyłączenia,</w:t>
      </w:r>
    </w:p>
    <w:p w14:paraId="114FB689" w14:textId="77777777" w:rsidR="005244A0" w:rsidRPr="00AE3F1B" w:rsidRDefault="005244A0">
      <w:pPr>
        <w:numPr>
          <w:ilvl w:val="0"/>
          <w:numId w:val="19"/>
        </w:numPr>
        <w:spacing w:line="253" w:lineRule="auto"/>
        <w:ind w:left="709" w:right="-3" w:hanging="425"/>
        <w:jc w:val="left"/>
        <w:rPr>
          <w:rFonts w:ascii="Garamond" w:hAnsi="Garamond"/>
          <w:sz w:val="24"/>
          <w:szCs w:val="24"/>
        </w:rPr>
      </w:pPr>
      <w:r w:rsidRPr="00AE3F1B">
        <w:rPr>
          <w:rFonts w:ascii="Garamond" w:hAnsi="Garamond"/>
          <w:sz w:val="24"/>
          <w:szCs w:val="24"/>
        </w:rPr>
        <w:lastRenderedPageBreak/>
        <w:t xml:space="preserve">przeprowadzenie prób i odbiorów częściowych oraz prób końcowych i ostatecznego  </w:t>
      </w:r>
      <w:r w:rsidRPr="00AE3F1B">
        <w:rPr>
          <w:rFonts w:ascii="Garamond" w:hAnsi="Garamond"/>
          <w:sz w:val="24"/>
          <w:szCs w:val="24"/>
        </w:rPr>
        <w:br/>
        <w:t xml:space="preserve">odbioru rozbudowywanej sieci i przyłącza. OSD zastrzega sobie prawo dokonania   </w:t>
      </w:r>
      <w:r w:rsidRPr="00AE3F1B">
        <w:rPr>
          <w:rFonts w:ascii="Garamond" w:hAnsi="Garamond"/>
          <w:sz w:val="24"/>
          <w:szCs w:val="24"/>
        </w:rPr>
        <w:br/>
        <w:t>sprawdzenia przyłączanych instalacji, urządzeń i sieci,</w:t>
      </w:r>
    </w:p>
    <w:p w14:paraId="3A1A56B3" w14:textId="77777777" w:rsidR="005244A0" w:rsidRPr="00AE3F1B" w:rsidRDefault="005244A0">
      <w:pPr>
        <w:numPr>
          <w:ilvl w:val="0"/>
          <w:numId w:val="19"/>
        </w:numPr>
        <w:spacing w:line="253" w:lineRule="auto"/>
        <w:ind w:left="709" w:right="-3" w:hanging="425"/>
        <w:jc w:val="left"/>
        <w:rPr>
          <w:rFonts w:ascii="Garamond" w:hAnsi="Garamond"/>
          <w:sz w:val="24"/>
          <w:szCs w:val="24"/>
        </w:rPr>
      </w:pPr>
      <w:r w:rsidRPr="00AE3F1B">
        <w:rPr>
          <w:rFonts w:ascii="Garamond" w:hAnsi="Garamond"/>
          <w:sz w:val="24"/>
          <w:szCs w:val="24"/>
        </w:rPr>
        <w:t>w przypadku źródeł wytwórczych pozyskania ostatecznego pozwolenia na użytkowanie obiektu zgodnie z wymaganiami NC</w:t>
      </w:r>
      <w:r w:rsidR="00643D21" w:rsidRPr="00AE3F1B">
        <w:rPr>
          <w:rFonts w:ascii="Garamond" w:hAnsi="Garamond"/>
          <w:sz w:val="24"/>
          <w:szCs w:val="24"/>
        </w:rPr>
        <w:t>-</w:t>
      </w:r>
      <w:proofErr w:type="spellStart"/>
      <w:r w:rsidRPr="00AE3F1B">
        <w:rPr>
          <w:rFonts w:ascii="Garamond" w:hAnsi="Garamond"/>
          <w:sz w:val="24"/>
          <w:szCs w:val="24"/>
        </w:rPr>
        <w:t>RfG</w:t>
      </w:r>
      <w:proofErr w:type="spellEnd"/>
      <w:r w:rsidRPr="00AE3F1B">
        <w:rPr>
          <w:rFonts w:ascii="Garamond" w:hAnsi="Garamond"/>
          <w:sz w:val="24"/>
          <w:szCs w:val="24"/>
        </w:rPr>
        <w:t>,</w:t>
      </w:r>
    </w:p>
    <w:p w14:paraId="1F7CDBF5" w14:textId="77777777" w:rsidR="005244A0" w:rsidRPr="00AE3F1B" w:rsidRDefault="005244A0">
      <w:pPr>
        <w:numPr>
          <w:ilvl w:val="0"/>
          <w:numId w:val="19"/>
        </w:numPr>
        <w:spacing w:after="209" w:line="253" w:lineRule="auto"/>
        <w:ind w:left="709" w:right="-3" w:hanging="425"/>
        <w:jc w:val="left"/>
        <w:rPr>
          <w:rFonts w:ascii="Garamond" w:hAnsi="Garamond"/>
          <w:sz w:val="24"/>
          <w:szCs w:val="24"/>
        </w:rPr>
      </w:pPr>
      <w:r w:rsidRPr="00AE3F1B">
        <w:rPr>
          <w:rFonts w:ascii="Garamond" w:hAnsi="Garamond"/>
          <w:sz w:val="24"/>
          <w:szCs w:val="24"/>
        </w:rPr>
        <w:t>zawarcie przez podmiot umowy o świadczenie usług dystrybucji albo umowy kompleksowej.</w:t>
      </w:r>
    </w:p>
    <w:p w14:paraId="140F120F" w14:textId="3EE8B0F5" w:rsidR="002A143B" w:rsidRPr="00AE3F1B" w:rsidRDefault="00597995" w:rsidP="004F29E3">
      <w:pPr>
        <w:spacing w:after="358" w:line="249" w:lineRule="auto"/>
        <w:ind w:left="708" w:right="-3" w:hanging="708"/>
        <w:jc w:val="left"/>
        <w:rPr>
          <w:rFonts w:ascii="Garamond" w:hAnsi="Garamond"/>
          <w:sz w:val="24"/>
          <w:szCs w:val="24"/>
        </w:rPr>
      </w:pPr>
      <w:r w:rsidRPr="00AE3F1B">
        <w:rPr>
          <w:rFonts w:ascii="Garamond" w:hAnsi="Garamond"/>
          <w:sz w:val="24"/>
          <w:szCs w:val="24"/>
        </w:rPr>
        <w:t>II.1.3</w:t>
      </w:r>
      <w:r w:rsidR="004F29E3">
        <w:rPr>
          <w:rFonts w:ascii="Garamond" w:hAnsi="Garamond"/>
          <w:sz w:val="24"/>
          <w:szCs w:val="24"/>
        </w:rPr>
        <w:t xml:space="preserve"> </w:t>
      </w:r>
      <w:r w:rsidR="004F29E3">
        <w:rPr>
          <w:rFonts w:ascii="Garamond" w:hAnsi="Garamond"/>
          <w:sz w:val="24"/>
          <w:szCs w:val="24"/>
        </w:rPr>
        <w:tab/>
      </w:r>
      <w:r w:rsidRPr="00AE3F1B">
        <w:rPr>
          <w:rFonts w:ascii="Garamond" w:hAnsi="Garamond"/>
          <w:sz w:val="24"/>
          <w:szCs w:val="24"/>
        </w:rPr>
        <w:t>Podmiot ubiegający się o przyłączenie do sieci dystrybucyjnej ID Sp. z o.o. urządzeń wytwórczych,</w:t>
      </w:r>
      <w:r w:rsidR="002654E3" w:rsidRPr="00AE3F1B">
        <w:rPr>
          <w:rFonts w:ascii="Garamond" w:hAnsi="Garamond"/>
          <w:sz w:val="24"/>
          <w:szCs w:val="24"/>
        </w:rPr>
        <w:t xml:space="preserve"> magazynów energii elektrycznej, </w:t>
      </w:r>
      <w:r w:rsidRPr="00AE3F1B">
        <w:rPr>
          <w:rFonts w:ascii="Garamond" w:hAnsi="Garamond"/>
          <w:sz w:val="24"/>
          <w:szCs w:val="24"/>
        </w:rPr>
        <w:t>sieci, urządzeń lub/i instalacji odbiorców końcowych, składa wniosek o określenie warunków przyłączenia.</w:t>
      </w:r>
    </w:p>
    <w:p w14:paraId="21348AF0" w14:textId="5F068B70" w:rsidR="002A143B" w:rsidRDefault="00973FE1" w:rsidP="004F29E3">
      <w:pPr>
        <w:spacing w:after="171"/>
        <w:ind w:left="708" w:right="-3" w:hanging="708"/>
        <w:jc w:val="left"/>
        <w:rPr>
          <w:rFonts w:ascii="Garamond" w:hAnsi="Garamond"/>
          <w:sz w:val="24"/>
          <w:szCs w:val="24"/>
        </w:rPr>
      </w:pPr>
      <w:r w:rsidRPr="00AE3F1B">
        <w:rPr>
          <w:rFonts w:ascii="Garamond" w:hAnsi="Garamond"/>
          <w:sz w:val="24"/>
          <w:szCs w:val="24"/>
        </w:rPr>
        <w:t>II.1.4.</w:t>
      </w:r>
      <w:r w:rsidR="00986798">
        <w:rPr>
          <w:rFonts w:ascii="Garamond" w:hAnsi="Garamond"/>
          <w:sz w:val="24"/>
          <w:szCs w:val="24"/>
        </w:rPr>
        <w:tab/>
      </w:r>
      <w:r w:rsidRPr="00AE3F1B">
        <w:rPr>
          <w:rFonts w:ascii="Garamond" w:hAnsi="Garamond"/>
          <w:sz w:val="24"/>
          <w:szCs w:val="24"/>
        </w:rPr>
        <w:t xml:space="preserve">Wzory wniosków o określenie warunków przyłączenia określa oraz udostępnia ID Sp. </w:t>
      </w:r>
      <w:r w:rsidR="004F29E3" w:rsidRPr="00AE3F1B">
        <w:rPr>
          <w:rFonts w:ascii="Garamond" w:hAnsi="Garamond"/>
          <w:sz w:val="24"/>
          <w:szCs w:val="24"/>
        </w:rPr>
        <w:t>Z</w:t>
      </w:r>
      <w:r w:rsidR="004F29E3">
        <w:rPr>
          <w:rFonts w:ascii="Garamond" w:hAnsi="Garamond"/>
          <w:sz w:val="24"/>
          <w:szCs w:val="24"/>
        </w:rPr>
        <w:t xml:space="preserve"> </w:t>
      </w:r>
      <w:r w:rsidRPr="00AE3F1B">
        <w:rPr>
          <w:rFonts w:ascii="Garamond" w:hAnsi="Garamond"/>
          <w:sz w:val="24"/>
          <w:szCs w:val="24"/>
        </w:rPr>
        <w:t>o.o.</w:t>
      </w:r>
      <w:r w:rsidR="004F29E3">
        <w:rPr>
          <w:rFonts w:ascii="Garamond" w:hAnsi="Garamond"/>
          <w:sz w:val="24"/>
          <w:szCs w:val="24"/>
        </w:rPr>
        <w:t xml:space="preserve"> </w:t>
      </w:r>
      <w:r w:rsidRPr="00AE3F1B">
        <w:rPr>
          <w:rFonts w:ascii="Garamond" w:hAnsi="Garamond"/>
          <w:sz w:val="24"/>
          <w:szCs w:val="24"/>
        </w:rPr>
        <w:t xml:space="preserve">na stronie internetowej </w:t>
      </w:r>
      <w:hyperlink r:id="rId9" w:history="1">
        <w:r w:rsidR="00107DD8" w:rsidRPr="00AE3F1B">
          <w:rPr>
            <w:rStyle w:val="Hipercze"/>
            <w:rFonts w:ascii="Garamond" w:eastAsia="Calibri" w:hAnsi="Garamond"/>
            <w:sz w:val="24"/>
            <w:szCs w:val="24"/>
          </w:rPr>
          <w:t>www.industria.eu/dystrybucja/</w:t>
        </w:r>
      </w:hyperlink>
      <w:r w:rsidR="002654E3" w:rsidRPr="00AE3F1B">
        <w:rPr>
          <w:rFonts w:ascii="Garamond" w:hAnsi="Garamond"/>
          <w:sz w:val="24"/>
          <w:szCs w:val="24"/>
        </w:rPr>
        <w:t xml:space="preserve"> ,</w:t>
      </w:r>
    </w:p>
    <w:p w14:paraId="26076D9C" w14:textId="43AE0052" w:rsidR="00986798" w:rsidRPr="00AE3F1B" w:rsidRDefault="00986798" w:rsidP="004F29E3">
      <w:pPr>
        <w:spacing w:after="171"/>
        <w:ind w:left="708" w:right="-3" w:hanging="708"/>
        <w:jc w:val="left"/>
        <w:rPr>
          <w:rFonts w:ascii="Garamond" w:hAnsi="Garamond"/>
          <w:sz w:val="24"/>
          <w:szCs w:val="24"/>
        </w:rPr>
      </w:pPr>
      <w:r>
        <w:rPr>
          <w:rFonts w:ascii="Garamond" w:hAnsi="Garamond"/>
          <w:sz w:val="24"/>
          <w:szCs w:val="24"/>
        </w:rPr>
        <w:t xml:space="preserve">II.1.5 </w:t>
      </w:r>
      <w:r w:rsidR="004F29E3">
        <w:rPr>
          <w:rFonts w:ascii="Garamond" w:hAnsi="Garamond"/>
          <w:sz w:val="24"/>
          <w:szCs w:val="24"/>
        </w:rPr>
        <w:tab/>
      </w:r>
      <w:r>
        <w:rPr>
          <w:rFonts w:ascii="Garamond" w:hAnsi="Garamond"/>
          <w:sz w:val="24"/>
          <w:szCs w:val="24"/>
        </w:rPr>
        <w:t xml:space="preserve">Wzór wniosków o określenie warunków przyłączenia mogą być zróżnicowane dla poszczególnych </w:t>
      </w:r>
      <w:r w:rsidRPr="00AE3F1B">
        <w:rPr>
          <w:rFonts w:ascii="Garamond" w:hAnsi="Garamond"/>
          <w:sz w:val="24"/>
          <w:szCs w:val="24"/>
        </w:rPr>
        <w:t>grup przyłączeniowych oraz w zależności od rodzaju przyłączanego</w:t>
      </w:r>
      <w:r>
        <w:rPr>
          <w:rFonts w:ascii="Garamond" w:hAnsi="Garamond"/>
          <w:sz w:val="24"/>
          <w:szCs w:val="24"/>
        </w:rPr>
        <w:t xml:space="preserve"> </w:t>
      </w:r>
      <w:r w:rsidRPr="00AE3F1B">
        <w:rPr>
          <w:rFonts w:ascii="Garamond" w:hAnsi="Garamond"/>
          <w:sz w:val="24"/>
          <w:szCs w:val="24"/>
        </w:rPr>
        <w:t>obiektu,</w:t>
      </w:r>
      <w:r>
        <w:rPr>
          <w:rFonts w:ascii="Garamond" w:hAnsi="Garamond"/>
          <w:sz w:val="24"/>
          <w:szCs w:val="24"/>
        </w:rPr>
        <w:t xml:space="preserve"> </w:t>
      </w:r>
      <w:r w:rsidRPr="00AE3F1B">
        <w:rPr>
          <w:rFonts w:ascii="Garamond" w:hAnsi="Garamond"/>
          <w:sz w:val="24"/>
          <w:szCs w:val="24"/>
        </w:rPr>
        <w:t>instalacji lub sieci.</w:t>
      </w:r>
    </w:p>
    <w:p w14:paraId="0B87F583" w14:textId="46EE967B" w:rsidR="002A143B" w:rsidRPr="00AE3F1B" w:rsidRDefault="00973FE1" w:rsidP="00175586">
      <w:pPr>
        <w:spacing w:after="162"/>
        <w:ind w:left="567" w:right="-3" w:hanging="567"/>
        <w:jc w:val="left"/>
        <w:rPr>
          <w:rFonts w:ascii="Garamond" w:hAnsi="Garamond"/>
          <w:sz w:val="24"/>
          <w:szCs w:val="24"/>
        </w:rPr>
      </w:pPr>
      <w:r w:rsidRPr="00AE3F1B">
        <w:rPr>
          <w:rFonts w:ascii="Garamond" w:hAnsi="Garamond"/>
          <w:sz w:val="24"/>
          <w:szCs w:val="24"/>
        </w:rPr>
        <w:t>II.1.</w:t>
      </w:r>
      <w:r w:rsidR="002654E3" w:rsidRPr="00AE3F1B">
        <w:rPr>
          <w:rFonts w:ascii="Garamond" w:hAnsi="Garamond"/>
          <w:sz w:val="24"/>
          <w:szCs w:val="24"/>
        </w:rPr>
        <w:t>6</w:t>
      </w:r>
      <w:r w:rsidRPr="00AE3F1B">
        <w:rPr>
          <w:rFonts w:ascii="Garamond" w:hAnsi="Garamond"/>
          <w:sz w:val="24"/>
          <w:szCs w:val="24"/>
        </w:rPr>
        <w:t>.</w:t>
      </w:r>
      <w:r w:rsidR="004F29E3">
        <w:rPr>
          <w:rFonts w:ascii="Garamond" w:hAnsi="Garamond"/>
          <w:sz w:val="24"/>
          <w:szCs w:val="24"/>
        </w:rPr>
        <w:tab/>
      </w:r>
      <w:r w:rsidR="004F29E3">
        <w:rPr>
          <w:rFonts w:ascii="Garamond" w:hAnsi="Garamond"/>
          <w:sz w:val="24"/>
          <w:szCs w:val="24"/>
        </w:rPr>
        <w:tab/>
      </w:r>
      <w:r w:rsidRPr="00AE3F1B">
        <w:rPr>
          <w:rFonts w:ascii="Garamond" w:hAnsi="Garamond"/>
          <w:sz w:val="24"/>
          <w:szCs w:val="24"/>
        </w:rPr>
        <w:t>Do wniosku, o którym mowa w pkt. II. 1.3 należy załączyć:</w:t>
      </w:r>
    </w:p>
    <w:p w14:paraId="79E26A25" w14:textId="40FC8998" w:rsidR="002A143B" w:rsidRPr="00AE3F1B" w:rsidRDefault="00DA12DF">
      <w:pPr>
        <w:numPr>
          <w:ilvl w:val="3"/>
          <w:numId w:val="8"/>
        </w:numPr>
        <w:spacing w:after="137" w:line="276" w:lineRule="auto"/>
        <w:ind w:left="993" w:right="-3" w:hanging="284"/>
        <w:jc w:val="left"/>
        <w:rPr>
          <w:rFonts w:ascii="Garamond" w:hAnsi="Garamond"/>
          <w:sz w:val="24"/>
          <w:szCs w:val="24"/>
        </w:rPr>
      </w:pPr>
      <w:r w:rsidRPr="00AE3F1B">
        <w:rPr>
          <w:rFonts w:ascii="Garamond" w:hAnsi="Garamond"/>
          <w:sz w:val="24"/>
          <w:szCs w:val="24"/>
        </w:rPr>
        <w:t xml:space="preserve">dokument potwierdzający tytuł prawny podmiotu do korzystania z nieruchomości, obiektu lub </w:t>
      </w:r>
      <w:r w:rsidR="00937322" w:rsidRPr="00AE3F1B">
        <w:rPr>
          <w:rFonts w:ascii="Garamond" w:hAnsi="Garamond"/>
          <w:sz w:val="24"/>
          <w:szCs w:val="24"/>
        </w:rPr>
        <w:t>lokalu,</w:t>
      </w:r>
      <w:r w:rsidRPr="00AE3F1B">
        <w:rPr>
          <w:rFonts w:ascii="Garamond" w:hAnsi="Garamond"/>
          <w:sz w:val="24"/>
          <w:szCs w:val="24"/>
        </w:rPr>
        <w:t xml:space="preserve"> dla których będą używane przyłączane urządzenia, instalacje lub sieci,</w:t>
      </w:r>
    </w:p>
    <w:p w14:paraId="7E0EF92F" w14:textId="77777777" w:rsidR="002A143B" w:rsidRPr="00AE3F1B" w:rsidRDefault="00DA12DF">
      <w:pPr>
        <w:numPr>
          <w:ilvl w:val="3"/>
          <w:numId w:val="8"/>
        </w:numPr>
        <w:spacing w:after="249" w:line="276" w:lineRule="auto"/>
        <w:ind w:left="993" w:right="-3" w:hanging="284"/>
        <w:jc w:val="left"/>
        <w:rPr>
          <w:rFonts w:ascii="Garamond" w:hAnsi="Garamond"/>
          <w:sz w:val="24"/>
          <w:szCs w:val="24"/>
        </w:rPr>
      </w:pPr>
      <w:r w:rsidRPr="00AE3F1B">
        <w:rPr>
          <w:rFonts w:ascii="Garamond" w:hAnsi="Garamond"/>
          <w:sz w:val="24"/>
          <w:szCs w:val="24"/>
        </w:rPr>
        <w:t>plan zabudowy lub szkic sytuacyjny określający usytuowanie obiektu, w którym będą używane przyłączane urządzenia, instalacje lub sieci względem istniejącej sieci oraz sąsiednich obiektów,</w:t>
      </w:r>
    </w:p>
    <w:p w14:paraId="18125460" w14:textId="77777777" w:rsidR="00986798" w:rsidRDefault="002654E3">
      <w:pPr>
        <w:numPr>
          <w:ilvl w:val="3"/>
          <w:numId w:val="8"/>
        </w:numPr>
        <w:spacing w:line="276" w:lineRule="auto"/>
        <w:ind w:left="993" w:right="-3" w:hanging="284"/>
        <w:jc w:val="left"/>
        <w:rPr>
          <w:rFonts w:ascii="Garamond" w:hAnsi="Garamond"/>
          <w:sz w:val="24"/>
          <w:szCs w:val="24"/>
        </w:rPr>
      </w:pPr>
      <w:r w:rsidRPr="00AE3F1B">
        <w:rPr>
          <w:rFonts w:ascii="Garamond" w:hAnsi="Garamond"/>
          <w:sz w:val="24"/>
          <w:szCs w:val="24"/>
        </w:rPr>
        <w:t xml:space="preserve">w przypadku podmiotów ubiegających się o przyłączenie źródła energii elektrycznej do sieci elektroenergetycznej o napięciu znamionowym wyższym niż 1 </w:t>
      </w:r>
      <w:proofErr w:type="spellStart"/>
      <w:r w:rsidRPr="00AE3F1B">
        <w:rPr>
          <w:rFonts w:ascii="Garamond" w:hAnsi="Garamond"/>
          <w:sz w:val="24"/>
          <w:szCs w:val="24"/>
        </w:rPr>
        <w:t>kV</w:t>
      </w:r>
      <w:proofErr w:type="spellEnd"/>
      <w:r w:rsidRPr="00AE3F1B">
        <w:rPr>
          <w:rFonts w:ascii="Garamond" w:hAnsi="Garamond"/>
          <w:sz w:val="24"/>
          <w:szCs w:val="24"/>
        </w:rPr>
        <w:t xml:space="preserve">, wypis i </w:t>
      </w:r>
      <w:proofErr w:type="spellStart"/>
      <w:r w:rsidRPr="00AE3F1B">
        <w:rPr>
          <w:rFonts w:ascii="Garamond" w:hAnsi="Garamond"/>
          <w:sz w:val="24"/>
          <w:szCs w:val="24"/>
        </w:rPr>
        <w:t>wyrys</w:t>
      </w:r>
      <w:proofErr w:type="spellEnd"/>
      <w:r w:rsidRPr="00AE3F1B">
        <w:rPr>
          <w:rFonts w:ascii="Garamond" w:hAnsi="Garamond"/>
          <w:sz w:val="24"/>
          <w:szCs w:val="24"/>
        </w:rPr>
        <w:t xml:space="preserve"> z miejscowego planu zagospodarowania przestrzennego </w:t>
      </w:r>
      <w:r w:rsidR="00937322" w:rsidRPr="00AE3F1B">
        <w:rPr>
          <w:rFonts w:ascii="Garamond" w:hAnsi="Garamond"/>
          <w:sz w:val="24"/>
          <w:szCs w:val="24"/>
        </w:rPr>
        <w:t>albo</w:t>
      </w:r>
      <w:r w:rsidRPr="00AE3F1B">
        <w:rPr>
          <w:rFonts w:ascii="Garamond" w:hAnsi="Garamond"/>
          <w:sz w:val="24"/>
          <w:szCs w:val="24"/>
        </w:rPr>
        <w:t xml:space="preserve"> w przypadku braku takiego planu, decyzję o warunkach zabudowy i zagospodarowania terenu dla nieruchomości określonej we wniosku, jeżeli jest ona wymagana na podstawie przepisów o planowaniu i zagospodarowaniu przestrzennym. Wypis i </w:t>
      </w:r>
      <w:proofErr w:type="spellStart"/>
      <w:r w:rsidRPr="00AE3F1B">
        <w:rPr>
          <w:rFonts w:ascii="Garamond" w:hAnsi="Garamond"/>
          <w:sz w:val="24"/>
          <w:szCs w:val="24"/>
        </w:rPr>
        <w:t>wyrys</w:t>
      </w:r>
      <w:proofErr w:type="spellEnd"/>
      <w:r w:rsidRPr="00AE3F1B">
        <w:rPr>
          <w:rFonts w:ascii="Garamond" w:hAnsi="Garamond"/>
          <w:sz w:val="24"/>
          <w:szCs w:val="24"/>
        </w:rPr>
        <w:t xml:space="preserve"> z miejscowego planu zagospodarowania przestrzennego lub decyzja o warunkach zabudowy i zagospodarowania terenu powinny potwierdzać dopuszczalność lokalizacji danego źródła energii na terenie objętym planowaną inwestycją, która jest objęta wnioskiem o określenie warunków przyłączenia,</w:t>
      </w:r>
    </w:p>
    <w:p w14:paraId="3AC2E817" w14:textId="28EC9B66" w:rsidR="002654E3" w:rsidRPr="00986798" w:rsidRDefault="002654E3">
      <w:pPr>
        <w:numPr>
          <w:ilvl w:val="3"/>
          <w:numId w:val="8"/>
        </w:numPr>
        <w:spacing w:line="276" w:lineRule="auto"/>
        <w:ind w:left="993" w:right="-3" w:hanging="284"/>
        <w:jc w:val="left"/>
        <w:rPr>
          <w:rFonts w:ascii="Garamond" w:hAnsi="Garamond"/>
          <w:sz w:val="24"/>
          <w:szCs w:val="24"/>
        </w:rPr>
      </w:pPr>
      <w:r w:rsidRPr="00986798">
        <w:rPr>
          <w:rFonts w:asciiTheme="majorHAnsi" w:hAnsiTheme="majorHAnsi"/>
          <w:sz w:val="24"/>
          <w:szCs w:val="24"/>
        </w:rPr>
        <w:t>inne załączniki, określone we wzorze wniosku, wymagane przez ID Sp. z o.o., zawierające</w:t>
      </w:r>
      <w:r w:rsidRPr="00986798">
        <w:rPr>
          <w:rFonts w:ascii="Garamond" w:hAnsi="Garamond"/>
          <w:sz w:val="24"/>
          <w:szCs w:val="24"/>
        </w:rPr>
        <w:t xml:space="preserve"> informacje niezbędne dla określenia warunków przyłączenia.</w:t>
      </w:r>
    </w:p>
    <w:p w14:paraId="624E941E" w14:textId="77777777" w:rsidR="002654E3" w:rsidRPr="00AE3F1B" w:rsidRDefault="002654E3" w:rsidP="00175586">
      <w:pPr>
        <w:spacing w:after="116"/>
        <w:ind w:left="567" w:right="-3" w:hanging="567"/>
        <w:jc w:val="left"/>
        <w:rPr>
          <w:rFonts w:ascii="Garamond" w:hAnsi="Garamond"/>
          <w:sz w:val="24"/>
          <w:szCs w:val="24"/>
        </w:rPr>
      </w:pPr>
      <w:r w:rsidRPr="00446DE2">
        <w:rPr>
          <w:rFonts w:asciiTheme="majorHAnsi" w:hAnsiTheme="majorHAnsi"/>
          <w:sz w:val="24"/>
          <w:szCs w:val="24"/>
        </w:rPr>
        <w:t xml:space="preserve">II.1.7. Zakres i warunki wykonania ekspertyzy wpływu przyłączanych urządzeń, instalacji i sieci </w:t>
      </w:r>
      <w:r w:rsidRPr="00446DE2">
        <w:rPr>
          <w:rFonts w:asciiTheme="majorHAnsi" w:hAnsiTheme="majorHAnsi"/>
          <w:sz w:val="24"/>
          <w:szCs w:val="24"/>
        </w:rPr>
        <w:br/>
      </w:r>
      <w:r w:rsidRPr="00AE3F1B">
        <w:rPr>
          <w:rFonts w:ascii="Garamond" w:hAnsi="Garamond"/>
          <w:sz w:val="24"/>
          <w:szCs w:val="24"/>
        </w:rPr>
        <w:t xml:space="preserve">       określa ID Sp. z o.o.</w:t>
      </w:r>
    </w:p>
    <w:p w14:paraId="7B9533F6" w14:textId="77777777" w:rsidR="002654E3" w:rsidRPr="00446DE2" w:rsidRDefault="002654E3" w:rsidP="00175586">
      <w:pPr>
        <w:tabs>
          <w:tab w:val="center" w:pos="4015"/>
        </w:tabs>
        <w:spacing w:after="116" w:line="253" w:lineRule="auto"/>
        <w:ind w:left="567" w:right="-3" w:hanging="567"/>
        <w:jc w:val="left"/>
        <w:rPr>
          <w:rFonts w:asciiTheme="majorHAnsi" w:hAnsiTheme="majorHAnsi"/>
          <w:sz w:val="24"/>
          <w:szCs w:val="24"/>
        </w:rPr>
      </w:pPr>
      <w:r w:rsidRPr="00446DE2">
        <w:rPr>
          <w:rFonts w:asciiTheme="majorHAnsi" w:hAnsiTheme="majorHAnsi"/>
          <w:sz w:val="24"/>
          <w:szCs w:val="24"/>
        </w:rPr>
        <w:t>II.1.8.  Warunki przyłączenia do sieci określają w szczególności:</w:t>
      </w:r>
    </w:p>
    <w:p w14:paraId="25F7683E" w14:textId="77777777" w:rsidR="002654E3" w:rsidRPr="00AE3F1B" w:rsidRDefault="002654E3">
      <w:pPr>
        <w:numPr>
          <w:ilvl w:val="3"/>
          <w:numId w:val="20"/>
        </w:numPr>
        <w:spacing w:line="253" w:lineRule="auto"/>
        <w:ind w:left="993" w:right="-3" w:hanging="567"/>
        <w:jc w:val="left"/>
        <w:rPr>
          <w:rFonts w:ascii="Garamond" w:hAnsi="Garamond"/>
          <w:sz w:val="24"/>
          <w:szCs w:val="24"/>
        </w:rPr>
      </w:pPr>
      <w:r w:rsidRPr="00AE3F1B">
        <w:rPr>
          <w:rFonts w:ascii="Garamond" w:hAnsi="Garamond"/>
          <w:sz w:val="24"/>
          <w:szCs w:val="24"/>
        </w:rPr>
        <w:t>nieruchomość, obiekt lub lokal, do których energia elektryczna ma być dostarczana lub z których ma być odbierana,</w:t>
      </w:r>
    </w:p>
    <w:p w14:paraId="1F66E060" w14:textId="77777777" w:rsidR="002654E3" w:rsidRPr="00AE3F1B" w:rsidRDefault="002654E3">
      <w:pPr>
        <w:numPr>
          <w:ilvl w:val="3"/>
          <w:numId w:val="20"/>
        </w:numPr>
        <w:spacing w:after="44" w:line="253" w:lineRule="auto"/>
        <w:ind w:left="993" w:right="-3" w:hanging="567"/>
        <w:jc w:val="left"/>
        <w:rPr>
          <w:rFonts w:ascii="Garamond" w:hAnsi="Garamond"/>
          <w:sz w:val="24"/>
          <w:szCs w:val="24"/>
        </w:rPr>
      </w:pPr>
      <w:r w:rsidRPr="00AE3F1B">
        <w:rPr>
          <w:rFonts w:ascii="Garamond" w:hAnsi="Garamond"/>
          <w:sz w:val="24"/>
          <w:szCs w:val="24"/>
        </w:rPr>
        <w:t xml:space="preserve">miejsce rozgraniczenia własności sieci OSD i urządzeń, instalacji lub sieci podmiotu </w:t>
      </w:r>
      <w:r w:rsidRPr="00AE3F1B">
        <w:rPr>
          <w:rFonts w:ascii="Garamond" w:hAnsi="Garamond"/>
          <w:sz w:val="24"/>
          <w:szCs w:val="24"/>
        </w:rPr>
        <w:br/>
        <w:t>przyłączanego,</w:t>
      </w:r>
    </w:p>
    <w:p w14:paraId="48BA9226" w14:textId="77777777" w:rsidR="002654E3" w:rsidRPr="00AE3F1B" w:rsidRDefault="002654E3">
      <w:pPr>
        <w:numPr>
          <w:ilvl w:val="3"/>
          <w:numId w:val="20"/>
        </w:numPr>
        <w:spacing w:after="43" w:line="253" w:lineRule="auto"/>
        <w:ind w:left="993" w:right="-3" w:hanging="567"/>
        <w:jc w:val="left"/>
        <w:rPr>
          <w:rFonts w:ascii="Garamond" w:hAnsi="Garamond"/>
          <w:sz w:val="24"/>
          <w:szCs w:val="24"/>
        </w:rPr>
      </w:pPr>
      <w:r w:rsidRPr="00AE3F1B">
        <w:rPr>
          <w:rFonts w:ascii="Garamond" w:hAnsi="Garamond"/>
          <w:sz w:val="24"/>
          <w:szCs w:val="24"/>
        </w:rPr>
        <w:t>moc przyłączeniową,</w:t>
      </w:r>
    </w:p>
    <w:p w14:paraId="38859C63" w14:textId="77777777" w:rsidR="002654E3" w:rsidRPr="00AE3F1B" w:rsidRDefault="002654E3">
      <w:pPr>
        <w:numPr>
          <w:ilvl w:val="3"/>
          <w:numId w:val="20"/>
        </w:numPr>
        <w:spacing w:after="41" w:line="253" w:lineRule="auto"/>
        <w:ind w:left="993" w:right="-3" w:hanging="567"/>
        <w:jc w:val="left"/>
        <w:rPr>
          <w:rFonts w:ascii="Garamond" w:hAnsi="Garamond"/>
          <w:sz w:val="24"/>
          <w:szCs w:val="24"/>
        </w:rPr>
      </w:pPr>
      <w:r w:rsidRPr="00AE3F1B">
        <w:rPr>
          <w:rFonts w:ascii="Garamond" w:hAnsi="Garamond"/>
          <w:sz w:val="24"/>
          <w:szCs w:val="24"/>
        </w:rPr>
        <w:lastRenderedPageBreak/>
        <w:t xml:space="preserve">rodzaj połączenia z siecią dystrybucyjną ID Sp. z o.o. instalacji lub innych sieci </w:t>
      </w:r>
      <w:r w:rsidRPr="00AE3F1B">
        <w:rPr>
          <w:rFonts w:ascii="Garamond" w:hAnsi="Garamond"/>
          <w:sz w:val="24"/>
          <w:szCs w:val="24"/>
        </w:rPr>
        <w:br/>
        <w:t>określonych we wniosku o określenie warunków przyłączenia,</w:t>
      </w:r>
    </w:p>
    <w:p w14:paraId="78CD60F9" w14:textId="77777777" w:rsidR="002654E3" w:rsidRPr="00AE3F1B" w:rsidRDefault="002654E3">
      <w:pPr>
        <w:numPr>
          <w:ilvl w:val="3"/>
          <w:numId w:val="20"/>
        </w:numPr>
        <w:spacing w:line="253" w:lineRule="auto"/>
        <w:ind w:left="993" w:right="-3" w:hanging="567"/>
        <w:jc w:val="left"/>
        <w:rPr>
          <w:rFonts w:ascii="Garamond" w:hAnsi="Garamond"/>
          <w:sz w:val="24"/>
          <w:szCs w:val="24"/>
        </w:rPr>
      </w:pPr>
      <w:r w:rsidRPr="00AE3F1B">
        <w:rPr>
          <w:rFonts w:ascii="Garamond" w:hAnsi="Garamond"/>
          <w:sz w:val="24"/>
          <w:szCs w:val="24"/>
        </w:rPr>
        <w:t>zakres niezbędnych zmian w sieci związanych z przyłączeniem,</w:t>
      </w:r>
    </w:p>
    <w:p w14:paraId="7A0E1695" w14:textId="7880BA4F" w:rsidR="002654E3" w:rsidRPr="00AE3F1B" w:rsidRDefault="002654E3">
      <w:pPr>
        <w:numPr>
          <w:ilvl w:val="3"/>
          <w:numId w:val="20"/>
        </w:numPr>
        <w:spacing w:line="253" w:lineRule="auto"/>
        <w:ind w:left="993" w:right="-3" w:hanging="567"/>
        <w:jc w:val="left"/>
        <w:rPr>
          <w:rFonts w:ascii="Garamond" w:hAnsi="Garamond"/>
          <w:sz w:val="24"/>
          <w:szCs w:val="24"/>
        </w:rPr>
      </w:pPr>
      <w:r w:rsidRPr="00AE3F1B">
        <w:rPr>
          <w:rFonts w:ascii="Garamond" w:hAnsi="Garamond"/>
          <w:sz w:val="24"/>
          <w:szCs w:val="24"/>
        </w:rPr>
        <w:t>wymagania wynikające z</w:t>
      </w:r>
      <w:r w:rsidR="00FF23BB">
        <w:rPr>
          <w:rFonts w:ascii="Garamond" w:hAnsi="Garamond"/>
          <w:sz w:val="24"/>
          <w:szCs w:val="24"/>
        </w:rPr>
        <w:t xml:space="preserve"> </w:t>
      </w:r>
      <w:r w:rsidR="00FF23BB" w:rsidRPr="00FF23BB">
        <w:rPr>
          <w:rFonts w:ascii="Garamond" w:hAnsi="Garamond"/>
          <w:sz w:val="24"/>
          <w:szCs w:val="24"/>
        </w:rPr>
        <w:t>IRiESD</w:t>
      </w:r>
      <w:r w:rsidRPr="00AE3F1B">
        <w:rPr>
          <w:rFonts w:ascii="Garamond" w:hAnsi="Garamond"/>
          <w:sz w:val="24"/>
          <w:szCs w:val="24"/>
        </w:rPr>
        <w:t>,</w:t>
      </w:r>
    </w:p>
    <w:p w14:paraId="09854226" w14:textId="77777777" w:rsidR="002654E3" w:rsidRPr="00AE3F1B" w:rsidRDefault="002654E3">
      <w:pPr>
        <w:numPr>
          <w:ilvl w:val="3"/>
          <w:numId w:val="20"/>
        </w:numPr>
        <w:spacing w:after="28" w:line="253" w:lineRule="auto"/>
        <w:ind w:left="993" w:right="-3" w:hanging="567"/>
        <w:jc w:val="left"/>
        <w:rPr>
          <w:rFonts w:ascii="Garamond" w:hAnsi="Garamond"/>
          <w:sz w:val="24"/>
          <w:szCs w:val="24"/>
        </w:rPr>
      </w:pPr>
      <w:r w:rsidRPr="00AE3F1B">
        <w:rPr>
          <w:rFonts w:ascii="Garamond" w:hAnsi="Garamond"/>
          <w:sz w:val="24"/>
          <w:szCs w:val="24"/>
        </w:rPr>
        <w:t xml:space="preserve">dane znamionowe urządzeń, instalacji i sieci oraz dopuszczalne, graniczne parametry </w:t>
      </w:r>
      <w:r w:rsidRPr="00AE3F1B">
        <w:rPr>
          <w:rFonts w:ascii="Garamond" w:hAnsi="Garamond"/>
          <w:sz w:val="24"/>
          <w:szCs w:val="24"/>
        </w:rPr>
        <w:br/>
        <w:t>ich pracy,</w:t>
      </w:r>
    </w:p>
    <w:p w14:paraId="5847748F" w14:textId="77777777" w:rsidR="002654E3" w:rsidRPr="00AE3F1B" w:rsidRDefault="002654E3">
      <w:pPr>
        <w:numPr>
          <w:ilvl w:val="3"/>
          <w:numId w:val="20"/>
        </w:numPr>
        <w:spacing w:after="40" w:line="253" w:lineRule="auto"/>
        <w:ind w:left="993" w:right="-3" w:hanging="567"/>
        <w:jc w:val="left"/>
        <w:rPr>
          <w:rFonts w:ascii="Garamond" w:hAnsi="Garamond"/>
          <w:sz w:val="24"/>
          <w:szCs w:val="24"/>
        </w:rPr>
      </w:pPr>
      <w:r w:rsidRPr="00AE3F1B">
        <w:rPr>
          <w:rFonts w:ascii="Garamond" w:hAnsi="Garamond"/>
          <w:sz w:val="24"/>
          <w:szCs w:val="24"/>
        </w:rPr>
        <w:t xml:space="preserve">dopuszczalny poziom zmienności parametrów technicznych i jakościowych energii </w:t>
      </w:r>
      <w:r w:rsidRPr="00AE3F1B">
        <w:rPr>
          <w:rFonts w:ascii="Garamond" w:hAnsi="Garamond"/>
          <w:sz w:val="24"/>
          <w:szCs w:val="24"/>
        </w:rPr>
        <w:br/>
        <w:t>elektrycznej,</w:t>
      </w:r>
    </w:p>
    <w:p w14:paraId="484F7A19" w14:textId="77777777" w:rsidR="002654E3" w:rsidRPr="00AE3F1B" w:rsidRDefault="002654E3">
      <w:pPr>
        <w:numPr>
          <w:ilvl w:val="3"/>
          <w:numId w:val="20"/>
        </w:numPr>
        <w:spacing w:after="26" w:line="253" w:lineRule="auto"/>
        <w:ind w:left="993" w:right="-3" w:hanging="567"/>
        <w:jc w:val="left"/>
        <w:rPr>
          <w:rFonts w:ascii="Garamond" w:hAnsi="Garamond"/>
          <w:sz w:val="24"/>
          <w:szCs w:val="24"/>
        </w:rPr>
      </w:pPr>
      <w:r w:rsidRPr="00AE3F1B">
        <w:rPr>
          <w:rFonts w:ascii="Garamond" w:hAnsi="Garamond"/>
          <w:sz w:val="24"/>
          <w:szCs w:val="24"/>
        </w:rPr>
        <w:t>miejsce zainstalowania układu pomiarowo-rozliczeniowego,</w:t>
      </w:r>
    </w:p>
    <w:p w14:paraId="2C0BFD5B" w14:textId="77777777" w:rsidR="002654E3" w:rsidRPr="00AE3F1B" w:rsidRDefault="002654E3">
      <w:pPr>
        <w:numPr>
          <w:ilvl w:val="3"/>
          <w:numId w:val="20"/>
        </w:numPr>
        <w:spacing w:after="34" w:line="253" w:lineRule="auto"/>
        <w:ind w:left="993" w:right="-3" w:hanging="567"/>
        <w:jc w:val="left"/>
        <w:rPr>
          <w:rFonts w:ascii="Garamond" w:hAnsi="Garamond"/>
          <w:sz w:val="24"/>
          <w:szCs w:val="24"/>
        </w:rPr>
      </w:pPr>
      <w:r w:rsidRPr="00AE3F1B">
        <w:rPr>
          <w:rFonts w:ascii="Garamond" w:hAnsi="Garamond"/>
          <w:sz w:val="24"/>
          <w:szCs w:val="24"/>
        </w:rPr>
        <w:t xml:space="preserve">wymagania dotyczące układu pomiarowo-rozliczeniowego i jego współpracy z </w:t>
      </w:r>
      <w:r w:rsidRPr="00AE3F1B">
        <w:rPr>
          <w:rFonts w:ascii="Garamond" w:hAnsi="Garamond"/>
          <w:sz w:val="24"/>
          <w:szCs w:val="24"/>
        </w:rPr>
        <w:br/>
        <w:t>systemem pomiarowo -rozliczeniowym,</w:t>
      </w:r>
    </w:p>
    <w:p w14:paraId="63035197" w14:textId="77777777" w:rsidR="002654E3" w:rsidRPr="00AE3F1B" w:rsidRDefault="002654E3">
      <w:pPr>
        <w:numPr>
          <w:ilvl w:val="3"/>
          <w:numId w:val="20"/>
        </w:numPr>
        <w:spacing w:after="67" w:line="226" w:lineRule="auto"/>
        <w:ind w:left="993" w:right="-3" w:hanging="567"/>
        <w:jc w:val="left"/>
        <w:rPr>
          <w:rFonts w:ascii="Garamond" w:hAnsi="Garamond"/>
          <w:sz w:val="24"/>
          <w:szCs w:val="24"/>
        </w:rPr>
      </w:pPr>
      <w:r w:rsidRPr="00AE3F1B">
        <w:rPr>
          <w:rFonts w:ascii="Garamond" w:hAnsi="Garamond"/>
          <w:sz w:val="24"/>
          <w:szCs w:val="24"/>
        </w:rPr>
        <w:t xml:space="preserve">rodzaj i usytuowanie zabezpieczeń, dane znamionowe oraz inne niezbędne wymagania </w:t>
      </w:r>
      <w:r w:rsidRPr="00AE3F1B">
        <w:rPr>
          <w:rFonts w:ascii="Garamond" w:hAnsi="Garamond"/>
          <w:sz w:val="24"/>
          <w:szCs w:val="24"/>
        </w:rPr>
        <w:br/>
        <w:t>w zakresie elektroenergetycznej automatyki zabezpieczeniowej i systemowej,</w:t>
      </w:r>
    </w:p>
    <w:p w14:paraId="115DFD47" w14:textId="77777777" w:rsidR="002654E3" w:rsidRPr="00AE3F1B" w:rsidRDefault="002654E3">
      <w:pPr>
        <w:numPr>
          <w:ilvl w:val="3"/>
          <w:numId w:val="20"/>
        </w:numPr>
        <w:spacing w:after="37" w:line="253" w:lineRule="auto"/>
        <w:ind w:left="993" w:right="-3" w:hanging="567"/>
        <w:jc w:val="left"/>
        <w:rPr>
          <w:rFonts w:ascii="Garamond" w:hAnsi="Garamond"/>
          <w:sz w:val="24"/>
          <w:szCs w:val="24"/>
        </w:rPr>
      </w:pPr>
      <w:r w:rsidRPr="00AE3F1B">
        <w:rPr>
          <w:rFonts w:ascii="Garamond" w:hAnsi="Garamond"/>
          <w:sz w:val="24"/>
          <w:szCs w:val="24"/>
        </w:rPr>
        <w:t>dane umożliwiające określenie w miejscu przyłączenia:</w:t>
      </w:r>
    </w:p>
    <w:p w14:paraId="5DCA4417" w14:textId="77777777" w:rsidR="002654E3" w:rsidRPr="00AE3F1B" w:rsidRDefault="002654E3">
      <w:pPr>
        <w:numPr>
          <w:ilvl w:val="4"/>
          <w:numId w:val="22"/>
        </w:numPr>
        <w:spacing w:line="253" w:lineRule="auto"/>
        <w:ind w:left="1134" w:right="-3" w:hanging="425"/>
        <w:jc w:val="left"/>
        <w:rPr>
          <w:rFonts w:ascii="Garamond" w:hAnsi="Garamond"/>
          <w:sz w:val="24"/>
          <w:szCs w:val="24"/>
        </w:rPr>
      </w:pPr>
      <w:r w:rsidRPr="00AE3F1B">
        <w:rPr>
          <w:rFonts w:ascii="Garamond" w:hAnsi="Garamond"/>
          <w:sz w:val="24"/>
          <w:szCs w:val="24"/>
        </w:rPr>
        <w:t>wartości prądów zwarć wielofazowych i czasów ich wyłączenia,</w:t>
      </w:r>
    </w:p>
    <w:p w14:paraId="33A30225" w14:textId="77777777" w:rsidR="000165AC" w:rsidRPr="00AE3F1B" w:rsidRDefault="002654E3">
      <w:pPr>
        <w:numPr>
          <w:ilvl w:val="4"/>
          <w:numId w:val="22"/>
        </w:numPr>
        <w:spacing w:line="253" w:lineRule="auto"/>
        <w:ind w:left="1134" w:right="-3" w:hanging="425"/>
        <w:jc w:val="left"/>
        <w:rPr>
          <w:rFonts w:ascii="Garamond" w:hAnsi="Garamond"/>
          <w:sz w:val="24"/>
          <w:szCs w:val="24"/>
        </w:rPr>
      </w:pPr>
      <w:r w:rsidRPr="00AE3F1B">
        <w:rPr>
          <w:rFonts w:ascii="Garamond" w:hAnsi="Garamond"/>
          <w:sz w:val="24"/>
          <w:szCs w:val="24"/>
        </w:rPr>
        <w:t>prądów zwarcia doziemnego i czasów ich wyłączenia lub ich trwania,</w:t>
      </w:r>
    </w:p>
    <w:p w14:paraId="0F960C7A" w14:textId="77777777" w:rsidR="000165AC" w:rsidRPr="00446DE2" w:rsidRDefault="002654E3" w:rsidP="00446DE2">
      <w:pPr>
        <w:spacing w:line="253" w:lineRule="auto"/>
        <w:ind w:left="1276" w:right="-3" w:hanging="850"/>
        <w:jc w:val="left"/>
        <w:rPr>
          <w:rFonts w:asciiTheme="majorHAnsi" w:hAnsiTheme="majorHAnsi"/>
          <w:sz w:val="24"/>
          <w:szCs w:val="24"/>
        </w:rPr>
      </w:pPr>
      <w:r w:rsidRPr="00446DE2">
        <w:rPr>
          <w:rFonts w:asciiTheme="majorHAnsi" w:hAnsiTheme="majorHAnsi"/>
          <w:sz w:val="24"/>
          <w:szCs w:val="24"/>
        </w:rPr>
        <w:t xml:space="preserve">13) wymagany stopień skompensowania mocy biernej, </w:t>
      </w:r>
    </w:p>
    <w:p w14:paraId="0A695F4B" w14:textId="77777777" w:rsidR="002654E3" w:rsidRPr="00446DE2" w:rsidRDefault="002654E3" w:rsidP="00446DE2">
      <w:pPr>
        <w:spacing w:line="253" w:lineRule="auto"/>
        <w:ind w:left="1276" w:right="-3" w:hanging="850"/>
        <w:jc w:val="left"/>
        <w:rPr>
          <w:rFonts w:asciiTheme="majorHAnsi" w:hAnsiTheme="majorHAnsi"/>
          <w:sz w:val="24"/>
          <w:szCs w:val="24"/>
        </w:rPr>
      </w:pPr>
      <w:r w:rsidRPr="00446DE2">
        <w:rPr>
          <w:rFonts w:asciiTheme="majorHAnsi" w:hAnsiTheme="majorHAnsi"/>
          <w:sz w:val="24"/>
          <w:szCs w:val="24"/>
        </w:rPr>
        <w:t>14) wymagania w zakresie:</w:t>
      </w:r>
    </w:p>
    <w:p w14:paraId="077971DA" w14:textId="77777777" w:rsidR="002654E3" w:rsidRPr="00AE3F1B" w:rsidRDefault="002654E3">
      <w:pPr>
        <w:numPr>
          <w:ilvl w:val="4"/>
          <w:numId w:val="21"/>
        </w:numPr>
        <w:spacing w:line="253" w:lineRule="auto"/>
        <w:ind w:left="1134" w:right="-3" w:hanging="425"/>
        <w:jc w:val="left"/>
        <w:rPr>
          <w:rFonts w:ascii="Garamond" w:hAnsi="Garamond"/>
          <w:sz w:val="24"/>
          <w:szCs w:val="24"/>
        </w:rPr>
      </w:pPr>
      <w:r w:rsidRPr="00AE3F1B">
        <w:rPr>
          <w:rFonts w:ascii="Garamond" w:hAnsi="Garamond"/>
          <w:sz w:val="24"/>
          <w:szCs w:val="24"/>
        </w:rPr>
        <w:t xml:space="preserve">dostosowania przyłączanych urządzeń, instalacji lub sieci do systemów </w:t>
      </w:r>
      <w:r w:rsidR="000165AC" w:rsidRPr="00AE3F1B">
        <w:rPr>
          <w:rFonts w:ascii="Garamond" w:hAnsi="Garamond"/>
          <w:sz w:val="24"/>
          <w:szCs w:val="24"/>
        </w:rPr>
        <w:br/>
      </w:r>
      <w:r w:rsidRPr="00AE3F1B">
        <w:rPr>
          <w:rFonts w:ascii="Garamond" w:hAnsi="Garamond"/>
          <w:sz w:val="24"/>
          <w:szCs w:val="24"/>
        </w:rPr>
        <w:t>sterowania dyspozytorskiego,</w:t>
      </w:r>
    </w:p>
    <w:p w14:paraId="5911751C" w14:textId="77777777" w:rsidR="002654E3" w:rsidRPr="00AE3F1B" w:rsidRDefault="002654E3">
      <w:pPr>
        <w:numPr>
          <w:ilvl w:val="4"/>
          <w:numId w:val="21"/>
        </w:numPr>
        <w:spacing w:line="253" w:lineRule="auto"/>
        <w:ind w:left="1134" w:right="-3" w:hanging="425"/>
        <w:jc w:val="left"/>
        <w:rPr>
          <w:rFonts w:ascii="Garamond" w:hAnsi="Garamond"/>
          <w:sz w:val="24"/>
          <w:szCs w:val="24"/>
        </w:rPr>
      </w:pPr>
      <w:r w:rsidRPr="00AE3F1B">
        <w:rPr>
          <w:rFonts w:ascii="Garamond" w:hAnsi="Garamond"/>
          <w:sz w:val="24"/>
          <w:szCs w:val="24"/>
        </w:rPr>
        <w:t xml:space="preserve">zabezpieczenia sieci przed zakłóceniami elektrycznymi, powodowanymi przez </w:t>
      </w:r>
      <w:r w:rsidR="000165AC" w:rsidRPr="00AE3F1B">
        <w:rPr>
          <w:rFonts w:ascii="Garamond" w:hAnsi="Garamond"/>
          <w:sz w:val="24"/>
          <w:szCs w:val="24"/>
        </w:rPr>
        <w:br/>
      </w:r>
      <w:r w:rsidRPr="00AE3F1B">
        <w:rPr>
          <w:rFonts w:ascii="Garamond" w:hAnsi="Garamond"/>
          <w:sz w:val="24"/>
          <w:szCs w:val="24"/>
        </w:rPr>
        <w:t>instalacje lub sieci wnioskodawcy,</w:t>
      </w:r>
    </w:p>
    <w:p w14:paraId="0DC6A6DD" w14:textId="77777777" w:rsidR="002654E3" w:rsidRPr="00AE3F1B" w:rsidRDefault="002654E3">
      <w:pPr>
        <w:numPr>
          <w:ilvl w:val="4"/>
          <w:numId w:val="21"/>
        </w:numPr>
        <w:spacing w:line="253" w:lineRule="auto"/>
        <w:ind w:left="1134" w:right="-3" w:hanging="425"/>
        <w:jc w:val="left"/>
        <w:rPr>
          <w:rFonts w:ascii="Garamond" w:hAnsi="Garamond"/>
          <w:sz w:val="24"/>
          <w:szCs w:val="24"/>
        </w:rPr>
      </w:pPr>
      <w:r w:rsidRPr="00AE3F1B">
        <w:rPr>
          <w:rFonts w:ascii="Garamond" w:hAnsi="Garamond"/>
          <w:sz w:val="24"/>
          <w:szCs w:val="24"/>
        </w:rPr>
        <w:t xml:space="preserve">wyposażenia, instalacji lub sieci, niezbędnego do współpracy z siecią, do której </w:t>
      </w:r>
      <w:r w:rsidR="000165AC" w:rsidRPr="00AE3F1B">
        <w:rPr>
          <w:rFonts w:ascii="Garamond" w:hAnsi="Garamond"/>
          <w:sz w:val="24"/>
          <w:szCs w:val="24"/>
        </w:rPr>
        <w:br/>
      </w:r>
      <w:r w:rsidRPr="00AE3F1B">
        <w:rPr>
          <w:rFonts w:ascii="Garamond" w:hAnsi="Garamond"/>
          <w:sz w:val="24"/>
          <w:szCs w:val="24"/>
        </w:rPr>
        <w:t>instalacje lub sieci są przyłączane,</w:t>
      </w:r>
    </w:p>
    <w:p w14:paraId="18FC3126" w14:textId="77777777" w:rsidR="002654E3" w:rsidRPr="00AE3F1B" w:rsidRDefault="002654E3">
      <w:pPr>
        <w:numPr>
          <w:ilvl w:val="4"/>
          <w:numId w:val="21"/>
        </w:numPr>
        <w:spacing w:line="253" w:lineRule="auto"/>
        <w:ind w:left="1134" w:right="-3" w:hanging="425"/>
        <w:jc w:val="left"/>
        <w:rPr>
          <w:rFonts w:ascii="Garamond" w:hAnsi="Garamond"/>
          <w:sz w:val="24"/>
          <w:szCs w:val="24"/>
        </w:rPr>
      </w:pPr>
      <w:r w:rsidRPr="00AE3F1B">
        <w:rPr>
          <w:rFonts w:ascii="Garamond" w:hAnsi="Garamond"/>
          <w:sz w:val="24"/>
          <w:szCs w:val="24"/>
        </w:rPr>
        <w:t xml:space="preserve">ochrony przeciwporażeniowej i przepięciowej przyłączanych sieci lub </w:t>
      </w:r>
      <w:r w:rsidR="000165AC" w:rsidRPr="00AE3F1B">
        <w:rPr>
          <w:rFonts w:ascii="Garamond" w:hAnsi="Garamond"/>
          <w:sz w:val="24"/>
          <w:szCs w:val="24"/>
        </w:rPr>
        <w:br/>
      </w:r>
      <w:r w:rsidRPr="00AE3F1B">
        <w:rPr>
          <w:rFonts w:ascii="Garamond" w:hAnsi="Garamond"/>
          <w:sz w:val="24"/>
          <w:szCs w:val="24"/>
        </w:rPr>
        <w:t>instalacji.</w:t>
      </w:r>
    </w:p>
    <w:p w14:paraId="1DF62F83" w14:textId="77777777" w:rsidR="002654E3" w:rsidRPr="00AE3F1B" w:rsidRDefault="002654E3">
      <w:pPr>
        <w:numPr>
          <w:ilvl w:val="3"/>
          <w:numId w:val="23"/>
        </w:numPr>
        <w:spacing w:line="253" w:lineRule="auto"/>
        <w:ind w:left="851" w:right="-3" w:hanging="425"/>
        <w:jc w:val="left"/>
        <w:rPr>
          <w:rFonts w:ascii="Garamond" w:hAnsi="Garamond"/>
          <w:sz w:val="24"/>
          <w:szCs w:val="24"/>
        </w:rPr>
      </w:pPr>
      <w:r w:rsidRPr="00AE3F1B">
        <w:rPr>
          <w:rFonts w:ascii="Garamond" w:hAnsi="Garamond"/>
          <w:sz w:val="24"/>
          <w:szCs w:val="24"/>
        </w:rPr>
        <w:t xml:space="preserve">dane i informacje dotyczące sieci, niezbędne w celu doboru systemu ochrony od </w:t>
      </w:r>
      <w:r w:rsidR="000165AC" w:rsidRPr="00AE3F1B">
        <w:rPr>
          <w:rFonts w:ascii="Garamond" w:hAnsi="Garamond"/>
          <w:sz w:val="24"/>
          <w:szCs w:val="24"/>
        </w:rPr>
        <w:br/>
      </w:r>
      <w:r w:rsidRPr="00AE3F1B">
        <w:rPr>
          <w:rFonts w:ascii="Garamond" w:hAnsi="Garamond"/>
          <w:sz w:val="24"/>
          <w:szCs w:val="24"/>
        </w:rPr>
        <w:t>porażeń w instalacji lub sieci przyłączanego podmiotu,</w:t>
      </w:r>
    </w:p>
    <w:p w14:paraId="08896A9E" w14:textId="19675F0C" w:rsidR="002654E3" w:rsidRPr="00AE3F1B" w:rsidRDefault="002654E3">
      <w:pPr>
        <w:numPr>
          <w:ilvl w:val="3"/>
          <w:numId w:val="23"/>
        </w:numPr>
        <w:spacing w:after="340" w:line="253" w:lineRule="auto"/>
        <w:ind w:left="851" w:right="-3" w:hanging="425"/>
        <w:jc w:val="left"/>
        <w:rPr>
          <w:rFonts w:ascii="Garamond" w:hAnsi="Garamond"/>
          <w:sz w:val="24"/>
          <w:szCs w:val="24"/>
        </w:rPr>
      </w:pPr>
      <w:r w:rsidRPr="00AE3F1B">
        <w:rPr>
          <w:rFonts w:ascii="Garamond" w:hAnsi="Garamond"/>
          <w:sz w:val="24"/>
          <w:szCs w:val="24"/>
        </w:rPr>
        <w:t xml:space="preserve">ustalone, dla poszczególnych grup przyłączeniowych, dopuszczalne poziomy zaburzeń parametrów technicznych i jakościowych energii elektrycznej </w:t>
      </w:r>
      <w:r w:rsidR="00937322" w:rsidRPr="00AE3F1B">
        <w:rPr>
          <w:rFonts w:ascii="Garamond" w:hAnsi="Garamond"/>
          <w:sz w:val="24"/>
          <w:szCs w:val="24"/>
        </w:rPr>
        <w:t>niepowodujących</w:t>
      </w:r>
      <w:r w:rsidRPr="00AE3F1B">
        <w:rPr>
          <w:rFonts w:ascii="Garamond" w:hAnsi="Garamond"/>
          <w:sz w:val="24"/>
          <w:szCs w:val="24"/>
        </w:rPr>
        <w:t xml:space="preserve"> pogorszenia parametrów określonych w aktach wykonawczych do ustawy Prawo Energetyczne albo ustalonych w umowie o świadczenie usługi przesyłowej albo dystrybucyjnej lub umowie kompleksowej.</w:t>
      </w:r>
    </w:p>
    <w:p w14:paraId="1ACBE174" w14:textId="11823AB7" w:rsidR="000165AC" w:rsidRPr="00AE3F1B" w:rsidRDefault="000165AC" w:rsidP="00175586">
      <w:pPr>
        <w:spacing w:after="125"/>
        <w:ind w:left="567" w:right="-3" w:hanging="567"/>
        <w:jc w:val="left"/>
        <w:rPr>
          <w:rFonts w:ascii="Garamond" w:hAnsi="Garamond"/>
          <w:sz w:val="24"/>
          <w:szCs w:val="24"/>
        </w:rPr>
      </w:pPr>
      <w:r w:rsidRPr="00AE3F1B">
        <w:rPr>
          <w:rFonts w:ascii="Garamond" w:hAnsi="Garamond"/>
          <w:sz w:val="24"/>
          <w:szCs w:val="24"/>
        </w:rPr>
        <w:t xml:space="preserve">II.1.9.   Miejscem dostarczania energii elektrycznej dla podmiotów zaliczanych do grup przyłączeniowych IV i V, </w:t>
      </w:r>
      <w:r w:rsidR="00937322" w:rsidRPr="00AE3F1B">
        <w:rPr>
          <w:rFonts w:ascii="Garamond" w:hAnsi="Garamond"/>
          <w:sz w:val="24"/>
          <w:szCs w:val="24"/>
        </w:rPr>
        <w:t>z wyjątkiem</w:t>
      </w:r>
      <w:r w:rsidRPr="00AE3F1B">
        <w:rPr>
          <w:rFonts w:ascii="Garamond" w:hAnsi="Garamond"/>
          <w:sz w:val="24"/>
          <w:szCs w:val="24"/>
        </w:rPr>
        <w:t xml:space="preserve"> źródeł energii elektrycznej, zależnie od rodzaju przyłącza, są:</w:t>
      </w:r>
    </w:p>
    <w:p w14:paraId="1A94DF82" w14:textId="77777777" w:rsidR="000165AC" w:rsidRPr="00AE3F1B" w:rsidRDefault="000165AC">
      <w:pPr>
        <w:numPr>
          <w:ilvl w:val="3"/>
          <w:numId w:val="25"/>
        </w:numPr>
        <w:spacing w:line="253" w:lineRule="auto"/>
        <w:ind w:left="851" w:right="-3" w:hanging="425"/>
        <w:jc w:val="left"/>
        <w:rPr>
          <w:rFonts w:ascii="Garamond" w:hAnsi="Garamond"/>
          <w:sz w:val="24"/>
          <w:szCs w:val="24"/>
        </w:rPr>
      </w:pPr>
      <w:r w:rsidRPr="00AE3F1B">
        <w:rPr>
          <w:rFonts w:ascii="Garamond" w:hAnsi="Garamond"/>
          <w:sz w:val="24"/>
          <w:szCs w:val="24"/>
        </w:rPr>
        <w:t>przy zasilaniu z elektroenergetycznej linii napowietrznej przyłączem wykonanym pojedynczymi przewodami fazowymi zaciski prądowe przewodów przy izolatorach stojaka dachowego lub konstrukcji wsporczej w ścianie budynku, na wyjściu w kierunku instalacji odbiorcy,</w:t>
      </w:r>
    </w:p>
    <w:p w14:paraId="5C4F32D3" w14:textId="77777777" w:rsidR="000165AC" w:rsidRPr="00AE3F1B" w:rsidRDefault="000165AC">
      <w:pPr>
        <w:numPr>
          <w:ilvl w:val="3"/>
          <w:numId w:val="25"/>
        </w:numPr>
        <w:spacing w:line="253" w:lineRule="auto"/>
        <w:ind w:left="851" w:right="-3" w:hanging="425"/>
        <w:jc w:val="left"/>
        <w:rPr>
          <w:rFonts w:ascii="Garamond" w:hAnsi="Garamond"/>
          <w:sz w:val="24"/>
          <w:szCs w:val="24"/>
        </w:rPr>
      </w:pPr>
      <w:r w:rsidRPr="00AE3F1B">
        <w:rPr>
          <w:rFonts w:ascii="Garamond" w:hAnsi="Garamond"/>
          <w:sz w:val="24"/>
          <w:szCs w:val="24"/>
        </w:rPr>
        <w:lastRenderedPageBreak/>
        <w:t>przy zasilaniu kablem ziemnym lub przyłączem kablowym z linii napowietrznej zaciski prądowe na wyjściu przewodów od zabezpieczenia w złączu, w kierunku instalacji odbiorcy,</w:t>
      </w:r>
    </w:p>
    <w:p w14:paraId="655DB61F" w14:textId="77777777" w:rsidR="000165AC" w:rsidRPr="00AE3F1B" w:rsidRDefault="000165AC">
      <w:pPr>
        <w:numPr>
          <w:ilvl w:val="3"/>
          <w:numId w:val="25"/>
        </w:numPr>
        <w:spacing w:line="253" w:lineRule="auto"/>
        <w:ind w:left="851" w:right="-3" w:hanging="425"/>
        <w:jc w:val="left"/>
        <w:rPr>
          <w:rFonts w:ascii="Garamond" w:hAnsi="Garamond"/>
          <w:sz w:val="24"/>
          <w:szCs w:val="24"/>
        </w:rPr>
      </w:pPr>
      <w:r w:rsidRPr="00AE3F1B">
        <w:rPr>
          <w:rFonts w:ascii="Garamond" w:hAnsi="Garamond"/>
          <w:sz w:val="24"/>
          <w:szCs w:val="24"/>
        </w:rPr>
        <w:t>przy zasilaniu przyłączem napowietrznym, wykonanym wielożyłowym przewodem izolowanym zaciski prądowe, o których mowa w pkt. 1, lub zaciski prądowe na wejściu przewodów od zabezpieczenia w złączu w kierunku instalacji odbiorcy, w zależności od przyjętego rozwiązania technicznego,</w:t>
      </w:r>
    </w:p>
    <w:p w14:paraId="5720AB90" w14:textId="77777777" w:rsidR="000165AC" w:rsidRPr="00AE3F1B" w:rsidRDefault="000165AC">
      <w:pPr>
        <w:numPr>
          <w:ilvl w:val="3"/>
          <w:numId w:val="25"/>
        </w:numPr>
        <w:spacing w:line="253" w:lineRule="auto"/>
        <w:ind w:left="851" w:right="-3" w:hanging="425"/>
        <w:jc w:val="left"/>
        <w:rPr>
          <w:rFonts w:ascii="Garamond" w:hAnsi="Garamond"/>
          <w:sz w:val="24"/>
          <w:szCs w:val="24"/>
        </w:rPr>
      </w:pPr>
      <w:r w:rsidRPr="00AE3F1B">
        <w:rPr>
          <w:rFonts w:ascii="Garamond" w:hAnsi="Garamond"/>
          <w:sz w:val="24"/>
          <w:szCs w:val="24"/>
        </w:rPr>
        <w:t>w budynkach wielolokalowych zaciski prądowe na wyjściu od zabezpieczeń głównych w złączu, w kierunku instalacji odbiorców,</w:t>
      </w:r>
    </w:p>
    <w:p w14:paraId="1B628729" w14:textId="77777777" w:rsidR="000165AC" w:rsidRPr="00AE3F1B" w:rsidRDefault="000165AC">
      <w:pPr>
        <w:numPr>
          <w:ilvl w:val="3"/>
          <w:numId w:val="25"/>
        </w:numPr>
        <w:spacing w:line="253" w:lineRule="auto"/>
        <w:ind w:left="851" w:right="-3" w:hanging="425"/>
        <w:jc w:val="left"/>
        <w:rPr>
          <w:rFonts w:ascii="Garamond" w:hAnsi="Garamond"/>
          <w:sz w:val="24"/>
          <w:szCs w:val="24"/>
        </w:rPr>
      </w:pPr>
      <w:r w:rsidRPr="00AE3F1B">
        <w:rPr>
          <w:rFonts w:ascii="Garamond" w:hAnsi="Garamond"/>
          <w:sz w:val="24"/>
          <w:szCs w:val="24"/>
        </w:rPr>
        <w:t>w złączu zintegrowanym z układem pomiarowo-rozliczeniowym zaciski na listwie zaciskowej w kierunku instalacji odbiorczej. W uzgodnionych z przyłączanym podmiotem przypadkach dopuszcza się określenie miejsca dostarczania energii w sposób inny niż podany powyżej.</w:t>
      </w:r>
    </w:p>
    <w:p w14:paraId="2DE7ED30" w14:textId="76C8B3D8" w:rsidR="000165AC" w:rsidRPr="00AE3F1B" w:rsidRDefault="006519D6" w:rsidP="00175586">
      <w:pPr>
        <w:tabs>
          <w:tab w:val="center" w:pos="4493"/>
        </w:tabs>
        <w:spacing w:after="126" w:line="253" w:lineRule="auto"/>
        <w:ind w:left="567" w:right="-3" w:hanging="567"/>
        <w:jc w:val="left"/>
        <w:rPr>
          <w:rFonts w:ascii="Garamond" w:hAnsi="Garamond"/>
          <w:sz w:val="24"/>
          <w:szCs w:val="24"/>
        </w:rPr>
      </w:pPr>
      <w:r>
        <w:rPr>
          <w:rFonts w:ascii="Garamond" w:hAnsi="Garamond"/>
          <w:sz w:val="24"/>
          <w:szCs w:val="24"/>
        </w:rPr>
        <w:t>II</w:t>
      </w:r>
      <w:r w:rsidR="000165AC" w:rsidRPr="00AE3F1B">
        <w:rPr>
          <w:rFonts w:ascii="Garamond" w:hAnsi="Garamond"/>
          <w:sz w:val="24"/>
          <w:szCs w:val="24"/>
        </w:rPr>
        <w:t>.1.10.</w:t>
      </w:r>
      <w:r w:rsidR="00937322">
        <w:rPr>
          <w:rFonts w:ascii="Garamond" w:hAnsi="Garamond"/>
          <w:sz w:val="24"/>
          <w:szCs w:val="24"/>
        </w:rPr>
        <w:t xml:space="preserve"> </w:t>
      </w:r>
      <w:r w:rsidR="000165AC" w:rsidRPr="00AE3F1B">
        <w:rPr>
          <w:rFonts w:ascii="Garamond" w:hAnsi="Garamond"/>
          <w:sz w:val="24"/>
          <w:szCs w:val="24"/>
        </w:rPr>
        <w:t>ID Sp. z o.o. wydaje warunki przyłączenia w następujących terminach:</w:t>
      </w:r>
    </w:p>
    <w:p w14:paraId="3583143E" w14:textId="77777777" w:rsidR="000165AC" w:rsidRPr="00AE3F1B" w:rsidRDefault="000165AC">
      <w:pPr>
        <w:numPr>
          <w:ilvl w:val="4"/>
          <w:numId w:val="24"/>
        </w:numPr>
        <w:spacing w:line="253" w:lineRule="auto"/>
        <w:ind w:left="851" w:right="-3" w:hanging="425"/>
        <w:jc w:val="left"/>
        <w:rPr>
          <w:rFonts w:ascii="Garamond" w:hAnsi="Garamond"/>
          <w:sz w:val="24"/>
          <w:szCs w:val="24"/>
        </w:rPr>
      </w:pPr>
      <w:r w:rsidRPr="00AE3F1B">
        <w:rPr>
          <w:rFonts w:ascii="Garamond" w:hAnsi="Garamond"/>
          <w:sz w:val="24"/>
          <w:szCs w:val="24"/>
        </w:rPr>
        <w:t xml:space="preserve">21 dni od dnia złożenia wniosku przez wnioskodawcę zaliczonego do V lub VI grupy przyłączeniowej przyłączanego do sieci o napięciu nie wyższym niż 1 </w:t>
      </w:r>
      <w:proofErr w:type="spellStart"/>
      <w:r w:rsidRPr="00AE3F1B">
        <w:rPr>
          <w:rFonts w:ascii="Garamond" w:hAnsi="Garamond"/>
          <w:sz w:val="24"/>
          <w:szCs w:val="24"/>
        </w:rPr>
        <w:t>kV</w:t>
      </w:r>
      <w:proofErr w:type="spellEnd"/>
      <w:r w:rsidRPr="00AE3F1B">
        <w:rPr>
          <w:rFonts w:ascii="Garamond" w:hAnsi="Garamond"/>
          <w:sz w:val="24"/>
          <w:szCs w:val="24"/>
        </w:rPr>
        <w:t>;</w:t>
      </w:r>
    </w:p>
    <w:p w14:paraId="00AC6525" w14:textId="77777777" w:rsidR="000165AC" w:rsidRPr="00AE3F1B" w:rsidRDefault="000165AC">
      <w:pPr>
        <w:numPr>
          <w:ilvl w:val="4"/>
          <w:numId w:val="24"/>
        </w:numPr>
        <w:spacing w:line="253" w:lineRule="auto"/>
        <w:ind w:left="851" w:right="-3" w:hanging="425"/>
        <w:jc w:val="left"/>
        <w:rPr>
          <w:rFonts w:ascii="Garamond" w:hAnsi="Garamond"/>
          <w:sz w:val="24"/>
          <w:szCs w:val="24"/>
        </w:rPr>
      </w:pPr>
      <w:r w:rsidRPr="00AE3F1B">
        <w:rPr>
          <w:rFonts w:ascii="Garamond" w:hAnsi="Garamond"/>
          <w:sz w:val="24"/>
          <w:szCs w:val="24"/>
        </w:rPr>
        <w:t xml:space="preserve">30 dni od dnia złożenia wniosku przez wnioskodawcę zaliczonego do IV grupy przyłączeniowej przyłączanego do sieci o napięciu nie wyższym niż 1 </w:t>
      </w:r>
      <w:proofErr w:type="spellStart"/>
      <w:r w:rsidRPr="00AE3F1B">
        <w:rPr>
          <w:rFonts w:ascii="Garamond" w:hAnsi="Garamond"/>
          <w:sz w:val="24"/>
          <w:szCs w:val="24"/>
        </w:rPr>
        <w:t>kV</w:t>
      </w:r>
      <w:proofErr w:type="spellEnd"/>
      <w:r w:rsidRPr="00AE3F1B">
        <w:rPr>
          <w:rFonts w:ascii="Garamond" w:hAnsi="Garamond"/>
          <w:sz w:val="24"/>
          <w:szCs w:val="24"/>
        </w:rPr>
        <w:t>;</w:t>
      </w:r>
    </w:p>
    <w:p w14:paraId="70B0EF04" w14:textId="593B2B12" w:rsidR="000165AC" w:rsidRPr="00AE3F1B" w:rsidRDefault="000165AC">
      <w:pPr>
        <w:numPr>
          <w:ilvl w:val="4"/>
          <w:numId w:val="24"/>
        </w:numPr>
        <w:spacing w:line="253" w:lineRule="auto"/>
        <w:ind w:left="851" w:right="-3" w:hanging="425"/>
        <w:jc w:val="left"/>
        <w:rPr>
          <w:rFonts w:ascii="Garamond" w:hAnsi="Garamond"/>
          <w:sz w:val="24"/>
          <w:szCs w:val="24"/>
        </w:rPr>
      </w:pPr>
      <w:r w:rsidRPr="00AE3F1B">
        <w:rPr>
          <w:rFonts w:ascii="Garamond" w:hAnsi="Garamond"/>
          <w:sz w:val="24"/>
          <w:szCs w:val="24"/>
        </w:rPr>
        <w:t>60 dni od dnia złożenia wniosku przez wnioskodawcę zaliczonego do III lub VI grupy przyłączeniowej przyłączanego do sieci o napięciu powyżej 1</w:t>
      </w:r>
      <w:r w:rsidR="00CE2DB8">
        <w:rPr>
          <w:rFonts w:ascii="Garamond" w:hAnsi="Garamond"/>
          <w:sz w:val="24"/>
          <w:szCs w:val="24"/>
        </w:rPr>
        <w:t>k</w:t>
      </w:r>
      <w:r w:rsidRPr="00AE3F1B">
        <w:rPr>
          <w:rFonts w:ascii="Garamond" w:hAnsi="Garamond"/>
          <w:sz w:val="24"/>
          <w:szCs w:val="24"/>
        </w:rPr>
        <w:t>V, niewyposażonego w źródło lub magazyn energii;</w:t>
      </w:r>
    </w:p>
    <w:p w14:paraId="4ECE5D98" w14:textId="77777777" w:rsidR="000165AC" w:rsidRPr="00AE3F1B" w:rsidRDefault="000165AC">
      <w:pPr>
        <w:numPr>
          <w:ilvl w:val="4"/>
          <w:numId w:val="24"/>
        </w:numPr>
        <w:spacing w:line="253" w:lineRule="auto"/>
        <w:ind w:left="851" w:right="-3" w:hanging="425"/>
        <w:jc w:val="left"/>
        <w:rPr>
          <w:rFonts w:ascii="Garamond" w:hAnsi="Garamond"/>
          <w:sz w:val="24"/>
          <w:szCs w:val="24"/>
        </w:rPr>
      </w:pPr>
      <w:r w:rsidRPr="00AE3F1B">
        <w:rPr>
          <w:rFonts w:ascii="Garamond" w:hAnsi="Garamond"/>
          <w:sz w:val="24"/>
          <w:szCs w:val="24"/>
        </w:rPr>
        <w:t xml:space="preserve">120 dni od dnia złożenia wniosku przez wnioskodawcę zaliczonego do III lub VI grupy przyłączeniowej dla obiektu przyłączanego do sieci o napięciu wyższym niż 1 </w:t>
      </w:r>
      <w:proofErr w:type="spellStart"/>
      <w:r w:rsidRPr="00AE3F1B">
        <w:rPr>
          <w:rFonts w:ascii="Garamond" w:hAnsi="Garamond"/>
          <w:sz w:val="24"/>
          <w:szCs w:val="24"/>
        </w:rPr>
        <w:t>kV</w:t>
      </w:r>
      <w:proofErr w:type="spellEnd"/>
      <w:r w:rsidRPr="00AE3F1B">
        <w:rPr>
          <w:rFonts w:ascii="Garamond" w:hAnsi="Garamond"/>
          <w:sz w:val="24"/>
          <w:szCs w:val="24"/>
        </w:rPr>
        <w:t xml:space="preserve"> wyposażonego w źródło lub magazyn energii;</w:t>
      </w:r>
    </w:p>
    <w:p w14:paraId="5DE9803C" w14:textId="32CCE2FE" w:rsidR="000165AC" w:rsidRPr="00AE3F1B" w:rsidRDefault="000165AC">
      <w:pPr>
        <w:numPr>
          <w:ilvl w:val="4"/>
          <w:numId w:val="24"/>
        </w:numPr>
        <w:spacing w:line="253" w:lineRule="auto"/>
        <w:ind w:left="851" w:right="-3" w:hanging="425"/>
        <w:jc w:val="left"/>
        <w:rPr>
          <w:rFonts w:ascii="Garamond" w:hAnsi="Garamond"/>
          <w:sz w:val="24"/>
          <w:szCs w:val="24"/>
        </w:rPr>
      </w:pPr>
      <w:r w:rsidRPr="00AE3F1B">
        <w:rPr>
          <w:rFonts w:ascii="Garamond" w:hAnsi="Garamond"/>
          <w:sz w:val="24"/>
          <w:szCs w:val="24"/>
        </w:rPr>
        <w:t xml:space="preserve">150 dni od dnia złożenia wniosku przez wnioskodawcę zaliczonego do I lub </w:t>
      </w:r>
      <w:r w:rsidR="004B0D5B">
        <w:rPr>
          <w:rFonts w:ascii="Garamond" w:hAnsi="Garamond"/>
          <w:sz w:val="24"/>
          <w:szCs w:val="24"/>
        </w:rPr>
        <w:t>II</w:t>
      </w:r>
      <w:r w:rsidRPr="00AE3F1B">
        <w:rPr>
          <w:rFonts w:ascii="Garamond" w:hAnsi="Garamond"/>
          <w:sz w:val="24"/>
          <w:szCs w:val="24"/>
        </w:rPr>
        <w:t xml:space="preserve"> grupy przyłączeniowej.</w:t>
      </w:r>
    </w:p>
    <w:p w14:paraId="61E96CD7" w14:textId="1A8B37DD" w:rsidR="000165AC" w:rsidRPr="00AE3F1B" w:rsidRDefault="000165AC" w:rsidP="00986798">
      <w:pPr>
        <w:spacing w:line="253" w:lineRule="auto"/>
        <w:ind w:left="708" w:right="-3"/>
        <w:jc w:val="left"/>
        <w:rPr>
          <w:rFonts w:ascii="Garamond" w:hAnsi="Garamond"/>
          <w:sz w:val="24"/>
          <w:szCs w:val="24"/>
        </w:rPr>
      </w:pPr>
      <w:r w:rsidRPr="00AE3F1B">
        <w:rPr>
          <w:rFonts w:ascii="Garamond" w:hAnsi="Garamond"/>
          <w:sz w:val="24"/>
          <w:szCs w:val="24"/>
        </w:rPr>
        <w:t>W przypadku wniosku o wydanie warunków przyłączenia źródła lub magazynu energii do sieci</w:t>
      </w:r>
      <w:r w:rsidR="008D2A5B">
        <w:rPr>
          <w:rFonts w:ascii="Garamond" w:hAnsi="Garamond"/>
          <w:sz w:val="24"/>
          <w:szCs w:val="24"/>
        </w:rPr>
        <w:t xml:space="preserve"> </w:t>
      </w:r>
      <w:r w:rsidRPr="00AE3F1B">
        <w:rPr>
          <w:rFonts w:ascii="Garamond" w:hAnsi="Garamond"/>
          <w:sz w:val="24"/>
          <w:szCs w:val="24"/>
        </w:rPr>
        <w:t xml:space="preserve">elektroenergetycznej o napięciu wyższym niż 1 </w:t>
      </w:r>
      <w:proofErr w:type="spellStart"/>
      <w:r w:rsidRPr="00AE3F1B">
        <w:rPr>
          <w:rFonts w:ascii="Garamond" w:hAnsi="Garamond"/>
          <w:sz w:val="24"/>
          <w:szCs w:val="24"/>
        </w:rPr>
        <w:t>kV</w:t>
      </w:r>
      <w:proofErr w:type="spellEnd"/>
      <w:r w:rsidRPr="00AE3F1B">
        <w:rPr>
          <w:rFonts w:ascii="Garamond" w:hAnsi="Garamond"/>
          <w:sz w:val="24"/>
          <w:szCs w:val="24"/>
        </w:rPr>
        <w:t xml:space="preserve"> terminy określone w pkt 4) i 5) liczone są od dnia wniesienia zaliczki. Do terminów na wydanie warunków przyłączenia do sieci nie wlicza się terminów przewidzianych w przepisach prawa do dokonania określonych czynności, terminów na uzupełnienie wniosku o wydanie warunków przyłączenia do sieci, okresów opóźnień spowodowanych z winy podmiotu wnioskującego o przyłączenie albo z przyczyn niezależnych od przedsiębiorstwa energetycznego.</w:t>
      </w:r>
    </w:p>
    <w:p w14:paraId="53015549" w14:textId="77777777" w:rsidR="000165AC" w:rsidRPr="00AE3F1B" w:rsidRDefault="000165AC" w:rsidP="00986798">
      <w:pPr>
        <w:spacing w:after="189"/>
        <w:ind w:left="708" w:right="-3"/>
        <w:jc w:val="left"/>
        <w:rPr>
          <w:rFonts w:ascii="Garamond" w:hAnsi="Garamond"/>
          <w:sz w:val="24"/>
          <w:szCs w:val="24"/>
        </w:rPr>
      </w:pPr>
      <w:r w:rsidRPr="00AE3F1B">
        <w:rPr>
          <w:rFonts w:ascii="Garamond" w:hAnsi="Garamond"/>
          <w:sz w:val="24"/>
          <w:szCs w:val="24"/>
        </w:rPr>
        <w:t>W szczególnie uzasadnionych przypadkach ID Sp. z o.o. może przedłużyć terminy określone powyżej o maksymalnie połowę terminu, w jakim obowiązane jest wydać warunki przyłączenia do sieci elektroenergetycznej dla poszczególnych grup przyłączeniowych za uprzednim zawiadomieniem podmiotu wnioskującego o przyłączenie do sieci z podaniem uzasadnienia przyczyn tego przedłużenia.</w:t>
      </w:r>
    </w:p>
    <w:p w14:paraId="7531C1E9" w14:textId="7506F945" w:rsidR="00F814C5" w:rsidRPr="00AE3F1B" w:rsidRDefault="00505AE3" w:rsidP="00986798">
      <w:pPr>
        <w:spacing w:line="253" w:lineRule="auto"/>
        <w:ind w:left="708" w:right="-3" w:hanging="708"/>
        <w:jc w:val="left"/>
        <w:rPr>
          <w:rFonts w:ascii="Garamond" w:hAnsi="Garamond"/>
          <w:sz w:val="24"/>
          <w:szCs w:val="24"/>
        </w:rPr>
      </w:pPr>
      <w:r w:rsidRPr="00EC36C2">
        <w:rPr>
          <w:rFonts w:asciiTheme="majorHAnsi" w:hAnsiTheme="majorHAnsi"/>
          <w:sz w:val="24"/>
          <w:szCs w:val="24"/>
        </w:rPr>
        <w:t>II.1.11.</w:t>
      </w:r>
      <w:r w:rsidR="00986798">
        <w:rPr>
          <w:rFonts w:asciiTheme="majorHAnsi" w:hAnsiTheme="majorHAnsi"/>
          <w:sz w:val="24"/>
          <w:szCs w:val="24"/>
        </w:rPr>
        <w:tab/>
      </w:r>
      <w:r w:rsidR="00F814C5" w:rsidRPr="00EC36C2">
        <w:rPr>
          <w:rFonts w:asciiTheme="majorHAnsi" w:hAnsiTheme="majorHAnsi"/>
          <w:sz w:val="24"/>
          <w:szCs w:val="24"/>
        </w:rPr>
        <w:t xml:space="preserve">Warunki przyłączenia są ważne dwa lata od dnia ich doręczenia. W okresie ważności </w:t>
      </w:r>
      <w:r w:rsidR="00F814C5" w:rsidRPr="00EC36C2">
        <w:rPr>
          <w:rFonts w:asciiTheme="majorHAnsi" w:hAnsiTheme="majorHAnsi"/>
          <w:sz w:val="24"/>
          <w:szCs w:val="24"/>
        </w:rPr>
        <w:br/>
      </w:r>
      <w:r w:rsidR="00F814C5" w:rsidRPr="00AE3F1B">
        <w:rPr>
          <w:rFonts w:ascii="Garamond" w:hAnsi="Garamond"/>
          <w:sz w:val="24"/>
          <w:szCs w:val="24"/>
        </w:rPr>
        <w:t>warunki przyłączenia stanowią warunkowe zobowiązanie OSD do zawarcia umowy o</w:t>
      </w:r>
      <w:r w:rsidR="00986798">
        <w:rPr>
          <w:rFonts w:ascii="Garamond" w:hAnsi="Garamond"/>
          <w:sz w:val="24"/>
          <w:szCs w:val="24"/>
        </w:rPr>
        <w:t xml:space="preserve"> </w:t>
      </w:r>
      <w:r w:rsidR="008D2A5B" w:rsidRPr="00AE3F1B">
        <w:rPr>
          <w:rFonts w:ascii="Garamond" w:hAnsi="Garamond"/>
          <w:sz w:val="24"/>
          <w:szCs w:val="24"/>
        </w:rPr>
        <w:t>przyłączenie do</w:t>
      </w:r>
      <w:r w:rsidR="00986798">
        <w:rPr>
          <w:rFonts w:ascii="Garamond" w:hAnsi="Garamond"/>
          <w:sz w:val="24"/>
          <w:szCs w:val="24"/>
        </w:rPr>
        <w:t xml:space="preserve"> </w:t>
      </w:r>
      <w:r w:rsidR="008D2A5B" w:rsidRPr="00AE3F1B">
        <w:rPr>
          <w:rFonts w:ascii="Garamond" w:hAnsi="Garamond"/>
          <w:sz w:val="24"/>
          <w:szCs w:val="24"/>
        </w:rPr>
        <w:t>sieci elektroenergetycznej</w:t>
      </w:r>
      <w:r w:rsidR="00F814C5" w:rsidRPr="00AE3F1B">
        <w:rPr>
          <w:rFonts w:ascii="Garamond" w:hAnsi="Garamond"/>
          <w:sz w:val="24"/>
          <w:szCs w:val="24"/>
        </w:rPr>
        <w:t>.</w:t>
      </w:r>
    </w:p>
    <w:p w14:paraId="10E8F32B" w14:textId="716B82CB" w:rsidR="00F814C5" w:rsidRPr="00AE3F1B" w:rsidRDefault="00F814C5" w:rsidP="00986798">
      <w:pPr>
        <w:spacing w:after="158" w:line="253" w:lineRule="auto"/>
        <w:ind w:left="708" w:right="-3"/>
        <w:jc w:val="left"/>
        <w:rPr>
          <w:rFonts w:ascii="Garamond" w:hAnsi="Garamond"/>
          <w:sz w:val="24"/>
          <w:szCs w:val="24"/>
        </w:rPr>
      </w:pPr>
      <w:r w:rsidRPr="00AE3F1B">
        <w:rPr>
          <w:rFonts w:ascii="Garamond" w:hAnsi="Garamond"/>
          <w:sz w:val="24"/>
          <w:szCs w:val="24"/>
        </w:rPr>
        <w:t>Wnioskodawca może zrezygnować z realizacji warunków przyłączenia przed upływem terminu</w:t>
      </w:r>
      <w:r w:rsidR="00986798">
        <w:rPr>
          <w:rFonts w:ascii="Garamond" w:hAnsi="Garamond"/>
          <w:sz w:val="24"/>
          <w:szCs w:val="24"/>
        </w:rPr>
        <w:t xml:space="preserve"> </w:t>
      </w:r>
      <w:r w:rsidRPr="00AE3F1B">
        <w:rPr>
          <w:rFonts w:ascii="Garamond" w:hAnsi="Garamond"/>
          <w:sz w:val="24"/>
          <w:szCs w:val="24"/>
        </w:rPr>
        <w:t>ważności warunków przyłączenia, o czym wnioskodawca informuje ID Sp. z o.o. W przypadku rezygnacji z warunków przyłączenia tracą one ważność z dniem poinformowania OSD o rezygnacji z ich realizacji.</w:t>
      </w:r>
    </w:p>
    <w:p w14:paraId="53C58546" w14:textId="267FC646" w:rsidR="00F814C5" w:rsidRPr="00AE3F1B" w:rsidRDefault="00505AE3" w:rsidP="00986798">
      <w:pPr>
        <w:spacing w:line="253" w:lineRule="auto"/>
        <w:ind w:left="708" w:right="-3" w:hanging="708"/>
        <w:jc w:val="left"/>
        <w:rPr>
          <w:rFonts w:ascii="Garamond" w:hAnsi="Garamond"/>
          <w:sz w:val="24"/>
          <w:szCs w:val="24"/>
        </w:rPr>
      </w:pPr>
      <w:r w:rsidRPr="00EC36C2">
        <w:rPr>
          <w:rFonts w:asciiTheme="majorHAnsi" w:hAnsiTheme="majorHAnsi"/>
          <w:sz w:val="24"/>
          <w:szCs w:val="24"/>
        </w:rPr>
        <w:lastRenderedPageBreak/>
        <w:t>II.1.12.</w:t>
      </w:r>
      <w:r w:rsidR="00986798">
        <w:rPr>
          <w:rFonts w:asciiTheme="majorHAnsi" w:hAnsiTheme="majorHAnsi"/>
          <w:sz w:val="24"/>
          <w:szCs w:val="24"/>
        </w:rPr>
        <w:tab/>
      </w:r>
      <w:r w:rsidR="00F814C5" w:rsidRPr="00EC36C2">
        <w:rPr>
          <w:rFonts w:asciiTheme="majorHAnsi" w:hAnsiTheme="majorHAnsi"/>
          <w:sz w:val="24"/>
          <w:szCs w:val="24"/>
        </w:rPr>
        <w:t xml:space="preserve">Wraz z określonymi przez ID Sp. z o.o. warunkami przyłączenia wnioskodawca </w:t>
      </w:r>
      <w:r w:rsidR="00986798" w:rsidRPr="00EC36C2">
        <w:rPr>
          <w:rFonts w:asciiTheme="majorHAnsi" w:hAnsiTheme="majorHAnsi"/>
          <w:sz w:val="24"/>
          <w:szCs w:val="24"/>
        </w:rPr>
        <w:t>otrzymuje</w:t>
      </w:r>
      <w:r w:rsidR="00986798">
        <w:rPr>
          <w:rFonts w:asciiTheme="majorHAnsi" w:hAnsiTheme="majorHAnsi"/>
          <w:sz w:val="24"/>
          <w:szCs w:val="24"/>
        </w:rPr>
        <w:t xml:space="preserve"> projekt</w:t>
      </w:r>
      <w:r w:rsidR="00F814C5" w:rsidRPr="00AE3F1B">
        <w:rPr>
          <w:rFonts w:ascii="Garamond" w:hAnsi="Garamond"/>
          <w:sz w:val="24"/>
          <w:szCs w:val="24"/>
        </w:rPr>
        <w:t xml:space="preserve"> umowy o przyłączenie do sieci.</w:t>
      </w:r>
    </w:p>
    <w:p w14:paraId="5B96A14D" w14:textId="048F978D" w:rsidR="00F814C5" w:rsidRPr="00AE3F1B" w:rsidRDefault="00505AE3" w:rsidP="00937322">
      <w:pPr>
        <w:spacing w:after="149" w:line="253" w:lineRule="auto"/>
        <w:ind w:left="708" w:right="-3" w:hanging="708"/>
        <w:jc w:val="left"/>
        <w:rPr>
          <w:rFonts w:ascii="Garamond" w:hAnsi="Garamond"/>
          <w:sz w:val="24"/>
          <w:szCs w:val="24"/>
        </w:rPr>
      </w:pPr>
      <w:r w:rsidRPr="00EC36C2">
        <w:rPr>
          <w:rFonts w:asciiTheme="majorHAnsi" w:hAnsiTheme="majorHAnsi"/>
          <w:sz w:val="24"/>
          <w:szCs w:val="24"/>
        </w:rPr>
        <w:t>II.1.13.</w:t>
      </w:r>
      <w:r w:rsidR="00937322">
        <w:rPr>
          <w:rFonts w:asciiTheme="majorHAnsi" w:hAnsiTheme="majorHAnsi"/>
          <w:sz w:val="24"/>
          <w:szCs w:val="24"/>
        </w:rPr>
        <w:tab/>
      </w:r>
      <w:r w:rsidR="00F814C5" w:rsidRPr="00EC36C2">
        <w:rPr>
          <w:rFonts w:asciiTheme="majorHAnsi" w:hAnsiTheme="majorHAnsi"/>
          <w:sz w:val="24"/>
          <w:szCs w:val="24"/>
        </w:rPr>
        <w:t xml:space="preserve">W przypadkach, gdy przyłączenie do sieci na podstawie opracowanej przez </w:t>
      </w:r>
      <w:r w:rsidRPr="00EC36C2">
        <w:rPr>
          <w:rFonts w:asciiTheme="majorHAnsi" w:hAnsiTheme="majorHAnsi"/>
          <w:sz w:val="24"/>
          <w:szCs w:val="24"/>
        </w:rPr>
        <w:br/>
      </w:r>
      <w:r w:rsidR="00F814C5" w:rsidRPr="00AE3F1B">
        <w:rPr>
          <w:rFonts w:ascii="Garamond" w:hAnsi="Garamond"/>
          <w:sz w:val="24"/>
          <w:szCs w:val="24"/>
        </w:rPr>
        <w:t>OSD</w:t>
      </w:r>
      <w:r w:rsidRPr="00AE3F1B">
        <w:rPr>
          <w:rFonts w:ascii="Garamond" w:hAnsi="Garamond"/>
          <w:sz w:val="24"/>
          <w:szCs w:val="24"/>
        </w:rPr>
        <w:t xml:space="preserve">n </w:t>
      </w:r>
      <w:r w:rsidR="00F814C5" w:rsidRPr="00AE3F1B">
        <w:rPr>
          <w:rFonts w:ascii="Garamond" w:hAnsi="Garamond"/>
          <w:sz w:val="24"/>
          <w:szCs w:val="24"/>
        </w:rPr>
        <w:t xml:space="preserve">ekspertyzy może wpłynąć na warunki pracy sieci nadrzędnego operatora </w:t>
      </w:r>
      <w:r w:rsidR="00EC36C2">
        <w:rPr>
          <w:rFonts w:ascii="Garamond" w:hAnsi="Garamond"/>
          <w:sz w:val="24"/>
          <w:szCs w:val="24"/>
        </w:rPr>
        <w:br/>
      </w:r>
      <w:r w:rsidR="00F814C5" w:rsidRPr="00AE3F1B">
        <w:rPr>
          <w:rFonts w:ascii="Garamond" w:hAnsi="Garamond"/>
          <w:sz w:val="24"/>
          <w:szCs w:val="24"/>
        </w:rPr>
        <w:t xml:space="preserve">systemu dystrybucyjnego, tj. PGE Dystrybucja S.A., operatorzy dokonują między sobą </w:t>
      </w:r>
      <w:r w:rsidR="00EC36C2">
        <w:rPr>
          <w:rFonts w:ascii="Garamond" w:hAnsi="Garamond"/>
          <w:sz w:val="24"/>
          <w:szCs w:val="24"/>
        </w:rPr>
        <w:br/>
      </w:r>
      <w:r w:rsidR="00F814C5" w:rsidRPr="00AE3F1B">
        <w:rPr>
          <w:rFonts w:ascii="Garamond" w:hAnsi="Garamond"/>
          <w:sz w:val="24"/>
          <w:szCs w:val="24"/>
        </w:rPr>
        <w:t>uzgodnień.</w:t>
      </w:r>
      <w:r w:rsidR="007B460D">
        <w:rPr>
          <w:rFonts w:ascii="Garamond" w:hAnsi="Garamond"/>
          <w:sz w:val="24"/>
          <w:szCs w:val="24"/>
        </w:rPr>
        <w:t xml:space="preserve"> </w:t>
      </w:r>
      <w:r w:rsidR="00F814C5" w:rsidRPr="00AE3F1B">
        <w:rPr>
          <w:rFonts w:ascii="Garamond" w:hAnsi="Garamond"/>
          <w:sz w:val="24"/>
          <w:szCs w:val="24"/>
        </w:rPr>
        <w:t xml:space="preserve">Uzgodnienia te dokonywane są w terminie 14 dni od daty otrzymania wniosku </w:t>
      </w:r>
      <w:r w:rsidR="00076F3E" w:rsidRPr="00AE3F1B">
        <w:rPr>
          <w:rFonts w:ascii="Garamond" w:hAnsi="Garamond"/>
          <w:sz w:val="24"/>
          <w:szCs w:val="24"/>
        </w:rPr>
        <w:br/>
      </w:r>
      <w:r w:rsidR="00F814C5" w:rsidRPr="00AE3F1B">
        <w:rPr>
          <w:rFonts w:ascii="Garamond" w:hAnsi="Garamond"/>
          <w:sz w:val="24"/>
          <w:szCs w:val="24"/>
        </w:rPr>
        <w:t>o uzgodnienie.</w:t>
      </w:r>
    </w:p>
    <w:p w14:paraId="3CB6DCC4" w14:textId="29BB3E22" w:rsidR="00F814C5" w:rsidRPr="00AE3F1B" w:rsidRDefault="00BF4E2F" w:rsidP="00BF4E2F">
      <w:pPr>
        <w:spacing w:after="82" w:line="253" w:lineRule="auto"/>
        <w:ind w:left="709" w:right="-3" w:hanging="709"/>
        <w:jc w:val="left"/>
        <w:rPr>
          <w:rFonts w:ascii="Garamond" w:hAnsi="Garamond"/>
          <w:sz w:val="24"/>
          <w:szCs w:val="24"/>
        </w:rPr>
      </w:pPr>
      <w:r>
        <w:rPr>
          <w:rFonts w:asciiTheme="majorHAnsi" w:hAnsiTheme="majorHAnsi"/>
          <w:sz w:val="24"/>
          <w:szCs w:val="24"/>
        </w:rPr>
        <w:t>II.1.14.</w:t>
      </w:r>
      <w:r w:rsidR="00F814C5" w:rsidRPr="00EC36C2">
        <w:rPr>
          <w:rFonts w:asciiTheme="majorHAnsi" w:hAnsiTheme="majorHAnsi"/>
          <w:sz w:val="24"/>
          <w:szCs w:val="24"/>
        </w:rPr>
        <w:t xml:space="preserve"> </w:t>
      </w:r>
      <w:r w:rsidR="007904D6">
        <w:rPr>
          <w:rFonts w:asciiTheme="majorHAnsi" w:hAnsiTheme="majorHAnsi"/>
          <w:sz w:val="24"/>
          <w:szCs w:val="24"/>
        </w:rPr>
        <w:t xml:space="preserve">W </w:t>
      </w:r>
      <w:r w:rsidR="00937322" w:rsidRPr="00EC36C2">
        <w:rPr>
          <w:rFonts w:asciiTheme="majorHAnsi" w:hAnsiTheme="majorHAnsi"/>
          <w:sz w:val="24"/>
          <w:szCs w:val="24"/>
        </w:rPr>
        <w:t>przypadku,</w:t>
      </w:r>
      <w:r w:rsidR="00F814C5" w:rsidRPr="00EC36C2">
        <w:rPr>
          <w:rFonts w:asciiTheme="majorHAnsi" w:hAnsiTheme="majorHAnsi"/>
          <w:sz w:val="24"/>
          <w:szCs w:val="24"/>
        </w:rPr>
        <w:t xml:space="preserve"> gdy ID Sp. z o.o. odmówi przyłączenia do sieci odnawialnego źródła energii z </w:t>
      </w:r>
      <w:r w:rsidR="00F814C5" w:rsidRPr="00EC36C2">
        <w:rPr>
          <w:rFonts w:asciiTheme="majorHAnsi" w:hAnsiTheme="majorHAnsi"/>
          <w:sz w:val="24"/>
          <w:szCs w:val="24"/>
        </w:rPr>
        <w:br/>
      </w:r>
      <w:r w:rsidR="00F814C5" w:rsidRPr="00AE3F1B">
        <w:rPr>
          <w:rFonts w:ascii="Garamond" w:hAnsi="Garamond"/>
          <w:sz w:val="24"/>
          <w:szCs w:val="24"/>
        </w:rPr>
        <w:t xml:space="preserve">powodu braku technicznych lub ekonomicznych warunków przyłączenia w terminie   </w:t>
      </w:r>
      <w:r w:rsidR="00F814C5" w:rsidRPr="00AE3F1B">
        <w:rPr>
          <w:rFonts w:ascii="Garamond" w:hAnsi="Garamond"/>
          <w:sz w:val="24"/>
          <w:szCs w:val="24"/>
        </w:rPr>
        <w:br/>
        <w:t xml:space="preserve">proponowanym przez podmiot ubiegający się o przyłączenie odnawialnego źródła energii, </w:t>
      </w:r>
      <w:r>
        <w:rPr>
          <w:rFonts w:ascii="Garamond" w:hAnsi="Garamond"/>
          <w:sz w:val="24"/>
          <w:szCs w:val="24"/>
        </w:rPr>
        <w:br/>
      </w:r>
      <w:r w:rsidR="00F814C5" w:rsidRPr="00AE3F1B">
        <w:rPr>
          <w:rFonts w:ascii="Garamond" w:hAnsi="Garamond"/>
          <w:sz w:val="24"/>
          <w:szCs w:val="24"/>
        </w:rPr>
        <w:t xml:space="preserve">ID Sp. z o.o. określa warunki wykonania niezbędnej rozbudowy lub modernizacji sieci, a </w:t>
      </w:r>
      <w:r>
        <w:rPr>
          <w:rFonts w:ascii="Garamond" w:hAnsi="Garamond"/>
          <w:sz w:val="24"/>
          <w:szCs w:val="24"/>
        </w:rPr>
        <w:br/>
      </w:r>
      <w:r w:rsidR="00F814C5" w:rsidRPr="00AE3F1B">
        <w:rPr>
          <w:rFonts w:ascii="Garamond" w:hAnsi="Garamond"/>
          <w:sz w:val="24"/>
          <w:szCs w:val="24"/>
        </w:rPr>
        <w:t xml:space="preserve">także określa termin przyłączenia. Bieg terminu, o którym mowa w pkt. </w:t>
      </w:r>
      <w:r w:rsidR="00DA12DF">
        <w:rPr>
          <w:rFonts w:ascii="Garamond" w:hAnsi="Garamond"/>
          <w:sz w:val="24"/>
          <w:szCs w:val="24"/>
        </w:rPr>
        <w:t>II</w:t>
      </w:r>
      <w:r w:rsidR="00F814C5" w:rsidRPr="00AE3F1B">
        <w:rPr>
          <w:rFonts w:ascii="Garamond" w:hAnsi="Garamond"/>
          <w:sz w:val="24"/>
          <w:szCs w:val="24"/>
        </w:rPr>
        <w:t xml:space="preserve">.1.10 ulega </w:t>
      </w:r>
      <w:r w:rsidR="00076F3E" w:rsidRPr="00AE3F1B">
        <w:rPr>
          <w:rFonts w:ascii="Garamond" w:hAnsi="Garamond"/>
          <w:sz w:val="24"/>
          <w:szCs w:val="24"/>
        </w:rPr>
        <w:br/>
      </w:r>
      <w:r w:rsidR="00F814C5" w:rsidRPr="00AE3F1B">
        <w:rPr>
          <w:rFonts w:ascii="Garamond" w:hAnsi="Garamond"/>
          <w:sz w:val="24"/>
          <w:szCs w:val="24"/>
        </w:rPr>
        <w:t>zawieszeniu do czasu otrzymania zgody od podmiotu ubiegającego się o przyłączenie.</w:t>
      </w:r>
    </w:p>
    <w:p w14:paraId="4E402438" w14:textId="6F013400" w:rsidR="00F814C5" w:rsidRPr="00AE3F1B" w:rsidRDefault="00BF4E2F" w:rsidP="00BF4E2F">
      <w:pPr>
        <w:spacing w:after="97" w:line="253" w:lineRule="auto"/>
        <w:ind w:left="709" w:right="-3" w:hanging="709"/>
        <w:jc w:val="left"/>
        <w:rPr>
          <w:rFonts w:ascii="Garamond" w:hAnsi="Garamond"/>
          <w:sz w:val="24"/>
          <w:szCs w:val="24"/>
        </w:rPr>
      </w:pPr>
      <w:r>
        <w:rPr>
          <w:rFonts w:ascii="Garamond" w:hAnsi="Garamond"/>
          <w:sz w:val="24"/>
          <w:szCs w:val="24"/>
        </w:rPr>
        <w:t>II.1.1</w:t>
      </w:r>
      <w:r w:rsidR="00B850C4">
        <w:rPr>
          <w:rFonts w:ascii="Garamond" w:hAnsi="Garamond"/>
          <w:sz w:val="24"/>
          <w:szCs w:val="24"/>
        </w:rPr>
        <w:t>5</w:t>
      </w:r>
      <w:r>
        <w:rPr>
          <w:rFonts w:ascii="Garamond" w:hAnsi="Garamond"/>
          <w:sz w:val="24"/>
          <w:szCs w:val="24"/>
        </w:rPr>
        <w:t xml:space="preserve">. </w:t>
      </w:r>
      <w:r w:rsidR="00F814C5" w:rsidRPr="00AE3F1B">
        <w:rPr>
          <w:rFonts w:ascii="Garamond" w:hAnsi="Garamond"/>
          <w:sz w:val="24"/>
          <w:szCs w:val="24"/>
        </w:rPr>
        <w:t xml:space="preserve">W </w:t>
      </w:r>
      <w:r w:rsidR="00937322" w:rsidRPr="00AE3F1B">
        <w:rPr>
          <w:rFonts w:ascii="Garamond" w:hAnsi="Garamond"/>
          <w:sz w:val="24"/>
          <w:szCs w:val="24"/>
        </w:rPr>
        <w:t>przypadku,</w:t>
      </w:r>
      <w:r w:rsidR="00F814C5" w:rsidRPr="00AE3F1B">
        <w:rPr>
          <w:rFonts w:ascii="Garamond" w:hAnsi="Garamond"/>
          <w:sz w:val="24"/>
          <w:szCs w:val="24"/>
        </w:rPr>
        <w:t xml:space="preserve"> gdy </w:t>
      </w:r>
      <w:r w:rsidR="00C911FF" w:rsidRPr="00AE3F1B">
        <w:rPr>
          <w:rFonts w:ascii="Garamond" w:hAnsi="Garamond"/>
          <w:sz w:val="24"/>
          <w:szCs w:val="24"/>
        </w:rPr>
        <w:t>ID</w:t>
      </w:r>
      <w:r w:rsidR="00F814C5" w:rsidRPr="00AE3F1B">
        <w:rPr>
          <w:rFonts w:ascii="Garamond" w:hAnsi="Garamond"/>
          <w:sz w:val="24"/>
          <w:szCs w:val="24"/>
        </w:rPr>
        <w:t xml:space="preserve"> Sp. z o.o. odmówi przyłączenia do sieci dystrybucyjnej z</w:t>
      </w:r>
      <w:r w:rsidR="00937322">
        <w:rPr>
          <w:rFonts w:ascii="Garamond" w:hAnsi="Garamond"/>
          <w:sz w:val="24"/>
          <w:szCs w:val="24"/>
        </w:rPr>
        <w:t xml:space="preserve"> </w:t>
      </w:r>
      <w:r w:rsidR="00F814C5" w:rsidRPr="00AE3F1B">
        <w:rPr>
          <w:rFonts w:ascii="Garamond" w:hAnsi="Garamond"/>
          <w:sz w:val="24"/>
          <w:szCs w:val="24"/>
        </w:rPr>
        <w:t xml:space="preserve">braku ekonomicznych warunków przyłączenia, o których mowa w ustawie Prawo energetyczne, za przyłączenie do sieci </w:t>
      </w:r>
      <w:r w:rsidR="00C911FF" w:rsidRPr="00AE3F1B">
        <w:rPr>
          <w:rFonts w:ascii="Garamond" w:hAnsi="Garamond"/>
          <w:sz w:val="24"/>
          <w:szCs w:val="24"/>
        </w:rPr>
        <w:t>ID</w:t>
      </w:r>
      <w:r w:rsidR="00F814C5" w:rsidRPr="00AE3F1B">
        <w:rPr>
          <w:rFonts w:ascii="Garamond" w:hAnsi="Garamond"/>
          <w:sz w:val="24"/>
          <w:szCs w:val="24"/>
        </w:rPr>
        <w:t xml:space="preserve"> Sp. z o.o. może ustalić opłatę w wysokości uzgodnionej z podmiotem ubiegającym się o przyłączenie do sieci w umowie o przyłączenie do sieci zgodnie z postanowieniami ustawy Prawo energetyczne.</w:t>
      </w:r>
    </w:p>
    <w:p w14:paraId="0DBA4A18" w14:textId="3CAFC7C8" w:rsidR="00F814C5" w:rsidRPr="003E3A05" w:rsidRDefault="00BF4E2F" w:rsidP="00BF4E2F">
      <w:pPr>
        <w:spacing w:after="64" w:line="253" w:lineRule="auto"/>
        <w:ind w:left="567" w:right="-3" w:hanging="567"/>
        <w:jc w:val="left"/>
        <w:rPr>
          <w:rFonts w:ascii="Garamond" w:hAnsi="Garamond"/>
          <w:sz w:val="24"/>
          <w:szCs w:val="24"/>
        </w:rPr>
      </w:pPr>
      <w:r>
        <w:rPr>
          <w:rFonts w:ascii="Garamond" w:hAnsi="Garamond"/>
          <w:sz w:val="24"/>
          <w:szCs w:val="24"/>
        </w:rPr>
        <w:t xml:space="preserve">II.1.16. </w:t>
      </w:r>
      <w:r w:rsidR="00F814C5" w:rsidRPr="003E3A05">
        <w:rPr>
          <w:rFonts w:ascii="Garamond" w:hAnsi="Garamond"/>
          <w:sz w:val="24"/>
          <w:szCs w:val="24"/>
        </w:rPr>
        <w:t xml:space="preserve">W przypadku, gdy podmiot ubiegający się o przyłączenie mikroinstalacji do sieci </w:t>
      </w:r>
      <w:r w:rsidR="00C911FF" w:rsidRPr="003E3A05">
        <w:rPr>
          <w:rFonts w:ascii="Garamond" w:hAnsi="Garamond"/>
          <w:sz w:val="24"/>
          <w:szCs w:val="24"/>
        </w:rPr>
        <w:br/>
      </w:r>
      <w:r w:rsidR="00F814C5" w:rsidRPr="003E3A05">
        <w:rPr>
          <w:rFonts w:ascii="Garamond" w:hAnsi="Garamond"/>
          <w:sz w:val="24"/>
          <w:szCs w:val="24"/>
        </w:rPr>
        <w:t xml:space="preserve">dystrybucyjnej </w:t>
      </w:r>
      <w:r w:rsidR="00C911FF" w:rsidRPr="003E3A05">
        <w:rPr>
          <w:rFonts w:ascii="Garamond" w:hAnsi="Garamond"/>
          <w:sz w:val="24"/>
          <w:szCs w:val="24"/>
        </w:rPr>
        <w:t>ID</w:t>
      </w:r>
      <w:r w:rsidR="00F814C5" w:rsidRPr="003E3A05">
        <w:rPr>
          <w:rFonts w:ascii="Garamond" w:hAnsi="Garamond"/>
          <w:sz w:val="24"/>
          <w:szCs w:val="24"/>
        </w:rPr>
        <w:t xml:space="preserve"> Sp. z o.o., jest przyłączony do sieci jako odbiorca końcowy, a moc </w:t>
      </w:r>
      <w:r w:rsidR="00C911FF" w:rsidRPr="003E3A05">
        <w:rPr>
          <w:rFonts w:ascii="Garamond" w:hAnsi="Garamond"/>
          <w:sz w:val="24"/>
          <w:szCs w:val="24"/>
        </w:rPr>
        <w:br/>
      </w:r>
      <w:r w:rsidR="00F814C5" w:rsidRPr="003E3A05">
        <w:rPr>
          <w:rFonts w:ascii="Garamond" w:hAnsi="Garamond"/>
          <w:sz w:val="24"/>
          <w:szCs w:val="24"/>
        </w:rPr>
        <w:t xml:space="preserve">zainstalowana mikroinstalacji, o przyłączenie której ubiega się ten podmiot, nie jest większa </w:t>
      </w:r>
      <w:r w:rsidR="00C911FF" w:rsidRPr="003E3A05">
        <w:rPr>
          <w:rFonts w:ascii="Garamond" w:hAnsi="Garamond"/>
          <w:sz w:val="24"/>
          <w:szCs w:val="24"/>
        </w:rPr>
        <w:br/>
      </w:r>
      <w:r w:rsidR="00F814C5" w:rsidRPr="003E3A05">
        <w:rPr>
          <w:rFonts w:ascii="Garamond" w:hAnsi="Garamond"/>
          <w:sz w:val="24"/>
          <w:szCs w:val="24"/>
        </w:rPr>
        <w:t xml:space="preserve">niż określona w wydanych warunkach przyłączenia, przyłączenie do sieci odbywa się na </w:t>
      </w:r>
      <w:r w:rsidR="00C911FF" w:rsidRPr="003E3A05">
        <w:rPr>
          <w:rFonts w:ascii="Garamond" w:hAnsi="Garamond"/>
          <w:sz w:val="24"/>
          <w:szCs w:val="24"/>
        </w:rPr>
        <w:br/>
      </w:r>
      <w:r w:rsidR="00F814C5" w:rsidRPr="003E3A05">
        <w:rPr>
          <w:rFonts w:ascii="Garamond" w:hAnsi="Garamond"/>
          <w:sz w:val="24"/>
          <w:szCs w:val="24"/>
        </w:rPr>
        <w:t xml:space="preserve">podstawie zgłoszenia mikroinstalacji, złożonego do OSD po zainstalowaniu odpowiednich </w:t>
      </w:r>
      <w:r w:rsidR="00C911FF" w:rsidRPr="003E3A05">
        <w:rPr>
          <w:rFonts w:ascii="Garamond" w:hAnsi="Garamond"/>
          <w:sz w:val="24"/>
          <w:szCs w:val="24"/>
        </w:rPr>
        <w:br/>
      </w:r>
      <w:r w:rsidR="00F814C5" w:rsidRPr="003E3A05">
        <w:rPr>
          <w:rFonts w:ascii="Garamond" w:hAnsi="Garamond"/>
          <w:sz w:val="24"/>
          <w:szCs w:val="24"/>
        </w:rPr>
        <w:t>układów zabezpieczających i układu pomiarowo</w:t>
      </w:r>
      <w:r w:rsidR="008B30E6">
        <w:rPr>
          <w:rFonts w:ascii="Garamond" w:hAnsi="Garamond"/>
          <w:sz w:val="24"/>
          <w:szCs w:val="24"/>
        </w:rPr>
        <w:t>-</w:t>
      </w:r>
      <w:r w:rsidR="00F814C5" w:rsidRPr="003E3A05">
        <w:rPr>
          <w:rFonts w:ascii="Garamond" w:hAnsi="Garamond"/>
          <w:sz w:val="24"/>
          <w:szCs w:val="24"/>
        </w:rPr>
        <w:t xml:space="preserve">rozliczeniowego. W innym przypadku </w:t>
      </w:r>
      <w:r w:rsidR="00C911FF" w:rsidRPr="003E3A05">
        <w:rPr>
          <w:rFonts w:ascii="Garamond" w:hAnsi="Garamond"/>
          <w:sz w:val="24"/>
          <w:szCs w:val="24"/>
        </w:rPr>
        <w:br/>
      </w:r>
      <w:r w:rsidR="00F814C5" w:rsidRPr="003E3A05">
        <w:rPr>
          <w:rFonts w:ascii="Garamond" w:hAnsi="Garamond"/>
          <w:sz w:val="24"/>
          <w:szCs w:val="24"/>
        </w:rPr>
        <w:t xml:space="preserve">przyłączenie mikroinstalacji do sieci dystrybucyjnej </w:t>
      </w:r>
      <w:r w:rsidR="00C911FF" w:rsidRPr="003E3A05">
        <w:rPr>
          <w:rFonts w:ascii="Garamond" w:hAnsi="Garamond"/>
          <w:sz w:val="24"/>
          <w:szCs w:val="24"/>
        </w:rPr>
        <w:t>ID Sp. z o.o.</w:t>
      </w:r>
      <w:r w:rsidR="00F814C5" w:rsidRPr="003E3A05">
        <w:rPr>
          <w:rFonts w:ascii="Garamond" w:hAnsi="Garamond"/>
          <w:sz w:val="24"/>
          <w:szCs w:val="24"/>
        </w:rPr>
        <w:t xml:space="preserve"> odbywa się na podstawie </w:t>
      </w:r>
      <w:r w:rsidR="00C911FF" w:rsidRPr="003E3A05">
        <w:rPr>
          <w:rFonts w:ascii="Garamond" w:hAnsi="Garamond"/>
          <w:sz w:val="24"/>
          <w:szCs w:val="24"/>
        </w:rPr>
        <w:br/>
      </w:r>
      <w:r w:rsidR="00F814C5" w:rsidRPr="003E3A05">
        <w:rPr>
          <w:rFonts w:ascii="Garamond" w:hAnsi="Garamond"/>
          <w:sz w:val="24"/>
          <w:szCs w:val="24"/>
        </w:rPr>
        <w:t>umowy o przyłączenie do sieci.</w:t>
      </w:r>
      <w:r w:rsidR="007B460D">
        <w:rPr>
          <w:rFonts w:ascii="Garamond" w:hAnsi="Garamond"/>
          <w:sz w:val="24"/>
          <w:szCs w:val="24"/>
        </w:rPr>
        <w:t xml:space="preserve"> </w:t>
      </w:r>
      <w:r w:rsidR="00F814C5" w:rsidRPr="003E3A05">
        <w:rPr>
          <w:rFonts w:ascii="Garamond" w:hAnsi="Garamond"/>
          <w:sz w:val="24"/>
          <w:szCs w:val="24"/>
        </w:rPr>
        <w:t>Koszt instalacji układu zabezpieczającego i układu pomiarowo-</w:t>
      </w:r>
      <w:r w:rsidR="003E3A05">
        <w:rPr>
          <w:rFonts w:ascii="Garamond" w:hAnsi="Garamond"/>
          <w:sz w:val="24"/>
          <w:szCs w:val="24"/>
        </w:rPr>
        <w:br/>
      </w:r>
      <w:r w:rsidR="00F814C5" w:rsidRPr="003E3A05">
        <w:rPr>
          <w:rFonts w:ascii="Garamond" w:hAnsi="Garamond"/>
          <w:sz w:val="24"/>
          <w:szCs w:val="24"/>
        </w:rPr>
        <w:t>rozliczeniowego ponosi</w:t>
      </w:r>
      <w:r w:rsidR="003E3A05">
        <w:rPr>
          <w:rFonts w:ascii="Garamond" w:hAnsi="Garamond"/>
          <w:sz w:val="24"/>
          <w:szCs w:val="24"/>
        </w:rPr>
        <w:t xml:space="preserve"> I</w:t>
      </w:r>
      <w:r w:rsidR="00C911FF" w:rsidRPr="003E3A05">
        <w:rPr>
          <w:rFonts w:ascii="Garamond" w:hAnsi="Garamond"/>
          <w:sz w:val="24"/>
          <w:szCs w:val="24"/>
        </w:rPr>
        <w:t>D Sp. z o.o</w:t>
      </w:r>
      <w:r w:rsidR="00F814C5" w:rsidRPr="003E3A05">
        <w:rPr>
          <w:rFonts w:ascii="Garamond" w:hAnsi="Garamond"/>
          <w:sz w:val="24"/>
          <w:szCs w:val="24"/>
        </w:rPr>
        <w:t>.</w:t>
      </w:r>
      <w:r w:rsidR="007B460D">
        <w:rPr>
          <w:rFonts w:ascii="Garamond" w:hAnsi="Garamond"/>
          <w:sz w:val="24"/>
          <w:szCs w:val="24"/>
        </w:rPr>
        <w:t xml:space="preserve"> </w:t>
      </w:r>
      <w:r w:rsidR="00F814C5" w:rsidRPr="003E3A05">
        <w:rPr>
          <w:rFonts w:ascii="Garamond" w:hAnsi="Garamond"/>
          <w:sz w:val="24"/>
          <w:szCs w:val="24"/>
        </w:rPr>
        <w:t xml:space="preserve">Przyłączone mikroinstalacje muszą spełniać wymagania </w:t>
      </w:r>
      <w:r w:rsidR="003E3A05">
        <w:rPr>
          <w:rFonts w:ascii="Garamond" w:hAnsi="Garamond"/>
          <w:sz w:val="24"/>
          <w:szCs w:val="24"/>
        </w:rPr>
        <w:br/>
      </w:r>
      <w:r w:rsidR="00F814C5" w:rsidRPr="003E3A05">
        <w:rPr>
          <w:rFonts w:ascii="Garamond" w:hAnsi="Garamond"/>
          <w:sz w:val="24"/>
          <w:szCs w:val="24"/>
        </w:rPr>
        <w:t>techniczne i eksploatacyjne określone w art. 7a ust. 1. Ustawy oraz niniejszej</w:t>
      </w:r>
      <w:r w:rsidR="00FF23BB">
        <w:rPr>
          <w:rFonts w:ascii="Garamond" w:hAnsi="Garamond"/>
          <w:sz w:val="24"/>
          <w:szCs w:val="24"/>
        </w:rPr>
        <w:t xml:space="preserve"> </w:t>
      </w:r>
      <w:r w:rsidR="00FF23BB" w:rsidRPr="00FF23BB">
        <w:rPr>
          <w:rFonts w:ascii="Garamond" w:hAnsi="Garamond"/>
          <w:sz w:val="24"/>
          <w:szCs w:val="24"/>
        </w:rPr>
        <w:t>instrukcji</w:t>
      </w:r>
      <w:r w:rsidR="00FF23BB">
        <w:rPr>
          <w:rFonts w:ascii="Garamond" w:hAnsi="Garamond"/>
          <w:sz w:val="24"/>
          <w:szCs w:val="24"/>
        </w:rPr>
        <w:t xml:space="preserve"> </w:t>
      </w:r>
      <w:r w:rsidR="00FF23BB" w:rsidRPr="00FF23BB">
        <w:rPr>
          <w:rFonts w:ascii="Garamond" w:hAnsi="Garamond"/>
          <w:sz w:val="24"/>
          <w:szCs w:val="24"/>
        </w:rPr>
        <w:t>IRiESD</w:t>
      </w:r>
      <w:r w:rsidR="00F814C5" w:rsidRPr="003E3A05">
        <w:rPr>
          <w:rFonts w:ascii="Garamond" w:hAnsi="Garamond"/>
          <w:sz w:val="24"/>
          <w:szCs w:val="24"/>
        </w:rPr>
        <w:t>.</w:t>
      </w:r>
    </w:p>
    <w:p w14:paraId="3EB934B7" w14:textId="197CFC9C" w:rsidR="00C911FF" w:rsidRPr="00AE3F1B" w:rsidRDefault="00C911FF" w:rsidP="00986798">
      <w:pPr>
        <w:spacing w:after="101" w:line="226" w:lineRule="auto"/>
        <w:ind w:left="567" w:right="-3"/>
        <w:jc w:val="left"/>
        <w:rPr>
          <w:rFonts w:ascii="Garamond" w:hAnsi="Garamond"/>
          <w:sz w:val="24"/>
          <w:szCs w:val="24"/>
        </w:rPr>
      </w:pPr>
      <w:r w:rsidRPr="00AE3F1B">
        <w:rPr>
          <w:rFonts w:ascii="Garamond" w:hAnsi="Garamond"/>
          <w:sz w:val="24"/>
          <w:szCs w:val="24"/>
        </w:rPr>
        <w:t xml:space="preserve">ID Sp. z o.o. publikuje na swojej stronie internetowej oraz udostępnia w swojej siedzibie wzór </w:t>
      </w:r>
      <w:r w:rsidR="003E3A05">
        <w:rPr>
          <w:rFonts w:ascii="Garamond" w:hAnsi="Garamond"/>
          <w:sz w:val="24"/>
          <w:szCs w:val="24"/>
        </w:rPr>
        <w:br/>
      </w:r>
      <w:r w:rsidRPr="00AE3F1B">
        <w:rPr>
          <w:rFonts w:ascii="Garamond" w:hAnsi="Garamond"/>
          <w:sz w:val="24"/>
          <w:szCs w:val="24"/>
        </w:rPr>
        <w:t>zgłoszenia przyłączenia mikroinstalacji do sieci dystrybucyjnej ID Sp. z o.o.</w:t>
      </w:r>
      <w:r w:rsidR="003E3A05">
        <w:rPr>
          <w:rFonts w:ascii="Garamond" w:hAnsi="Garamond"/>
          <w:sz w:val="24"/>
          <w:szCs w:val="24"/>
        </w:rPr>
        <w:br/>
      </w:r>
      <w:r w:rsidRPr="00AE3F1B">
        <w:rPr>
          <w:rFonts w:ascii="Garamond" w:hAnsi="Garamond"/>
          <w:sz w:val="24"/>
          <w:szCs w:val="24"/>
        </w:rPr>
        <w:t xml:space="preserve">ID Sp. z o.o. potwierdza złożenie zgłoszenia, odnotowując datę jego złożenia oraz dokonuje </w:t>
      </w:r>
      <w:r w:rsidR="003E3A05">
        <w:rPr>
          <w:rFonts w:ascii="Garamond" w:hAnsi="Garamond"/>
          <w:sz w:val="24"/>
          <w:szCs w:val="24"/>
        </w:rPr>
        <w:br/>
      </w:r>
      <w:r w:rsidRPr="00AE3F1B">
        <w:rPr>
          <w:rFonts w:ascii="Garamond" w:hAnsi="Garamond"/>
          <w:sz w:val="24"/>
          <w:szCs w:val="24"/>
        </w:rPr>
        <w:t>przyłączenia do sieci mikroinstalacji w terminie 30 dni od dokonania tego zgłoszenia.</w:t>
      </w:r>
    </w:p>
    <w:p w14:paraId="62281A95" w14:textId="1F442051" w:rsidR="006B20D9" w:rsidRPr="00AE3F1B" w:rsidRDefault="006B20D9" w:rsidP="00175586">
      <w:pPr>
        <w:tabs>
          <w:tab w:val="center" w:pos="4612"/>
        </w:tabs>
        <w:spacing w:after="28" w:line="253" w:lineRule="auto"/>
        <w:ind w:left="567" w:right="-3" w:hanging="567"/>
        <w:jc w:val="left"/>
        <w:rPr>
          <w:rFonts w:ascii="Garamond" w:hAnsi="Garamond"/>
          <w:sz w:val="24"/>
          <w:szCs w:val="24"/>
        </w:rPr>
      </w:pPr>
      <w:r w:rsidRPr="00AE3F1B">
        <w:rPr>
          <w:rFonts w:ascii="Garamond" w:hAnsi="Garamond"/>
          <w:sz w:val="24"/>
          <w:szCs w:val="24"/>
        </w:rPr>
        <w:t xml:space="preserve">II.1.17. </w:t>
      </w:r>
      <w:r w:rsidR="00986798" w:rsidRPr="00AE3F1B">
        <w:rPr>
          <w:rFonts w:ascii="Garamond" w:hAnsi="Garamond"/>
          <w:sz w:val="24"/>
          <w:szCs w:val="24"/>
        </w:rPr>
        <w:t>Zgłoszenie,</w:t>
      </w:r>
      <w:r w:rsidRPr="00AE3F1B">
        <w:rPr>
          <w:rFonts w:ascii="Garamond" w:hAnsi="Garamond"/>
          <w:sz w:val="24"/>
          <w:szCs w:val="24"/>
        </w:rPr>
        <w:t xml:space="preserve"> o którym mowa w punkcie </w:t>
      </w:r>
      <w:r w:rsidR="00107DD8" w:rsidRPr="00AE3F1B">
        <w:rPr>
          <w:rFonts w:ascii="Garamond" w:hAnsi="Garamond"/>
          <w:sz w:val="24"/>
          <w:szCs w:val="24"/>
        </w:rPr>
        <w:t>II</w:t>
      </w:r>
      <w:r w:rsidRPr="00AE3F1B">
        <w:rPr>
          <w:rFonts w:ascii="Garamond" w:hAnsi="Garamond"/>
          <w:sz w:val="24"/>
          <w:szCs w:val="24"/>
        </w:rPr>
        <w:t>.1.16., zawiera w szczególności:</w:t>
      </w:r>
    </w:p>
    <w:p w14:paraId="3790B89F" w14:textId="21EE857A" w:rsidR="006B20D9" w:rsidRPr="00AE3F1B" w:rsidRDefault="006B20D9">
      <w:pPr>
        <w:numPr>
          <w:ilvl w:val="3"/>
          <w:numId w:val="26"/>
        </w:numPr>
        <w:spacing w:line="253" w:lineRule="auto"/>
        <w:ind w:left="1134" w:right="-3" w:hanging="425"/>
        <w:jc w:val="left"/>
        <w:rPr>
          <w:rFonts w:ascii="Garamond" w:hAnsi="Garamond"/>
          <w:sz w:val="24"/>
          <w:szCs w:val="24"/>
        </w:rPr>
      </w:pPr>
      <w:r w:rsidRPr="00AE3F1B">
        <w:rPr>
          <w:rFonts w:ascii="Garamond" w:hAnsi="Garamond"/>
          <w:sz w:val="24"/>
          <w:szCs w:val="24"/>
        </w:rPr>
        <w:t>oznaczenie podmiotu ubiegającego się o przyłączenie mikroinstalacji do sieci dystrybucyjnej oraz określenie rodzaju i mocy mikroinstalacji,</w:t>
      </w:r>
    </w:p>
    <w:p w14:paraId="46077438" w14:textId="77777777" w:rsidR="006B20D9" w:rsidRPr="00AE3F1B" w:rsidRDefault="006B20D9">
      <w:pPr>
        <w:numPr>
          <w:ilvl w:val="3"/>
          <w:numId w:val="26"/>
        </w:numPr>
        <w:spacing w:line="253" w:lineRule="auto"/>
        <w:ind w:left="1134" w:right="-3" w:hanging="425"/>
        <w:jc w:val="left"/>
        <w:rPr>
          <w:rFonts w:ascii="Garamond" w:hAnsi="Garamond"/>
          <w:sz w:val="24"/>
          <w:szCs w:val="24"/>
        </w:rPr>
      </w:pPr>
      <w:r w:rsidRPr="00AE3F1B">
        <w:rPr>
          <w:rFonts w:ascii="Garamond" w:hAnsi="Garamond"/>
          <w:sz w:val="24"/>
          <w:szCs w:val="24"/>
        </w:rPr>
        <w:t>informacje niezbędne do zapewnienia spełnienia przez mikro instalację wymagań technicznych i eksploatacyjnych, o których mowa w art. 7a Ustawy,</w:t>
      </w:r>
    </w:p>
    <w:p w14:paraId="2702549F" w14:textId="56834F7E" w:rsidR="006B20D9" w:rsidRPr="00AE3F1B" w:rsidRDefault="006B20D9">
      <w:pPr>
        <w:numPr>
          <w:ilvl w:val="3"/>
          <w:numId w:val="26"/>
        </w:numPr>
        <w:spacing w:after="36" w:line="253" w:lineRule="auto"/>
        <w:ind w:left="1134" w:right="-3" w:hanging="425"/>
        <w:jc w:val="left"/>
        <w:rPr>
          <w:rFonts w:ascii="Garamond" w:hAnsi="Garamond"/>
          <w:sz w:val="24"/>
          <w:szCs w:val="24"/>
        </w:rPr>
      </w:pPr>
      <w:r w:rsidRPr="00AE3F1B">
        <w:rPr>
          <w:rFonts w:ascii="Garamond" w:hAnsi="Garamond"/>
          <w:sz w:val="24"/>
          <w:szCs w:val="24"/>
        </w:rPr>
        <w:t>rodzaj mikroinstalacji,</w:t>
      </w:r>
    </w:p>
    <w:p w14:paraId="1F752E28" w14:textId="77777777" w:rsidR="006B20D9" w:rsidRPr="00AE3F1B" w:rsidRDefault="006B20D9">
      <w:pPr>
        <w:numPr>
          <w:ilvl w:val="3"/>
          <w:numId w:val="26"/>
        </w:numPr>
        <w:spacing w:after="48" w:line="253" w:lineRule="auto"/>
        <w:ind w:left="1134" w:right="-3" w:hanging="425"/>
        <w:jc w:val="left"/>
        <w:rPr>
          <w:rFonts w:ascii="Garamond" w:hAnsi="Garamond"/>
          <w:sz w:val="24"/>
          <w:szCs w:val="24"/>
        </w:rPr>
      </w:pPr>
      <w:r w:rsidRPr="00AE3F1B">
        <w:rPr>
          <w:rFonts w:ascii="Garamond" w:hAnsi="Garamond"/>
          <w:sz w:val="24"/>
          <w:szCs w:val="24"/>
        </w:rPr>
        <w:t>moc zainstalowaną elektryczną,</w:t>
      </w:r>
    </w:p>
    <w:p w14:paraId="6D787890" w14:textId="77777777" w:rsidR="006B20D9" w:rsidRPr="00AE3F1B" w:rsidRDefault="006B20D9">
      <w:pPr>
        <w:numPr>
          <w:ilvl w:val="3"/>
          <w:numId w:val="26"/>
        </w:numPr>
        <w:spacing w:after="64" w:line="253" w:lineRule="auto"/>
        <w:ind w:left="1134" w:right="-3" w:hanging="425"/>
        <w:jc w:val="left"/>
        <w:rPr>
          <w:rFonts w:ascii="Garamond" w:hAnsi="Garamond"/>
          <w:sz w:val="24"/>
          <w:szCs w:val="24"/>
        </w:rPr>
      </w:pPr>
      <w:r w:rsidRPr="00AE3F1B">
        <w:rPr>
          <w:rFonts w:ascii="Garamond" w:hAnsi="Garamond"/>
          <w:sz w:val="24"/>
          <w:szCs w:val="24"/>
        </w:rPr>
        <w:t>moc zainstalowaną falownika po stronie AC — w przypadku przyłączenia przez falownik,</w:t>
      </w:r>
    </w:p>
    <w:p w14:paraId="41B629D1" w14:textId="27058388" w:rsidR="006B20D9" w:rsidRPr="00AE3F1B" w:rsidRDefault="006B20D9">
      <w:pPr>
        <w:numPr>
          <w:ilvl w:val="3"/>
          <w:numId w:val="26"/>
        </w:numPr>
        <w:spacing w:line="253" w:lineRule="auto"/>
        <w:ind w:left="1134" w:right="-3" w:hanging="425"/>
        <w:jc w:val="left"/>
        <w:rPr>
          <w:rFonts w:ascii="Garamond" w:hAnsi="Garamond"/>
          <w:sz w:val="24"/>
          <w:szCs w:val="24"/>
        </w:rPr>
      </w:pPr>
      <w:r w:rsidRPr="00AE3F1B">
        <w:rPr>
          <w:rFonts w:ascii="Garamond" w:hAnsi="Garamond"/>
          <w:sz w:val="24"/>
          <w:szCs w:val="24"/>
        </w:rPr>
        <w:t xml:space="preserve">dane dotyczące lokalizacji </w:t>
      </w:r>
      <w:r w:rsidR="00986798" w:rsidRPr="00AE3F1B">
        <w:rPr>
          <w:rFonts w:ascii="Garamond" w:hAnsi="Garamond"/>
          <w:sz w:val="24"/>
          <w:szCs w:val="24"/>
        </w:rPr>
        <w:t>obiektu,</w:t>
      </w:r>
      <w:r w:rsidRPr="00AE3F1B">
        <w:rPr>
          <w:rFonts w:ascii="Garamond" w:hAnsi="Garamond"/>
          <w:sz w:val="24"/>
          <w:szCs w:val="24"/>
        </w:rPr>
        <w:t xml:space="preserve"> w którym zainstalowano mikro instalację,</w:t>
      </w:r>
    </w:p>
    <w:p w14:paraId="046F1A5C" w14:textId="238A5E88" w:rsidR="006B20D9" w:rsidRPr="00AE3F1B" w:rsidRDefault="006B20D9">
      <w:pPr>
        <w:numPr>
          <w:ilvl w:val="3"/>
          <w:numId w:val="26"/>
        </w:numPr>
        <w:spacing w:after="50" w:line="253" w:lineRule="auto"/>
        <w:ind w:left="1134" w:right="-3" w:hanging="425"/>
        <w:jc w:val="left"/>
        <w:rPr>
          <w:rFonts w:ascii="Garamond" w:hAnsi="Garamond"/>
          <w:sz w:val="24"/>
          <w:szCs w:val="24"/>
        </w:rPr>
      </w:pPr>
      <w:r w:rsidRPr="00AE3F1B">
        <w:rPr>
          <w:rFonts w:ascii="Garamond" w:hAnsi="Garamond"/>
          <w:sz w:val="24"/>
          <w:szCs w:val="24"/>
        </w:rPr>
        <w:t>dane techniczne zainstalowanej mikroinstalacji,</w:t>
      </w:r>
    </w:p>
    <w:p w14:paraId="3552F052" w14:textId="6D9C62E2" w:rsidR="006B20D9" w:rsidRPr="00AE3F1B" w:rsidRDefault="006B20D9">
      <w:pPr>
        <w:numPr>
          <w:ilvl w:val="3"/>
          <w:numId w:val="26"/>
        </w:numPr>
        <w:spacing w:line="253" w:lineRule="auto"/>
        <w:ind w:left="1134" w:right="-3" w:hanging="425"/>
        <w:jc w:val="left"/>
        <w:rPr>
          <w:rFonts w:ascii="Garamond" w:hAnsi="Garamond"/>
          <w:sz w:val="24"/>
          <w:szCs w:val="24"/>
        </w:rPr>
      </w:pPr>
      <w:r w:rsidRPr="00AE3F1B">
        <w:rPr>
          <w:rFonts w:ascii="Garamond" w:hAnsi="Garamond"/>
          <w:sz w:val="24"/>
          <w:szCs w:val="24"/>
        </w:rPr>
        <w:lastRenderedPageBreak/>
        <w:t xml:space="preserve">oświadczenie osoby dokonującej instalację mikroinstalacji, o zainstalowaniu mikroinstalacji zgodnie z przepisami i zasadami wiedzy technicznej oraz </w:t>
      </w:r>
      <w:r w:rsidR="00401961" w:rsidRPr="00FF23BB">
        <w:rPr>
          <w:rFonts w:ascii="Garamond" w:hAnsi="Garamond"/>
          <w:sz w:val="24"/>
          <w:szCs w:val="24"/>
        </w:rPr>
        <w:t>IRiESD</w:t>
      </w:r>
      <w:r w:rsidRPr="00AE3F1B">
        <w:rPr>
          <w:rFonts w:ascii="Garamond" w:hAnsi="Garamond"/>
          <w:sz w:val="24"/>
          <w:szCs w:val="24"/>
        </w:rPr>
        <w:t>,</w:t>
      </w:r>
    </w:p>
    <w:p w14:paraId="49DA5CC5" w14:textId="2D512989" w:rsidR="006B20D9" w:rsidRPr="00AE3F1B" w:rsidRDefault="006B20D9">
      <w:pPr>
        <w:numPr>
          <w:ilvl w:val="3"/>
          <w:numId w:val="26"/>
        </w:numPr>
        <w:spacing w:after="27" w:line="253" w:lineRule="auto"/>
        <w:ind w:left="1134" w:right="-3" w:hanging="425"/>
        <w:jc w:val="left"/>
        <w:rPr>
          <w:rFonts w:ascii="Garamond" w:hAnsi="Garamond"/>
          <w:sz w:val="24"/>
          <w:szCs w:val="24"/>
        </w:rPr>
      </w:pPr>
      <w:r w:rsidRPr="00AE3F1B">
        <w:rPr>
          <w:rFonts w:ascii="Garamond" w:hAnsi="Garamond"/>
          <w:sz w:val="24"/>
          <w:szCs w:val="24"/>
        </w:rPr>
        <w:t xml:space="preserve">oświadczenie podmiotu ubiegającego się o przyłączenie mikroinstalacji do sieci dystrybucyjnej o treści: „Świadomy odpowiedzialności karnej za złożenie fałszywego oświadczenia wynikającej z art. 233 </w:t>
      </w:r>
      <w:r w:rsidR="00E7635B" w:rsidRPr="00AE3F1B">
        <w:rPr>
          <w:rFonts w:ascii="Garamond" w:hAnsi="Garamond"/>
          <w:sz w:val="24"/>
          <w:szCs w:val="24"/>
        </w:rPr>
        <w:t>§</w:t>
      </w:r>
      <w:r w:rsidRPr="00AE3F1B">
        <w:rPr>
          <w:rFonts w:ascii="Garamond" w:hAnsi="Garamond"/>
          <w:sz w:val="24"/>
          <w:szCs w:val="24"/>
        </w:rPr>
        <w:t xml:space="preserve"> 6 ustawy z dnia 6 czerwca 1997 r. — Kodeks karny oświadczam, że posiadam tytuł prawny do </w:t>
      </w:r>
      <w:r w:rsidR="00986798" w:rsidRPr="00AE3F1B">
        <w:rPr>
          <w:rFonts w:ascii="Garamond" w:hAnsi="Garamond"/>
          <w:sz w:val="24"/>
          <w:szCs w:val="24"/>
        </w:rPr>
        <w:t>nieruchomości,</w:t>
      </w:r>
      <w:r w:rsidRPr="00AE3F1B">
        <w:rPr>
          <w:rFonts w:ascii="Garamond" w:hAnsi="Garamond"/>
          <w:sz w:val="24"/>
          <w:szCs w:val="24"/>
        </w:rPr>
        <w:t xml:space="preserve"> na której jest planowana inwestycja oraz do mikroinstalacji określonej w zgłoszeniu.</w:t>
      </w:r>
      <w:r w:rsidR="00986798" w:rsidRPr="00AE3F1B">
        <w:rPr>
          <w:rFonts w:ascii="Garamond" w:hAnsi="Garamond"/>
          <w:sz w:val="24"/>
          <w:szCs w:val="24"/>
        </w:rPr>
        <w:t>”.</w:t>
      </w:r>
      <w:r w:rsidRPr="00AE3F1B">
        <w:rPr>
          <w:rFonts w:ascii="Garamond" w:hAnsi="Garamond"/>
          <w:sz w:val="24"/>
          <w:szCs w:val="24"/>
        </w:rPr>
        <w:t xml:space="preserve"> Klauzula ta zastępuje pouczenie o odpowiedzialności karnej za składanie fałszywych zeznań,</w:t>
      </w:r>
    </w:p>
    <w:p w14:paraId="5925C962" w14:textId="77777777" w:rsidR="006B20D9" w:rsidRPr="00AE3F1B" w:rsidRDefault="006B20D9">
      <w:pPr>
        <w:numPr>
          <w:ilvl w:val="3"/>
          <w:numId w:val="26"/>
        </w:numPr>
        <w:spacing w:line="253" w:lineRule="auto"/>
        <w:ind w:left="1134" w:right="-3" w:hanging="425"/>
        <w:jc w:val="left"/>
        <w:rPr>
          <w:rFonts w:ascii="Garamond" w:hAnsi="Garamond"/>
          <w:sz w:val="24"/>
          <w:szCs w:val="24"/>
        </w:rPr>
      </w:pPr>
      <w:r w:rsidRPr="00AE3F1B">
        <w:rPr>
          <w:rFonts w:ascii="Garamond" w:hAnsi="Garamond"/>
          <w:sz w:val="24"/>
          <w:szCs w:val="24"/>
        </w:rPr>
        <w:t>planowany termin przyłączenia,</w:t>
      </w:r>
    </w:p>
    <w:p w14:paraId="19AB89F3" w14:textId="77777777" w:rsidR="006B20D9" w:rsidRPr="00AE3F1B" w:rsidRDefault="006B20D9">
      <w:pPr>
        <w:numPr>
          <w:ilvl w:val="3"/>
          <w:numId w:val="26"/>
        </w:numPr>
        <w:spacing w:after="173" w:line="253" w:lineRule="auto"/>
        <w:ind w:left="1134" w:right="-3" w:hanging="425"/>
        <w:jc w:val="left"/>
        <w:rPr>
          <w:rFonts w:ascii="Garamond" w:hAnsi="Garamond"/>
          <w:sz w:val="24"/>
          <w:szCs w:val="24"/>
        </w:rPr>
      </w:pPr>
      <w:r w:rsidRPr="00AE3F1B">
        <w:rPr>
          <w:rFonts w:ascii="Garamond" w:hAnsi="Garamond"/>
          <w:sz w:val="24"/>
          <w:szCs w:val="24"/>
        </w:rPr>
        <w:t>potwierdzenie spełnienia wymagań dotyczących wymaganych certyfikatów.</w:t>
      </w:r>
    </w:p>
    <w:p w14:paraId="7FE3A242" w14:textId="1DB338AD" w:rsidR="00986798" w:rsidRDefault="006B20D9" w:rsidP="00175586">
      <w:pPr>
        <w:spacing w:after="32" w:line="253" w:lineRule="auto"/>
        <w:ind w:left="567" w:right="-3" w:hanging="567"/>
        <w:jc w:val="left"/>
        <w:rPr>
          <w:rFonts w:ascii="Garamond" w:hAnsi="Garamond"/>
          <w:sz w:val="24"/>
          <w:szCs w:val="24"/>
        </w:rPr>
      </w:pPr>
      <w:r w:rsidRPr="00AE3F1B">
        <w:rPr>
          <w:rFonts w:ascii="Garamond" w:hAnsi="Garamond"/>
          <w:sz w:val="24"/>
          <w:szCs w:val="24"/>
        </w:rPr>
        <w:t>II.1.18.</w:t>
      </w:r>
      <w:r w:rsidRPr="00AE3F1B">
        <w:rPr>
          <w:rFonts w:ascii="Garamond" w:hAnsi="Garamond"/>
          <w:sz w:val="24"/>
          <w:szCs w:val="24"/>
        </w:rPr>
        <w:tab/>
        <w:t xml:space="preserve">Wytwórca energii elektrycznej z odnawialnych źródeł energii w mikroinstalacji, </w:t>
      </w:r>
      <w:r w:rsidRPr="00AE3F1B">
        <w:rPr>
          <w:rFonts w:ascii="Garamond" w:hAnsi="Garamond"/>
          <w:sz w:val="24"/>
          <w:szCs w:val="24"/>
        </w:rPr>
        <w:br/>
        <w:t xml:space="preserve">   będący: </w:t>
      </w:r>
    </w:p>
    <w:p w14:paraId="64D7DE7B" w14:textId="30CE92D4" w:rsidR="006B20D9" w:rsidRPr="00AE3F1B" w:rsidRDefault="006B20D9" w:rsidP="00986798">
      <w:pPr>
        <w:spacing w:after="32" w:line="253" w:lineRule="auto"/>
        <w:ind w:left="567" w:right="-3"/>
        <w:jc w:val="left"/>
        <w:rPr>
          <w:rFonts w:ascii="Garamond" w:hAnsi="Garamond"/>
          <w:sz w:val="24"/>
          <w:szCs w:val="24"/>
        </w:rPr>
      </w:pPr>
      <w:r w:rsidRPr="00AE3F1B">
        <w:rPr>
          <w:rFonts w:ascii="Garamond" w:hAnsi="Garamond"/>
          <w:sz w:val="24"/>
          <w:szCs w:val="24"/>
        </w:rPr>
        <w:t>1) prosumentem,</w:t>
      </w:r>
    </w:p>
    <w:p w14:paraId="487EFF28" w14:textId="50F86107" w:rsidR="006B20D9" w:rsidRPr="00AE3F1B" w:rsidRDefault="006B20D9" w:rsidP="00986798">
      <w:pPr>
        <w:spacing w:after="195" w:line="253" w:lineRule="auto"/>
        <w:ind w:left="567" w:right="-3"/>
        <w:jc w:val="left"/>
        <w:rPr>
          <w:rFonts w:ascii="Garamond" w:hAnsi="Garamond"/>
          <w:sz w:val="24"/>
          <w:szCs w:val="24"/>
        </w:rPr>
      </w:pPr>
      <w:r w:rsidRPr="00AE3F1B">
        <w:rPr>
          <w:rFonts w:ascii="Garamond" w:hAnsi="Garamond"/>
          <w:sz w:val="24"/>
          <w:szCs w:val="24"/>
        </w:rPr>
        <w:t xml:space="preserve">2) przedsiębiorcą w rozumieniu ustawy z dnia 6 marca 2018 r. Prawo przedsiębiorców - zwanej </w:t>
      </w:r>
      <w:r w:rsidR="003E3A05">
        <w:rPr>
          <w:rFonts w:ascii="Garamond" w:hAnsi="Garamond"/>
          <w:sz w:val="24"/>
          <w:szCs w:val="24"/>
        </w:rPr>
        <w:br/>
      </w:r>
      <w:r w:rsidRPr="00AE3F1B">
        <w:rPr>
          <w:rFonts w:ascii="Garamond" w:hAnsi="Garamond"/>
          <w:sz w:val="24"/>
          <w:szCs w:val="24"/>
        </w:rPr>
        <w:t xml:space="preserve">dalej „ustawą Prawo przedsiębiorców” (Dz. U. z </w:t>
      </w:r>
      <w:r w:rsidR="00DA12DF">
        <w:rPr>
          <w:rFonts w:ascii="Garamond" w:hAnsi="Garamond"/>
          <w:sz w:val="24"/>
          <w:szCs w:val="24"/>
        </w:rPr>
        <w:t xml:space="preserve">2024 </w:t>
      </w:r>
      <w:r w:rsidRPr="00AE3F1B">
        <w:rPr>
          <w:rFonts w:ascii="Garamond" w:hAnsi="Garamond"/>
          <w:sz w:val="24"/>
          <w:szCs w:val="24"/>
        </w:rPr>
        <w:t xml:space="preserve">r., poz. </w:t>
      </w:r>
      <w:r w:rsidR="00DA12DF">
        <w:rPr>
          <w:rFonts w:ascii="Garamond" w:hAnsi="Garamond"/>
          <w:sz w:val="24"/>
          <w:szCs w:val="24"/>
        </w:rPr>
        <w:t>236</w:t>
      </w:r>
      <w:r w:rsidR="00DA12DF" w:rsidRPr="00AE3F1B">
        <w:rPr>
          <w:rFonts w:ascii="Garamond" w:hAnsi="Garamond"/>
          <w:sz w:val="24"/>
          <w:szCs w:val="24"/>
        </w:rPr>
        <w:t xml:space="preserve"> </w:t>
      </w:r>
      <w:r w:rsidRPr="00AE3F1B">
        <w:rPr>
          <w:rFonts w:ascii="Garamond" w:hAnsi="Garamond"/>
          <w:sz w:val="24"/>
          <w:szCs w:val="24"/>
        </w:rPr>
        <w:t xml:space="preserve">z późn. zmianami) niebędącego prosumentem, informuje OSD o terminie przyłączenia mikroinstalacji, lokalizacji przyłączenia mikroinstalacji, rodzaju odnawialnego źródła energii i magazynu energii elektrycznej użytego w tej mikroinstalacji oraz łącznej mocy zainstalowanej elektrycznej mikroinstalacji, w zgłoszeniu przyłączenia mikroinstalacji, o którym mowa w pkt </w:t>
      </w:r>
      <w:r w:rsidR="00B44EF4" w:rsidRPr="00AE3F1B">
        <w:rPr>
          <w:rFonts w:ascii="Garamond" w:hAnsi="Garamond"/>
          <w:sz w:val="24"/>
          <w:szCs w:val="24"/>
        </w:rPr>
        <w:t>II</w:t>
      </w:r>
      <w:r w:rsidRPr="00AE3F1B">
        <w:rPr>
          <w:rFonts w:ascii="Garamond" w:hAnsi="Garamond"/>
          <w:sz w:val="24"/>
          <w:szCs w:val="24"/>
        </w:rPr>
        <w:t>.1.19., nie później niż w terminie 30 dni przed dniem planowanego przyłączenia mikroinstalacji do sieci ID Sp. z o.o.</w:t>
      </w:r>
    </w:p>
    <w:p w14:paraId="4B0F7FA4" w14:textId="7B852303" w:rsidR="00B44EF4" w:rsidRDefault="00BF4E2F" w:rsidP="00BF4E2F">
      <w:pPr>
        <w:spacing w:after="158" w:line="253" w:lineRule="auto"/>
        <w:ind w:left="426" w:right="-3" w:hanging="426"/>
        <w:jc w:val="left"/>
        <w:rPr>
          <w:rFonts w:ascii="Garamond" w:hAnsi="Garamond"/>
          <w:sz w:val="24"/>
          <w:szCs w:val="24"/>
        </w:rPr>
      </w:pPr>
      <w:r>
        <w:rPr>
          <w:rFonts w:ascii="Garamond" w:hAnsi="Garamond"/>
          <w:sz w:val="24"/>
          <w:szCs w:val="24"/>
        </w:rPr>
        <w:t xml:space="preserve">II.1.19. </w:t>
      </w:r>
      <w:r w:rsidR="006B20D9" w:rsidRPr="00AE3F1B">
        <w:rPr>
          <w:rFonts w:ascii="Garamond" w:hAnsi="Garamond"/>
          <w:sz w:val="24"/>
          <w:szCs w:val="24"/>
        </w:rPr>
        <w:t xml:space="preserve">Wytwórca, o którym mowa w pkt. </w:t>
      </w:r>
      <w:r w:rsidR="00B44EF4" w:rsidRPr="00AE3F1B">
        <w:rPr>
          <w:rFonts w:ascii="Garamond" w:hAnsi="Garamond"/>
          <w:sz w:val="24"/>
          <w:szCs w:val="24"/>
        </w:rPr>
        <w:t>II</w:t>
      </w:r>
      <w:r w:rsidR="006B20D9" w:rsidRPr="00AE3F1B">
        <w:rPr>
          <w:rFonts w:ascii="Garamond" w:hAnsi="Garamond"/>
          <w:sz w:val="24"/>
          <w:szCs w:val="24"/>
        </w:rPr>
        <w:t>.1.18. informuje ID Sp. z o.o.:</w:t>
      </w:r>
    </w:p>
    <w:p w14:paraId="58F7A0F4" w14:textId="77777777" w:rsidR="007904D6" w:rsidRPr="007904D6" w:rsidRDefault="007904D6" w:rsidP="007904D6">
      <w:pPr>
        <w:pStyle w:val="Akapitzlist"/>
        <w:numPr>
          <w:ilvl w:val="0"/>
          <w:numId w:val="223"/>
        </w:numPr>
        <w:spacing w:after="158" w:line="253" w:lineRule="auto"/>
        <w:ind w:left="851" w:right="-3" w:hanging="284"/>
        <w:jc w:val="left"/>
        <w:rPr>
          <w:rFonts w:ascii="Garamond" w:hAnsi="Garamond"/>
          <w:sz w:val="24"/>
          <w:szCs w:val="24"/>
        </w:rPr>
      </w:pPr>
      <w:r w:rsidRPr="007904D6">
        <w:rPr>
          <w:rFonts w:ascii="Garamond" w:hAnsi="Garamond"/>
          <w:sz w:val="24"/>
          <w:szCs w:val="24"/>
        </w:rPr>
        <w:t xml:space="preserve">Zmianie rodzaju odnawialnego źródła energii użytego w mikroinstalacji lub jej mocy </w:t>
      </w:r>
      <w:r w:rsidRPr="007904D6">
        <w:rPr>
          <w:rFonts w:ascii="Garamond" w:hAnsi="Garamond"/>
          <w:sz w:val="24"/>
          <w:szCs w:val="24"/>
        </w:rPr>
        <w:br/>
        <w:t>zainstalowanej elektrycznej- w terminie 14 dni od dnia zmiany tych danych.</w:t>
      </w:r>
    </w:p>
    <w:p w14:paraId="51D6AC22" w14:textId="67E1B55D" w:rsidR="007904D6" w:rsidRPr="007904D6" w:rsidRDefault="007904D6" w:rsidP="007904D6">
      <w:pPr>
        <w:pStyle w:val="Akapitzlist"/>
        <w:numPr>
          <w:ilvl w:val="0"/>
          <w:numId w:val="223"/>
        </w:numPr>
        <w:spacing w:after="158" w:line="253" w:lineRule="auto"/>
        <w:ind w:left="851" w:right="-3" w:hanging="284"/>
        <w:jc w:val="left"/>
        <w:rPr>
          <w:rFonts w:ascii="Garamond" w:hAnsi="Garamond"/>
          <w:sz w:val="24"/>
          <w:szCs w:val="24"/>
        </w:rPr>
      </w:pPr>
      <w:r w:rsidRPr="007904D6">
        <w:rPr>
          <w:rFonts w:ascii="Garamond" w:hAnsi="Garamond"/>
          <w:sz w:val="24"/>
          <w:szCs w:val="24"/>
        </w:rPr>
        <w:t xml:space="preserve">Zawieszeniu trwającym od 30 dni do 24 miesięcy lub zakończenia wytwarzania energii </w:t>
      </w:r>
      <w:r w:rsidRPr="007904D6">
        <w:rPr>
          <w:rFonts w:ascii="Garamond" w:hAnsi="Garamond"/>
          <w:sz w:val="24"/>
          <w:szCs w:val="24"/>
        </w:rPr>
        <w:br/>
        <w:t xml:space="preserve">elektrycznej z odnawialnych źródeł energii w mikroinstalacji – w terminie 45 dni od dnia </w:t>
      </w:r>
      <w:r w:rsidRPr="007904D6">
        <w:rPr>
          <w:rFonts w:ascii="Garamond" w:hAnsi="Garamond"/>
          <w:sz w:val="24"/>
          <w:szCs w:val="24"/>
        </w:rPr>
        <w:br/>
        <w:t xml:space="preserve">zawieszenia lub zakończenia wytwarzania energii elektrycznej z odnawialnych źródeł energii </w:t>
      </w:r>
      <w:r w:rsidRPr="007904D6">
        <w:rPr>
          <w:rFonts w:ascii="Garamond" w:hAnsi="Garamond"/>
          <w:sz w:val="24"/>
          <w:szCs w:val="24"/>
        </w:rPr>
        <w:br/>
        <w:t>w mikroinstalacji.</w:t>
      </w:r>
    </w:p>
    <w:p w14:paraId="2CA095D0" w14:textId="52CA62CE" w:rsidR="00B44EF4" w:rsidRPr="00AE3F1B" w:rsidRDefault="00BF4E2F" w:rsidP="00BF4E2F">
      <w:pPr>
        <w:spacing w:after="158" w:line="253" w:lineRule="auto"/>
        <w:ind w:left="709" w:right="-3" w:hanging="709"/>
        <w:jc w:val="left"/>
        <w:rPr>
          <w:rFonts w:ascii="Garamond" w:hAnsi="Garamond"/>
          <w:sz w:val="24"/>
          <w:szCs w:val="24"/>
        </w:rPr>
      </w:pPr>
      <w:r>
        <w:rPr>
          <w:rFonts w:ascii="Garamond" w:hAnsi="Garamond"/>
          <w:sz w:val="24"/>
          <w:szCs w:val="24"/>
        </w:rPr>
        <w:t>II.1.20.</w:t>
      </w:r>
      <w:r w:rsidR="00B44EF4" w:rsidRPr="00AE3F1B">
        <w:rPr>
          <w:rFonts w:ascii="Garamond" w:hAnsi="Garamond"/>
          <w:sz w:val="24"/>
          <w:szCs w:val="24"/>
        </w:rPr>
        <w:t xml:space="preserve">Zapisów pkt. II.1.18. i II.1.19. nie stosuje się do wytwórców energii elektrycznej wytworzonej z </w:t>
      </w:r>
      <w:r w:rsidR="003E3A05">
        <w:rPr>
          <w:rFonts w:ascii="Garamond" w:hAnsi="Garamond"/>
          <w:sz w:val="24"/>
          <w:szCs w:val="24"/>
        </w:rPr>
        <w:br/>
      </w:r>
      <w:r w:rsidR="00B44EF4" w:rsidRPr="00AE3F1B">
        <w:rPr>
          <w:rFonts w:ascii="Garamond" w:hAnsi="Garamond"/>
          <w:sz w:val="24"/>
          <w:szCs w:val="24"/>
        </w:rPr>
        <w:t xml:space="preserve">biogazu rolniczego w mikroinstalacji, niebędących prosumentami. </w:t>
      </w:r>
    </w:p>
    <w:p w14:paraId="27A0213C" w14:textId="63AF2FD1" w:rsidR="00B44EF4" w:rsidRPr="00AE3F1B" w:rsidRDefault="00BF4E2F" w:rsidP="00BF4E2F">
      <w:pPr>
        <w:spacing w:after="191" w:line="253" w:lineRule="auto"/>
        <w:ind w:left="709" w:right="-3" w:hanging="709"/>
        <w:jc w:val="left"/>
        <w:rPr>
          <w:rFonts w:ascii="Garamond" w:hAnsi="Garamond"/>
          <w:sz w:val="24"/>
          <w:szCs w:val="24"/>
        </w:rPr>
      </w:pPr>
      <w:r>
        <w:rPr>
          <w:rFonts w:ascii="Garamond" w:hAnsi="Garamond"/>
          <w:sz w:val="24"/>
          <w:szCs w:val="24"/>
        </w:rPr>
        <w:t>II.1.21.</w:t>
      </w:r>
      <w:r w:rsidR="00B44EF4" w:rsidRPr="00AE3F1B">
        <w:rPr>
          <w:rFonts w:ascii="Garamond" w:hAnsi="Garamond"/>
          <w:sz w:val="24"/>
          <w:szCs w:val="24"/>
        </w:rPr>
        <w:t>Wytwórca energii elektrycznej z biogazu rolniczego w mikroinstalacji będący osobą fizyczną wpisaną do ewidencji producentów, o której mowa w przepisach o krajowym systemie ewidencji producentów, ewidencji gospodarstw rolnych oraz ewidencji wniosków o przyznanie płatności lub wytwórca będący przedsiębiorcą w rozumieniu ustawy o swobodzie działalności gospodarczej wykonujący działalność, o której mowa powyżej, nie później niż 30 dni przed dniem planowanego przyłączenia mikroinstalacji do sieci dystrybucyjnej ID Sp. z o.o., pisemnie informuje ID Sp. z o.o. o planowanym terminie jej przyłączenia, planowanej lokalizacji oraz rodzaju i mocy zainstalowanej elektrycznej mikroinstalacji.</w:t>
      </w:r>
    </w:p>
    <w:p w14:paraId="4527B803" w14:textId="77777777" w:rsidR="00B44EF4" w:rsidRPr="00AE3F1B" w:rsidRDefault="00BF4E2F" w:rsidP="00BF4E2F">
      <w:pPr>
        <w:spacing w:after="161" w:line="253" w:lineRule="auto"/>
        <w:ind w:left="1985" w:right="-3" w:hanging="1985"/>
        <w:jc w:val="left"/>
        <w:rPr>
          <w:rFonts w:ascii="Garamond" w:hAnsi="Garamond"/>
          <w:sz w:val="24"/>
          <w:szCs w:val="24"/>
        </w:rPr>
      </w:pPr>
      <w:r>
        <w:rPr>
          <w:rFonts w:ascii="Garamond" w:hAnsi="Garamond"/>
          <w:sz w:val="24"/>
          <w:szCs w:val="24"/>
        </w:rPr>
        <w:t>II.1.22.</w:t>
      </w:r>
      <w:r w:rsidR="00B44EF4" w:rsidRPr="00AE3F1B">
        <w:rPr>
          <w:rFonts w:ascii="Garamond" w:hAnsi="Garamond"/>
          <w:sz w:val="24"/>
          <w:szCs w:val="24"/>
        </w:rPr>
        <w:t xml:space="preserve">Wytwórca, o którym mowa pkt. </w:t>
      </w:r>
      <w:r>
        <w:rPr>
          <w:rFonts w:ascii="Garamond" w:hAnsi="Garamond"/>
          <w:sz w:val="24"/>
          <w:szCs w:val="24"/>
        </w:rPr>
        <w:t>II</w:t>
      </w:r>
      <w:r w:rsidR="00B44EF4" w:rsidRPr="00AE3F1B">
        <w:rPr>
          <w:rFonts w:ascii="Garamond" w:hAnsi="Garamond"/>
          <w:sz w:val="24"/>
          <w:szCs w:val="24"/>
        </w:rPr>
        <w:t>.1.21. jest obowiązany informować ID Sp. z o.o. o:</w:t>
      </w:r>
    </w:p>
    <w:p w14:paraId="1FCB344B" w14:textId="0E594693" w:rsidR="00B44EF4" w:rsidRPr="00AE3F1B" w:rsidRDefault="00B44EF4">
      <w:pPr>
        <w:numPr>
          <w:ilvl w:val="3"/>
          <w:numId w:val="27"/>
        </w:numPr>
        <w:spacing w:line="253" w:lineRule="auto"/>
        <w:ind w:left="851" w:right="-3" w:hanging="425"/>
        <w:jc w:val="left"/>
        <w:rPr>
          <w:rFonts w:ascii="Garamond" w:hAnsi="Garamond"/>
          <w:sz w:val="24"/>
          <w:szCs w:val="24"/>
        </w:rPr>
      </w:pPr>
      <w:r w:rsidRPr="00AE3F1B">
        <w:rPr>
          <w:rFonts w:ascii="Garamond" w:hAnsi="Garamond"/>
          <w:sz w:val="24"/>
          <w:szCs w:val="24"/>
        </w:rPr>
        <w:t>zmianie mocy zainstalowanej elektrycznej mikroinstalacji — w terminie 14 dni od dnia zmiany,</w:t>
      </w:r>
    </w:p>
    <w:p w14:paraId="51A1D59F" w14:textId="77777777" w:rsidR="00B44EF4" w:rsidRPr="00AE3F1B" w:rsidRDefault="00B44EF4">
      <w:pPr>
        <w:numPr>
          <w:ilvl w:val="3"/>
          <w:numId w:val="27"/>
        </w:numPr>
        <w:spacing w:line="253" w:lineRule="auto"/>
        <w:ind w:left="851" w:right="-3" w:hanging="425"/>
        <w:jc w:val="left"/>
        <w:rPr>
          <w:rFonts w:ascii="Garamond" w:hAnsi="Garamond"/>
          <w:sz w:val="24"/>
          <w:szCs w:val="24"/>
        </w:rPr>
      </w:pPr>
      <w:r w:rsidRPr="00AE3F1B">
        <w:rPr>
          <w:rFonts w:ascii="Garamond" w:hAnsi="Garamond"/>
          <w:sz w:val="24"/>
          <w:szCs w:val="24"/>
        </w:rPr>
        <w:t>zawieszeniu trwającym od 30 dni do 24 miesięcy lub zakończenia wytwarzania energii elektrycznej w mikroinstalacji — w terminie 45 dni od dnia zawieszenia lub zakończenia wytwarzania energii elektrycznej,</w:t>
      </w:r>
    </w:p>
    <w:p w14:paraId="488D0D54" w14:textId="77777777" w:rsidR="00B44EF4" w:rsidRPr="00AE3F1B" w:rsidRDefault="00B44EF4">
      <w:pPr>
        <w:numPr>
          <w:ilvl w:val="3"/>
          <w:numId w:val="27"/>
        </w:numPr>
        <w:spacing w:after="109" w:line="253" w:lineRule="auto"/>
        <w:ind w:left="851" w:right="-3" w:hanging="425"/>
        <w:jc w:val="left"/>
        <w:rPr>
          <w:rFonts w:ascii="Garamond" w:hAnsi="Garamond"/>
          <w:sz w:val="24"/>
          <w:szCs w:val="24"/>
        </w:rPr>
      </w:pPr>
      <w:r w:rsidRPr="00AE3F1B">
        <w:rPr>
          <w:rFonts w:ascii="Garamond" w:hAnsi="Garamond"/>
          <w:sz w:val="24"/>
          <w:szCs w:val="24"/>
        </w:rPr>
        <w:lastRenderedPageBreak/>
        <w:t>terminie wytworzenia po raz pierwszy energii elektrycznej w mikroinstalacji w terminie 14 dni od dnia jej wytworzenia.</w:t>
      </w:r>
    </w:p>
    <w:p w14:paraId="66451DD0" w14:textId="721C29DC" w:rsidR="00B44EF4" w:rsidRPr="00AE3F1B" w:rsidRDefault="00473A95" w:rsidP="007B460D">
      <w:pPr>
        <w:spacing w:after="171" w:line="253" w:lineRule="auto"/>
        <w:ind w:left="709" w:right="-3" w:hanging="709"/>
        <w:jc w:val="left"/>
        <w:rPr>
          <w:rFonts w:ascii="Garamond" w:hAnsi="Garamond"/>
          <w:sz w:val="24"/>
          <w:szCs w:val="24"/>
        </w:rPr>
      </w:pPr>
      <w:r>
        <w:rPr>
          <w:rFonts w:ascii="Garamond" w:hAnsi="Garamond"/>
          <w:sz w:val="24"/>
          <w:szCs w:val="24"/>
        </w:rPr>
        <w:t>II.1.23.</w:t>
      </w:r>
      <w:r w:rsidR="00B44EF4" w:rsidRPr="00AE3F1B">
        <w:rPr>
          <w:rFonts w:ascii="Garamond" w:hAnsi="Garamond"/>
          <w:sz w:val="24"/>
          <w:szCs w:val="24"/>
        </w:rPr>
        <w:t xml:space="preserve">Umowa o przyłączenie stanowi podstawę do rozpoczęcia przez </w:t>
      </w:r>
      <w:r w:rsidR="0035131E" w:rsidRPr="00AE3F1B">
        <w:rPr>
          <w:rFonts w:ascii="Garamond" w:hAnsi="Garamond"/>
          <w:sz w:val="24"/>
          <w:szCs w:val="24"/>
        </w:rPr>
        <w:t>ID</w:t>
      </w:r>
      <w:r w:rsidR="00B44EF4" w:rsidRPr="00AE3F1B">
        <w:rPr>
          <w:rFonts w:ascii="Garamond" w:hAnsi="Garamond"/>
          <w:sz w:val="24"/>
          <w:szCs w:val="24"/>
        </w:rPr>
        <w:t xml:space="preserve"> Sp. z</w:t>
      </w:r>
      <w:r w:rsidR="007B460D">
        <w:rPr>
          <w:rFonts w:ascii="Garamond" w:hAnsi="Garamond"/>
          <w:sz w:val="24"/>
          <w:szCs w:val="24"/>
        </w:rPr>
        <w:t xml:space="preserve"> </w:t>
      </w:r>
      <w:r w:rsidR="00B44EF4" w:rsidRPr="00AE3F1B">
        <w:rPr>
          <w:rFonts w:ascii="Garamond" w:hAnsi="Garamond"/>
          <w:sz w:val="24"/>
          <w:szCs w:val="24"/>
        </w:rPr>
        <w:t>o.o. realizacji prac projektowych i budowlano-montażowych na zasadach określonych w tej umowie.</w:t>
      </w:r>
    </w:p>
    <w:p w14:paraId="0495ADA7" w14:textId="77777777" w:rsidR="0035131E" w:rsidRPr="00AE3F1B" w:rsidRDefault="00473A95" w:rsidP="007B460D">
      <w:pPr>
        <w:spacing w:after="177" w:line="253" w:lineRule="auto"/>
        <w:ind w:left="1985" w:right="-3" w:hanging="1985"/>
        <w:jc w:val="left"/>
        <w:rPr>
          <w:rFonts w:ascii="Garamond" w:hAnsi="Garamond"/>
          <w:sz w:val="24"/>
          <w:szCs w:val="24"/>
        </w:rPr>
      </w:pPr>
      <w:r>
        <w:rPr>
          <w:rFonts w:ascii="Garamond" w:hAnsi="Garamond"/>
          <w:sz w:val="24"/>
          <w:szCs w:val="24"/>
        </w:rPr>
        <w:t>II.1.24.</w:t>
      </w:r>
      <w:r w:rsidR="0035131E" w:rsidRPr="00AE3F1B">
        <w:rPr>
          <w:rFonts w:ascii="Garamond" w:hAnsi="Garamond"/>
          <w:sz w:val="24"/>
          <w:szCs w:val="24"/>
        </w:rPr>
        <w:t>Umowa o przyłączenie do sieci dystrybucyjnej ID Sp. z o.o. powinna zawierać co najmniej:</w:t>
      </w:r>
    </w:p>
    <w:p w14:paraId="7D338128" w14:textId="77777777" w:rsidR="0035131E" w:rsidRPr="00AE3F1B" w:rsidRDefault="0035131E" w:rsidP="00D356CE">
      <w:pPr>
        <w:numPr>
          <w:ilvl w:val="3"/>
          <w:numId w:val="221"/>
        </w:numPr>
        <w:spacing w:line="253" w:lineRule="auto"/>
        <w:ind w:left="1134" w:right="-3" w:hanging="425"/>
        <w:jc w:val="left"/>
        <w:rPr>
          <w:rFonts w:ascii="Garamond" w:hAnsi="Garamond"/>
          <w:sz w:val="24"/>
          <w:szCs w:val="24"/>
        </w:rPr>
      </w:pPr>
      <w:r w:rsidRPr="00AE3F1B">
        <w:rPr>
          <w:rFonts w:ascii="Garamond" w:hAnsi="Garamond"/>
          <w:sz w:val="24"/>
          <w:szCs w:val="24"/>
        </w:rPr>
        <w:t>strony zawierające umowę,</w:t>
      </w:r>
    </w:p>
    <w:p w14:paraId="3BEEE327" w14:textId="77777777" w:rsidR="0035131E" w:rsidRPr="00AE3F1B" w:rsidRDefault="0035131E" w:rsidP="00D356CE">
      <w:pPr>
        <w:numPr>
          <w:ilvl w:val="3"/>
          <w:numId w:val="221"/>
        </w:numPr>
        <w:spacing w:line="253" w:lineRule="auto"/>
        <w:ind w:left="1134" w:right="-3" w:hanging="425"/>
        <w:jc w:val="left"/>
        <w:rPr>
          <w:rFonts w:ascii="Garamond" w:hAnsi="Garamond"/>
          <w:sz w:val="24"/>
          <w:szCs w:val="24"/>
        </w:rPr>
      </w:pPr>
      <w:r w:rsidRPr="00AE3F1B">
        <w:rPr>
          <w:rFonts w:ascii="Garamond" w:hAnsi="Garamond"/>
          <w:sz w:val="24"/>
          <w:szCs w:val="24"/>
        </w:rPr>
        <w:t>przedmiot umowy wynikający z warunków przyłączenia,</w:t>
      </w:r>
    </w:p>
    <w:p w14:paraId="568D2050" w14:textId="77777777" w:rsidR="0035131E" w:rsidRPr="00AE3F1B" w:rsidRDefault="0035131E" w:rsidP="00D356CE">
      <w:pPr>
        <w:numPr>
          <w:ilvl w:val="3"/>
          <w:numId w:val="221"/>
        </w:numPr>
        <w:spacing w:line="253" w:lineRule="auto"/>
        <w:ind w:left="1134" w:right="-3" w:hanging="425"/>
        <w:jc w:val="left"/>
        <w:rPr>
          <w:rFonts w:ascii="Garamond" w:hAnsi="Garamond"/>
          <w:sz w:val="24"/>
          <w:szCs w:val="24"/>
        </w:rPr>
      </w:pPr>
      <w:r w:rsidRPr="00AE3F1B">
        <w:rPr>
          <w:rFonts w:ascii="Garamond" w:hAnsi="Garamond"/>
          <w:sz w:val="24"/>
          <w:szCs w:val="24"/>
        </w:rPr>
        <w:t>termin realizacji przyłączenia,</w:t>
      </w:r>
    </w:p>
    <w:p w14:paraId="7F1D9266" w14:textId="77777777" w:rsidR="0035131E" w:rsidRPr="00AE3F1B" w:rsidRDefault="0035131E" w:rsidP="00D356CE">
      <w:pPr>
        <w:numPr>
          <w:ilvl w:val="3"/>
          <w:numId w:val="221"/>
        </w:numPr>
        <w:spacing w:line="253" w:lineRule="auto"/>
        <w:ind w:left="1134" w:right="-3" w:hanging="425"/>
        <w:jc w:val="left"/>
        <w:rPr>
          <w:rFonts w:ascii="Garamond" w:hAnsi="Garamond"/>
          <w:sz w:val="24"/>
          <w:szCs w:val="24"/>
        </w:rPr>
      </w:pPr>
      <w:r w:rsidRPr="00AE3F1B">
        <w:rPr>
          <w:rFonts w:ascii="Garamond" w:hAnsi="Garamond"/>
          <w:sz w:val="24"/>
          <w:szCs w:val="24"/>
        </w:rPr>
        <w:t>wysokość opłaty za przyłączenie oraz sposób jej regulowania,</w:t>
      </w:r>
    </w:p>
    <w:p w14:paraId="2C863E21" w14:textId="77777777" w:rsidR="0035131E" w:rsidRPr="00AE3F1B" w:rsidRDefault="0035131E" w:rsidP="00D356CE">
      <w:pPr>
        <w:numPr>
          <w:ilvl w:val="3"/>
          <w:numId w:val="221"/>
        </w:numPr>
        <w:spacing w:line="253" w:lineRule="auto"/>
        <w:ind w:left="1134" w:right="-3" w:hanging="425"/>
        <w:jc w:val="left"/>
        <w:rPr>
          <w:rFonts w:ascii="Garamond" w:hAnsi="Garamond"/>
          <w:sz w:val="24"/>
          <w:szCs w:val="24"/>
        </w:rPr>
      </w:pPr>
      <w:r w:rsidRPr="00AE3F1B">
        <w:rPr>
          <w:rFonts w:ascii="Garamond" w:hAnsi="Garamond"/>
          <w:sz w:val="24"/>
          <w:szCs w:val="24"/>
        </w:rPr>
        <w:t>miejsce rozgraniczenia własności sieci ID Sp. z o.o. i instalacji podmiotu przyłączanego,</w:t>
      </w:r>
    </w:p>
    <w:p w14:paraId="350A4132" w14:textId="77777777" w:rsidR="0035131E" w:rsidRPr="00AE3F1B" w:rsidRDefault="0035131E" w:rsidP="00D356CE">
      <w:pPr>
        <w:numPr>
          <w:ilvl w:val="3"/>
          <w:numId w:val="221"/>
        </w:numPr>
        <w:spacing w:line="253" w:lineRule="auto"/>
        <w:ind w:left="1134" w:right="-3" w:hanging="425"/>
        <w:jc w:val="left"/>
        <w:rPr>
          <w:rFonts w:ascii="Garamond" w:hAnsi="Garamond"/>
          <w:sz w:val="24"/>
          <w:szCs w:val="24"/>
        </w:rPr>
      </w:pPr>
      <w:r w:rsidRPr="00AE3F1B">
        <w:rPr>
          <w:rFonts w:ascii="Garamond" w:hAnsi="Garamond"/>
          <w:sz w:val="24"/>
          <w:szCs w:val="24"/>
        </w:rPr>
        <w:t>zakres robót niezbędnych przy realizacji przyłączenia,</w:t>
      </w:r>
    </w:p>
    <w:p w14:paraId="6573E065" w14:textId="77777777" w:rsidR="0035131E" w:rsidRPr="00AE3F1B" w:rsidRDefault="0035131E" w:rsidP="00D356CE">
      <w:pPr>
        <w:numPr>
          <w:ilvl w:val="3"/>
          <w:numId w:val="221"/>
        </w:numPr>
        <w:spacing w:line="253" w:lineRule="auto"/>
        <w:ind w:left="1134" w:right="-3" w:hanging="425"/>
        <w:jc w:val="left"/>
        <w:rPr>
          <w:rFonts w:ascii="Garamond" w:hAnsi="Garamond"/>
          <w:sz w:val="24"/>
          <w:szCs w:val="24"/>
        </w:rPr>
      </w:pPr>
      <w:r w:rsidRPr="00AE3F1B">
        <w:rPr>
          <w:rFonts w:ascii="Garamond" w:hAnsi="Garamond"/>
          <w:sz w:val="24"/>
          <w:szCs w:val="24"/>
        </w:rPr>
        <w:t>wymagania dotyczące lokalizacji układu pomiarowo-rozliczeniowego i jego parametrów,</w:t>
      </w:r>
    </w:p>
    <w:p w14:paraId="29747C9A" w14:textId="77777777" w:rsidR="0035131E" w:rsidRPr="00AE3F1B" w:rsidRDefault="0035131E" w:rsidP="00D356CE">
      <w:pPr>
        <w:numPr>
          <w:ilvl w:val="3"/>
          <w:numId w:val="221"/>
        </w:numPr>
        <w:spacing w:line="253" w:lineRule="auto"/>
        <w:ind w:left="1134" w:right="-3" w:hanging="425"/>
        <w:jc w:val="left"/>
        <w:rPr>
          <w:rFonts w:ascii="Garamond" w:hAnsi="Garamond"/>
          <w:sz w:val="24"/>
          <w:szCs w:val="24"/>
        </w:rPr>
      </w:pPr>
      <w:r w:rsidRPr="00AE3F1B">
        <w:rPr>
          <w:rFonts w:ascii="Garamond" w:hAnsi="Garamond"/>
          <w:sz w:val="24"/>
          <w:szCs w:val="24"/>
        </w:rPr>
        <w:t>harmonogram przyłączenia,</w:t>
      </w:r>
    </w:p>
    <w:p w14:paraId="74DCE7B9" w14:textId="77777777" w:rsidR="0035131E" w:rsidRPr="00AE3F1B" w:rsidRDefault="0035131E" w:rsidP="00D356CE">
      <w:pPr>
        <w:numPr>
          <w:ilvl w:val="3"/>
          <w:numId w:val="221"/>
        </w:numPr>
        <w:spacing w:line="253" w:lineRule="auto"/>
        <w:ind w:left="1134" w:right="-3" w:hanging="425"/>
        <w:jc w:val="left"/>
        <w:rPr>
          <w:rFonts w:ascii="Garamond" w:hAnsi="Garamond"/>
          <w:sz w:val="24"/>
          <w:szCs w:val="24"/>
        </w:rPr>
      </w:pPr>
      <w:r w:rsidRPr="00AE3F1B">
        <w:rPr>
          <w:rFonts w:ascii="Garamond" w:hAnsi="Garamond"/>
          <w:sz w:val="24"/>
          <w:szCs w:val="24"/>
        </w:rPr>
        <w:t>warunki udostępnienia ID Sp. z o.o. nieruchomości należącej do podmiotu przyłączanego w celu budowy lub rozbudowy sieci niezbędnej do realizacji przyłączenia,</w:t>
      </w:r>
    </w:p>
    <w:p w14:paraId="59B2A4DC" w14:textId="77777777" w:rsidR="0035131E" w:rsidRPr="00AE3F1B" w:rsidRDefault="0035131E" w:rsidP="00D356CE">
      <w:pPr>
        <w:numPr>
          <w:ilvl w:val="3"/>
          <w:numId w:val="221"/>
        </w:numPr>
        <w:spacing w:line="253" w:lineRule="auto"/>
        <w:ind w:left="1134" w:right="-3" w:hanging="425"/>
        <w:jc w:val="left"/>
        <w:rPr>
          <w:rFonts w:ascii="Garamond" w:hAnsi="Garamond"/>
          <w:sz w:val="24"/>
          <w:szCs w:val="24"/>
        </w:rPr>
      </w:pPr>
      <w:r w:rsidRPr="00AE3F1B">
        <w:rPr>
          <w:rFonts w:ascii="Garamond" w:hAnsi="Garamond"/>
          <w:sz w:val="24"/>
          <w:szCs w:val="24"/>
        </w:rPr>
        <w:t>przewidywany termin zawarcia umowy, na podstawie której nastąpi dostarczanie lub pobieranie energii,</w:t>
      </w:r>
    </w:p>
    <w:p w14:paraId="356B611E" w14:textId="77777777" w:rsidR="0035131E" w:rsidRPr="00AE3F1B" w:rsidRDefault="0035131E" w:rsidP="00D356CE">
      <w:pPr>
        <w:numPr>
          <w:ilvl w:val="3"/>
          <w:numId w:val="221"/>
        </w:numPr>
        <w:spacing w:line="253" w:lineRule="auto"/>
        <w:ind w:left="1134" w:right="-3" w:hanging="425"/>
        <w:jc w:val="left"/>
        <w:rPr>
          <w:rFonts w:ascii="Garamond" w:hAnsi="Garamond"/>
          <w:sz w:val="24"/>
          <w:szCs w:val="24"/>
        </w:rPr>
      </w:pPr>
      <w:r w:rsidRPr="00AE3F1B">
        <w:rPr>
          <w:rFonts w:ascii="Garamond" w:hAnsi="Garamond"/>
          <w:sz w:val="24"/>
          <w:szCs w:val="24"/>
        </w:rPr>
        <w:t xml:space="preserve">planowane ilości energii elektrycznej wprowadzanej do i/lub pobieranej z sieci, </w:t>
      </w:r>
    </w:p>
    <w:p w14:paraId="73798387" w14:textId="33BD5AEC" w:rsidR="0035131E" w:rsidRPr="00AE3F1B" w:rsidRDefault="0035131E" w:rsidP="00D356CE">
      <w:pPr>
        <w:numPr>
          <w:ilvl w:val="3"/>
          <w:numId w:val="221"/>
        </w:numPr>
        <w:spacing w:line="253" w:lineRule="auto"/>
        <w:ind w:left="1134" w:right="-3" w:hanging="425"/>
        <w:jc w:val="left"/>
        <w:rPr>
          <w:rFonts w:ascii="Garamond" w:hAnsi="Garamond"/>
          <w:sz w:val="24"/>
          <w:szCs w:val="24"/>
        </w:rPr>
      </w:pPr>
      <w:r w:rsidRPr="00AE3F1B">
        <w:rPr>
          <w:rFonts w:ascii="Garamond" w:hAnsi="Garamond"/>
          <w:sz w:val="24"/>
          <w:szCs w:val="24"/>
        </w:rPr>
        <w:t>moc przyłączeniową,</w:t>
      </w:r>
    </w:p>
    <w:p w14:paraId="17B7C4C3" w14:textId="1BAC1564" w:rsidR="0035131E" w:rsidRPr="00AE3F1B" w:rsidRDefault="0035131E" w:rsidP="00D356CE">
      <w:pPr>
        <w:numPr>
          <w:ilvl w:val="3"/>
          <w:numId w:val="221"/>
        </w:numPr>
        <w:spacing w:line="253" w:lineRule="auto"/>
        <w:ind w:left="1134" w:right="-3" w:hanging="425"/>
        <w:jc w:val="left"/>
        <w:rPr>
          <w:rFonts w:ascii="Garamond" w:hAnsi="Garamond"/>
          <w:sz w:val="24"/>
          <w:szCs w:val="24"/>
        </w:rPr>
      </w:pPr>
      <w:r w:rsidRPr="00AE3F1B">
        <w:rPr>
          <w:rFonts w:ascii="Garamond" w:hAnsi="Garamond"/>
          <w:sz w:val="24"/>
          <w:szCs w:val="24"/>
        </w:rPr>
        <w:t>ustalenia dotyczące opracowania dokumentu regulującego zasady współpracy ruchowej z ID Sp. z o.o.,</w:t>
      </w:r>
    </w:p>
    <w:p w14:paraId="000423EB" w14:textId="0255CF0E" w:rsidR="0035131E" w:rsidRPr="00AE3F1B" w:rsidRDefault="0035131E" w:rsidP="00D356CE">
      <w:pPr>
        <w:numPr>
          <w:ilvl w:val="3"/>
          <w:numId w:val="221"/>
        </w:numPr>
        <w:spacing w:after="41" w:line="253" w:lineRule="auto"/>
        <w:ind w:left="1134" w:right="-3" w:hanging="425"/>
        <w:jc w:val="left"/>
        <w:rPr>
          <w:rFonts w:ascii="Garamond" w:hAnsi="Garamond"/>
          <w:sz w:val="24"/>
          <w:szCs w:val="24"/>
        </w:rPr>
      </w:pPr>
      <w:r w:rsidRPr="00AE3F1B">
        <w:rPr>
          <w:rFonts w:ascii="Garamond" w:hAnsi="Garamond"/>
          <w:sz w:val="24"/>
          <w:szCs w:val="24"/>
        </w:rPr>
        <w:t xml:space="preserve">odpowiedzialność stron za niedotrzymanie warunków umowy, a w szczególności za opóźnienie terminu realizacji prac w stosunku do ustalonego w umowie, </w:t>
      </w:r>
    </w:p>
    <w:p w14:paraId="39E28EE4" w14:textId="30F4EBDB" w:rsidR="0035131E" w:rsidRPr="00AE3F1B" w:rsidRDefault="0035131E" w:rsidP="00D356CE">
      <w:pPr>
        <w:numPr>
          <w:ilvl w:val="3"/>
          <w:numId w:val="221"/>
        </w:numPr>
        <w:spacing w:after="41" w:line="253" w:lineRule="auto"/>
        <w:ind w:left="1134" w:right="-3" w:hanging="425"/>
        <w:jc w:val="left"/>
        <w:rPr>
          <w:rFonts w:ascii="Garamond" w:hAnsi="Garamond"/>
          <w:sz w:val="24"/>
          <w:szCs w:val="24"/>
        </w:rPr>
      </w:pPr>
      <w:r w:rsidRPr="00AE3F1B">
        <w:rPr>
          <w:rFonts w:ascii="Garamond" w:hAnsi="Garamond"/>
          <w:sz w:val="24"/>
          <w:szCs w:val="24"/>
        </w:rPr>
        <w:t>okres obowiązywania umowy i warunki jej rozwiązania.</w:t>
      </w:r>
    </w:p>
    <w:p w14:paraId="4390943A" w14:textId="77777777" w:rsidR="0035131E" w:rsidRPr="00AE3F1B" w:rsidRDefault="00473A95" w:rsidP="00473A95">
      <w:pPr>
        <w:spacing w:after="190" w:line="248" w:lineRule="auto"/>
        <w:ind w:left="709" w:right="-3" w:hanging="709"/>
        <w:jc w:val="left"/>
        <w:rPr>
          <w:rFonts w:ascii="Garamond" w:hAnsi="Garamond"/>
          <w:sz w:val="24"/>
          <w:szCs w:val="24"/>
        </w:rPr>
      </w:pPr>
      <w:r>
        <w:rPr>
          <w:rFonts w:ascii="Garamond" w:hAnsi="Garamond"/>
          <w:sz w:val="24"/>
          <w:szCs w:val="24"/>
        </w:rPr>
        <w:t xml:space="preserve">II.1.25. </w:t>
      </w:r>
      <w:r w:rsidR="0035131E" w:rsidRPr="00AE3F1B">
        <w:rPr>
          <w:rFonts w:ascii="Garamond" w:hAnsi="Garamond"/>
          <w:sz w:val="24"/>
          <w:szCs w:val="24"/>
        </w:rPr>
        <w:t>ID Sp. z o.o. ma prawo do kontroli spełniania przez przyłączane oraz przyłączone do sieci dystrybucyjnej urządzenia, instalacje i sieci, wymagań określonych w warunkach przyłączenia, zawartych umowach oraz do kontroli układów pomiarowo-rozliczeniowych.</w:t>
      </w:r>
    </w:p>
    <w:p w14:paraId="1C933CC7" w14:textId="77777777" w:rsidR="0035131E" w:rsidRPr="00AE3F1B" w:rsidRDefault="00473A95" w:rsidP="00473A95">
      <w:pPr>
        <w:spacing w:after="183" w:line="248" w:lineRule="auto"/>
        <w:ind w:left="709" w:right="-3" w:hanging="709"/>
        <w:jc w:val="left"/>
        <w:rPr>
          <w:rFonts w:ascii="Garamond" w:hAnsi="Garamond"/>
          <w:sz w:val="24"/>
          <w:szCs w:val="24"/>
        </w:rPr>
      </w:pPr>
      <w:r>
        <w:rPr>
          <w:rFonts w:ascii="Garamond" w:hAnsi="Garamond"/>
          <w:sz w:val="24"/>
          <w:szCs w:val="24"/>
        </w:rPr>
        <w:t xml:space="preserve">II.1.26. </w:t>
      </w:r>
      <w:r w:rsidR="0035131E" w:rsidRPr="00AE3F1B">
        <w:rPr>
          <w:rFonts w:ascii="Garamond" w:hAnsi="Garamond"/>
          <w:sz w:val="24"/>
          <w:szCs w:val="24"/>
        </w:rPr>
        <w:t xml:space="preserve">Szczegółowe zasady przeprowadzania kontroli, o których mowa w pkt. </w:t>
      </w:r>
      <w:r>
        <w:rPr>
          <w:rFonts w:ascii="Garamond" w:hAnsi="Garamond"/>
          <w:sz w:val="24"/>
          <w:szCs w:val="24"/>
        </w:rPr>
        <w:t>II</w:t>
      </w:r>
      <w:r w:rsidR="0035131E" w:rsidRPr="00AE3F1B">
        <w:rPr>
          <w:rFonts w:ascii="Garamond" w:hAnsi="Garamond"/>
          <w:sz w:val="24"/>
          <w:szCs w:val="24"/>
        </w:rPr>
        <w:t>.1.25, reguluje ustawa Prawo Energetyczne oraz Rozporządzenia wykonawcze do tej ustawy.</w:t>
      </w:r>
    </w:p>
    <w:p w14:paraId="578F719D" w14:textId="7FD5CDC6" w:rsidR="0035131E" w:rsidRPr="00AE3F1B" w:rsidRDefault="00473A95" w:rsidP="00473A95">
      <w:pPr>
        <w:spacing w:after="161" w:line="248" w:lineRule="auto"/>
        <w:ind w:left="709" w:right="-3" w:hanging="709"/>
        <w:jc w:val="left"/>
        <w:rPr>
          <w:rFonts w:ascii="Garamond" w:hAnsi="Garamond"/>
          <w:sz w:val="24"/>
          <w:szCs w:val="24"/>
        </w:rPr>
      </w:pPr>
      <w:r>
        <w:rPr>
          <w:rFonts w:ascii="Garamond" w:hAnsi="Garamond"/>
          <w:sz w:val="24"/>
          <w:szCs w:val="24"/>
        </w:rPr>
        <w:t xml:space="preserve">II.1.27. </w:t>
      </w:r>
      <w:r w:rsidR="0035131E" w:rsidRPr="00AE3F1B">
        <w:rPr>
          <w:rFonts w:ascii="Garamond" w:hAnsi="Garamond"/>
          <w:sz w:val="24"/>
          <w:szCs w:val="24"/>
        </w:rPr>
        <w:t xml:space="preserve">Podmioty zaliczone do </w:t>
      </w:r>
      <w:r w:rsidR="00076F3E" w:rsidRPr="00AE3F1B">
        <w:rPr>
          <w:rFonts w:ascii="Garamond" w:hAnsi="Garamond"/>
          <w:sz w:val="24"/>
          <w:szCs w:val="24"/>
        </w:rPr>
        <w:t xml:space="preserve">III </w:t>
      </w:r>
      <w:r w:rsidR="0035131E" w:rsidRPr="00AE3F1B">
        <w:rPr>
          <w:rFonts w:ascii="Garamond" w:hAnsi="Garamond"/>
          <w:sz w:val="24"/>
          <w:szCs w:val="24"/>
        </w:rPr>
        <w:t>i VI grupy przyłączeniowej, przyłączane bezpośrednio do sieci o napięciu znamionowym wyższym niż 1</w:t>
      </w:r>
      <w:r w:rsidR="007B460D">
        <w:rPr>
          <w:rFonts w:ascii="Garamond" w:hAnsi="Garamond"/>
          <w:sz w:val="24"/>
          <w:szCs w:val="24"/>
        </w:rPr>
        <w:t>k</w:t>
      </w:r>
      <w:r w:rsidR="0035131E" w:rsidRPr="00AE3F1B">
        <w:rPr>
          <w:rFonts w:ascii="Garamond" w:hAnsi="Garamond"/>
          <w:sz w:val="24"/>
          <w:szCs w:val="24"/>
        </w:rPr>
        <w:t xml:space="preserve">V, opracowują instrukcję współpracy podlegającą uzgodnieniu z </w:t>
      </w:r>
      <w:r w:rsidR="00076F3E" w:rsidRPr="00AE3F1B">
        <w:rPr>
          <w:rFonts w:ascii="Garamond" w:hAnsi="Garamond"/>
          <w:sz w:val="24"/>
          <w:szCs w:val="24"/>
        </w:rPr>
        <w:t xml:space="preserve">ID </w:t>
      </w:r>
      <w:r w:rsidR="0035131E" w:rsidRPr="00AE3F1B">
        <w:rPr>
          <w:rFonts w:ascii="Garamond" w:hAnsi="Garamond"/>
          <w:sz w:val="24"/>
          <w:szCs w:val="24"/>
        </w:rPr>
        <w:t xml:space="preserve">Sp. z o.o. przed przyłączeniem podmiotu do </w:t>
      </w:r>
      <w:r w:rsidR="00986798" w:rsidRPr="00AE3F1B">
        <w:rPr>
          <w:rFonts w:ascii="Garamond" w:hAnsi="Garamond"/>
          <w:sz w:val="24"/>
          <w:szCs w:val="24"/>
        </w:rPr>
        <w:t>sieci,</w:t>
      </w:r>
      <w:r w:rsidR="0035131E" w:rsidRPr="00AE3F1B">
        <w:rPr>
          <w:rFonts w:ascii="Garamond" w:hAnsi="Garamond"/>
          <w:sz w:val="24"/>
          <w:szCs w:val="24"/>
        </w:rPr>
        <w:t xml:space="preserve"> jeśli tak zapisano w wydanych warunkach przyłączenia.</w:t>
      </w:r>
    </w:p>
    <w:p w14:paraId="35066D47" w14:textId="77777777" w:rsidR="0035131E" w:rsidRPr="00AE3F1B" w:rsidRDefault="00473A95" w:rsidP="00473A95">
      <w:pPr>
        <w:spacing w:after="186" w:line="248" w:lineRule="auto"/>
        <w:ind w:left="709" w:right="-3" w:hanging="709"/>
        <w:jc w:val="left"/>
        <w:rPr>
          <w:rFonts w:ascii="Garamond" w:hAnsi="Garamond"/>
          <w:sz w:val="24"/>
          <w:szCs w:val="24"/>
        </w:rPr>
      </w:pPr>
      <w:r>
        <w:rPr>
          <w:rFonts w:ascii="Garamond" w:hAnsi="Garamond"/>
          <w:sz w:val="24"/>
          <w:szCs w:val="24"/>
        </w:rPr>
        <w:t xml:space="preserve">II.1.28. </w:t>
      </w:r>
      <w:r w:rsidR="0035131E" w:rsidRPr="00AE3F1B">
        <w:rPr>
          <w:rFonts w:ascii="Garamond" w:hAnsi="Garamond"/>
          <w:sz w:val="24"/>
          <w:szCs w:val="24"/>
        </w:rPr>
        <w:t xml:space="preserve">Podmioty ubiegające się o przyłączenie do sieci dystrybucyjnej </w:t>
      </w:r>
      <w:r w:rsidR="00076F3E" w:rsidRPr="00AE3F1B">
        <w:rPr>
          <w:rFonts w:ascii="Garamond" w:hAnsi="Garamond"/>
          <w:sz w:val="24"/>
          <w:szCs w:val="24"/>
        </w:rPr>
        <w:t>ID</w:t>
      </w:r>
      <w:r w:rsidR="0035131E" w:rsidRPr="00AE3F1B">
        <w:rPr>
          <w:rFonts w:ascii="Garamond" w:hAnsi="Garamond"/>
          <w:sz w:val="24"/>
          <w:szCs w:val="24"/>
        </w:rPr>
        <w:t xml:space="preserve"> Sp. z o.o. urządzeń, instalacji i sieci są zobowiązane do projektowania obiektów, urządzeń, instalacji i sieci zgodnie z powszechnie obowiązującymi przepisami oraz w oparciu otrzymane warunki przyłączenia.</w:t>
      </w:r>
    </w:p>
    <w:p w14:paraId="529AFD15" w14:textId="77777777" w:rsidR="00076A21" w:rsidRDefault="00473A95" w:rsidP="00473A95">
      <w:pPr>
        <w:ind w:left="709" w:right="-3" w:hanging="709"/>
        <w:jc w:val="left"/>
        <w:rPr>
          <w:rFonts w:ascii="Garamond" w:hAnsi="Garamond"/>
          <w:sz w:val="24"/>
          <w:szCs w:val="24"/>
        </w:rPr>
      </w:pPr>
      <w:r>
        <w:rPr>
          <w:rFonts w:ascii="Garamond" w:hAnsi="Garamond"/>
          <w:sz w:val="24"/>
          <w:szCs w:val="24"/>
        </w:rPr>
        <w:t>II.1.29.</w:t>
      </w:r>
      <w:r w:rsidR="00C24CFF" w:rsidRPr="00473A95">
        <w:rPr>
          <w:rFonts w:ascii="Garamond" w:hAnsi="Garamond"/>
          <w:sz w:val="24"/>
          <w:szCs w:val="24"/>
        </w:rPr>
        <w:t xml:space="preserve">Wytwórcy oraz farmy wiatrowe o mocy osiągalnej 5 MW i wyższej, przyłączani do sieci dystrybucyjnej ID Sp. z o.o. są zobowiązani do dokonania zgłoszenia do centralnego rejestru jednostek wytwórczych, prowadzonego przez operatora systemu przesyłowego (OSP), zgodnie </w:t>
      </w:r>
      <w:r w:rsidR="00C24CFF" w:rsidRPr="00473A95">
        <w:rPr>
          <w:rFonts w:ascii="Garamond" w:hAnsi="Garamond"/>
          <w:sz w:val="24"/>
          <w:szCs w:val="24"/>
        </w:rPr>
        <w:lastRenderedPageBreak/>
        <w:t>z</w:t>
      </w:r>
      <w:r w:rsidR="00076A21" w:rsidRPr="00473A95">
        <w:rPr>
          <w:rFonts w:ascii="Garamond" w:hAnsi="Garamond"/>
          <w:sz w:val="24"/>
          <w:szCs w:val="24"/>
        </w:rPr>
        <w:t xml:space="preserve"> zapisami Instrukcji Ruchu i Eksploatacji Sieci Przesyłowej (IRiESP). </w:t>
      </w:r>
      <w:r w:rsidR="00076A21" w:rsidRPr="00473A95">
        <w:rPr>
          <w:rFonts w:ascii="Garamond" w:hAnsi="Garamond"/>
          <w:sz w:val="24"/>
          <w:szCs w:val="24"/>
        </w:rPr>
        <w:br/>
        <w:t>Kopie zgłoszeń przesyłane są do ID Sp. z o.o.</w:t>
      </w:r>
    </w:p>
    <w:p w14:paraId="45218CC5" w14:textId="77777777" w:rsidR="006008D5" w:rsidRDefault="006008D5" w:rsidP="00473A95">
      <w:pPr>
        <w:ind w:left="709" w:right="-3" w:hanging="709"/>
        <w:jc w:val="left"/>
        <w:rPr>
          <w:rFonts w:ascii="Garamond" w:hAnsi="Garamond"/>
          <w:sz w:val="24"/>
          <w:szCs w:val="24"/>
        </w:rPr>
      </w:pPr>
    </w:p>
    <w:p w14:paraId="42736048" w14:textId="77777777" w:rsidR="006008D5" w:rsidRDefault="006008D5" w:rsidP="00473A95">
      <w:pPr>
        <w:ind w:left="709" w:right="-3" w:hanging="709"/>
        <w:jc w:val="left"/>
        <w:rPr>
          <w:rFonts w:ascii="Garamond" w:hAnsi="Garamond"/>
          <w:sz w:val="24"/>
          <w:szCs w:val="24"/>
        </w:rPr>
      </w:pPr>
    </w:p>
    <w:p w14:paraId="781D6A40" w14:textId="77777777" w:rsidR="00937322" w:rsidRPr="00937322" w:rsidRDefault="00937322" w:rsidP="00937322">
      <w:pPr>
        <w:ind w:left="709" w:right="-3" w:hanging="709"/>
        <w:jc w:val="left"/>
        <w:rPr>
          <w:rFonts w:ascii="Garamond" w:hAnsi="Garamond"/>
          <w:color w:val="0070C0"/>
          <w:sz w:val="24"/>
          <w:szCs w:val="24"/>
        </w:rPr>
      </w:pPr>
      <w:r w:rsidRPr="00937322">
        <w:rPr>
          <w:rFonts w:ascii="Garamond" w:hAnsi="Garamond"/>
          <w:color w:val="0070C0"/>
          <w:sz w:val="24"/>
          <w:szCs w:val="24"/>
        </w:rPr>
        <w:t>II.1.30. W przypadku przyłączania instalacji odnawialnego źródła energii wykorzystywanej przez Prosumenta wirtualnego lub Prosumenta zbiorowego, podmiot ubiegający się o przyłączenie (lub Reprezentant Prosumentów) składa wniosek o określenie warunków przyłączenia, wskazując podział mocy zainstalowanej pomiędzy poszczególnych prosumentów.</w:t>
      </w:r>
    </w:p>
    <w:p w14:paraId="17588BB0" w14:textId="1B8203BA" w:rsidR="00937322" w:rsidRPr="00937322" w:rsidRDefault="00937322" w:rsidP="00937322">
      <w:pPr>
        <w:ind w:left="709" w:right="-3" w:hanging="709"/>
        <w:jc w:val="left"/>
        <w:rPr>
          <w:rFonts w:ascii="Garamond" w:hAnsi="Garamond"/>
          <w:color w:val="0070C0"/>
          <w:sz w:val="24"/>
          <w:szCs w:val="24"/>
        </w:rPr>
      </w:pPr>
      <w:r w:rsidRPr="00937322">
        <w:rPr>
          <w:rFonts w:ascii="Garamond" w:hAnsi="Garamond"/>
          <w:color w:val="0070C0"/>
          <w:sz w:val="24"/>
          <w:szCs w:val="24"/>
        </w:rPr>
        <w:t>II.1.31. ID Sp. z o.o. weryfikuje możliwości techniczne przyłączenia z uwzględnieniem sumarycznej mocy instalacji oraz lokalnych warunków sieciowych.</w:t>
      </w:r>
    </w:p>
    <w:p w14:paraId="1EEBE2A0" w14:textId="77777777" w:rsidR="0070674D" w:rsidRDefault="0070674D" w:rsidP="00175586">
      <w:pPr>
        <w:pStyle w:val="Akapitzlist"/>
        <w:ind w:left="567" w:right="-3" w:hanging="567"/>
        <w:jc w:val="left"/>
        <w:rPr>
          <w:rFonts w:ascii="Garamond" w:hAnsi="Garamond"/>
          <w:sz w:val="24"/>
          <w:szCs w:val="24"/>
        </w:rPr>
      </w:pPr>
    </w:p>
    <w:p w14:paraId="757FAF5E" w14:textId="77777777" w:rsidR="00934120" w:rsidRDefault="00934120" w:rsidP="00934120">
      <w:pPr>
        <w:pStyle w:val="Akapitzlist"/>
        <w:ind w:left="567" w:right="-3" w:hanging="567"/>
        <w:jc w:val="left"/>
        <w:rPr>
          <w:rFonts w:ascii="Garamond" w:hAnsi="Garamond"/>
          <w:b/>
          <w:bCs/>
          <w:color w:val="0070C0"/>
          <w:sz w:val="24"/>
          <w:szCs w:val="24"/>
        </w:rPr>
      </w:pPr>
      <w:r w:rsidRPr="00934120">
        <w:rPr>
          <w:rFonts w:ascii="Garamond" w:hAnsi="Garamond"/>
          <w:b/>
          <w:bCs/>
          <w:color w:val="0070C0"/>
          <w:sz w:val="24"/>
          <w:szCs w:val="24"/>
        </w:rPr>
        <w:t>II.2. ZASADY WZAJEMNEGO POŁĄCZENIA SIECI Z INNYMI OPERATORAMI</w:t>
      </w:r>
    </w:p>
    <w:p w14:paraId="2F014E80" w14:textId="77777777" w:rsidR="00934120" w:rsidRPr="00934120" w:rsidRDefault="00934120" w:rsidP="00934120">
      <w:pPr>
        <w:pStyle w:val="Akapitzlist"/>
        <w:ind w:left="567" w:right="-3" w:hanging="567"/>
        <w:jc w:val="left"/>
        <w:rPr>
          <w:rFonts w:ascii="Garamond" w:hAnsi="Garamond"/>
          <w:b/>
          <w:bCs/>
          <w:color w:val="0070C0"/>
          <w:sz w:val="24"/>
          <w:szCs w:val="24"/>
        </w:rPr>
      </w:pPr>
    </w:p>
    <w:p w14:paraId="3E77A6E1" w14:textId="77777777" w:rsidR="00934120" w:rsidRDefault="00934120" w:rsidP="00934120">
      <w:pPr>
        <w:pStyle w:val="Akapitzlist"/>
        <w:ind w:left="567" w:right="-3" w:hanging="567"/>
        <w:jc w:val="left"/>
        <w:rPr>
          <w:rFonts w:ascii="Garamond" w:hAnsi="Garamond"/>
          <w:color w:val="0070C0"/>
          <w:sz w:val="24"/>
          <w:szCs w:val="24"/>
        </w:rPr>
      </w:pPr>
      <w:r w:rsidRPr="00934120">
        <w:rPr>
          <w:rFonts w:ascii="Garamond" w:hAnsi="Garamond"/>
          <w:color w:val="0070C0"/>
          <w:sz w:val="24"/>
          <w:szCs w:val="24"/>
        </w:rPr>
        <w:t>II.2.1. Zasady połączenia sieci dystrybucyjnej ID Sp. z o.o. z siecią Operatora Systemu Dystrybucyjnego nadrzędnego (PGE Dystrybucja S.A.) reguluje umowa o połączenie sieci oraz instrukcja współpracy ruchowej.</w:t>
      </w:r>
    </w:p>
    <w:p w14:paraId="45ABD6BF" w14:textId="77777777" w:rsidR="00934120" w:rsidRPr="00934120" w:rsidRDefault="00934120" w:rsidP="00934120">
      <w:pPr>
        <w:pStyle w:val="Akapitzlist"/>
        <w:ind w:left="567" w:right="-3" w:hanging="567"/>
        <w:jc w:val="left"/>
        <w:rPr>
          <w:rFonts w:ascii="Garamond" w:hAnsi="Garamond"/>
          <w:color w:val="0070C0"/>
          <w:sz w:val="24"/>
          <w:szCs w:val="24"/>
        </w:rPr>
      </w:pPr>
    </w:p>
    <w:p w14:paraId="061289F4" w14:textId="0F49D7CA" w:rsidR="00934120" w:rsidRDefault="00934120" w:rsidP="00934120">
      <w:pPr>
        <w:pStyle w:val="Akapitzlist"/>
        <w:ind w:left="567" w:right="-3" w:hanging="567"/>
        <w:jc w:val="left"/>
        <w:rPr>
          <w:rFonts w:ascii="Garamond" w:hAnsi="Garamond"/>
          <w:color w:val="0070C0"/>
          <w:sz w:val="24"/>
          <w:szCs w:val="24"/>
        </w:rPr>
      </w:pPr>
      <w:r w:rsidRPr="00934120">
        <w:rPr>
          <w:rFonts w:ascii="Garamond" w:hAnsi="Garamond"/>
          <w:color w:val="0070C0"/>
          <w:sz w:val="24"/>
          <w:szCs w:val="24"/>
        </w:rPr>
        <w:t>II.2.2. Układ połączeń, miejsca rozgraniczenia własności, parametry techniczne w miejscu połączenia (w tym prądy zwarciowe) oraz zasady eksploatacji układów pomiarowych na styku sieci określają stosowne umowy międzyoperatorskie.</w:t>
      </w:r>
    </w:p>
    <w:p w14:paraId="5AFD09A4" w14:textId="77777777" w:rsidR="00934120" w:rsidRPr="00934120" w:rsidRDefault="00934120" w:rsidP="00934120">
      <w:pPr>
        <w:pStyle w:val="Akapitzlist"/>
        <w:ind w:left="567" w:right="-3" w:hanging="567"/>
        <w:jc w:val="left"/>
        <w:rPr>
          <w:rFonts w:ascii="Garamond" w:hAnsi="Garamond"/>
          <w:color w:val="0070C0"/>
          <w:sz w:val="24"/>
          <w:szCs w:val="24"/>
        </w:rPr>
      </w:pPr>
    </w:p>
    <w:p w14:paraId="5A61DF5A" w14:textId="7C7C8CD1" w:rsidR="00076A21" w:rsidRPr="004C1773" w:rsidRDefault="00076A21" w:rsidP="00175586">
      <w:pPr>
        <w:pStyle w:val="Nagwek2"/>
        <w:tabs>
          <w:tab w:val="center" w:pos="2378"/>
        </w:tabs>
        <w:spacing w:after="172"/>
        <w:ind w:left="567" w:right="-3" w:hanging="567"/>
        <w:rPr>
          <w:rFonts w:asciiTheme="majorHAnsi" w:hAnsiTheme="majorHAnsi"/>
          <w:b/>
          <w:bCs/>
          <w:sz w:val="24"/>
          <w:szCs w:val="24"/>
        </w:rPr>
      </w:pPr>
      <w:bookmarkStart w:id="8" w:name="_Toc171860217"/>
      <w:bookmarkStart w:id="9" w:name="_Toc171861036"/>
      <w:r w:rsidRPr="004C1773">
        <w:rPr>
          <w:rFonts w:asciiTheme="majorHAnsi" w:hAnsiTheme="majorHAnsi"/>
          <w:b/>
          <w:bCs/>
          <w:sz w:val="24"/>
          <w:szCs w:val="24"/>
        </w:rPr>
        <w:t>II.</w:t>
      </w:r>
      <w:r w:rsidR="00934120">
        <w:rPr>
          <w:rFonts w:asciiTheme="majorHAnsi" w:hAnsiTheme="majorHAnsi"/>
          <w:b/>
          <w:bCs/>
          <w:sz w:val="24"/>
          <w:szCs w:val="24"/>
        </w:rPr>
        <w:t>3</w:t>
      </w:r>
      <w:r w:rsidRPr="004C1773">
        <w:rPr>
          <w:rFonts w:asciiTheme="majorHAnsi" w:hAnsiTheme="majorHAnsi"/>
          <w:b/>
          <w:bCs/>
          <w:sz w:val="24"/>
          <w:szCs w:val="24"/>
        </w:rPr>
        <w:t>.</w:t>
      </w:r>
      <w:r w:rsidRPr="004C1773">
        <w:rPr>
          <w:rFonts w:asciiTheme="majorHAnsi" w:hAnsiTheme="majorHAnsi"/>
          <w:b/>
          <w:bCs/>
          <w:sz w:val="24"/>
          <w:szCs w:val="24"/>
        </w:rPr>
        <w:tab/>
      </w:r>
      <w:r w:rsidR="00FA1044" w:rsidRPr="004C1773">
        <w:rPr>
          <w:rFonts w:asciiTheme="majorHAnsi" w:hAnsiTheme="majorHAnsi"/>
          <w:b/>
          <w:bCs/>
          <w:sz w:val="24"/>
          <w:szCs w:val="24"/>
        </w:rPr>
        <w:t>Zasady odłączania</w:t>
      </w:r>
      <w:bookmarkEnd w:id="8"/>
      <w:bookmarkEnd w:id="9"/>
    </w:p>
    <w:p w14:paraId="77C2679E" w14:textId="38CCE3A0" w:rsidR="00076A21" w:rsidRPr="00AE3F1B" w:rsidRDefault="00076A21" w:rsidP="00175586">
      <w:pPr>
        <w:spacing w:after="16" w:line="248" w:lineRule="auto"/>
        <w:ind w:left="567" w:right="-3" w:hanging="567"/>
        <w:jc w:val="left"/>
        <w:rPr>
          <w:rFonts w:ascii="Garamond" w:hAnsi="Garamond"/>
          <w:sz w:val="24"/>
          <w:szCs w:val="24"/>
        </w:rPr>
      </w:pPr>
      <w:r w:rsidRPr="00AE3F1B">
        <w:rPr>
          <w:rFonts w:ascii="Garamond" w:hAnsi="Garamond"/>
          <w:sz w:val="24"/>
          <w:szCs w:val="24"/>
        </w:rPr>
        <w:t>II.</w:t>
      </w:r>
      <w:r w:rsidR="00934120">
        <w:rPr>
          <w:rFonts w:ascii="Garamond" w:hAnsi="Garamond"/>
          <w:sz w:val="24"/>
          <w:szCs w:val="24"/>
        </w:rPr>
        <w:t>3</w:t>
      </w:r>
      <w:r w:rsidRPr="00AE3F1B">
        <w:rPr>
          <w:rFonts w:ascii="Garamond" w:hAnsi="Garamond"/>
          <w:sz w:val="24"/>
          <w:szCs w:val="24"/>
        </w:rPr>
        <w:t>.1.</w:t>
      </w:r>
      <w:r w:rsidR="00986798">
        <w:rPr>
          <w:rFonts w:ascii="Garamond" w:hAnsi="Garamond"/>
          <w:sz w:val="24"/>
          <w:szCs w:val="24"/>
        </w:rPr>
        <w:tab/>
      </w:r>
      <w:r w:rsidRPr="00AE3F1B">
        <w:rPr>
          <w:rFonts w:ascii="Garamond" w:hAnsi="Garamond"/>
          <w:sz w:val="24"/>
          <w:szCs w:val="24"/>
        </w:rPr>
        <w:t xml:space="preserve">Zasady odłączania podmiotów od sieci dystrybucyjnej ID Sp. z o.o. określone w niniejszym </w:t>
      </w:r>
      <w:r w:rsidR="0006784F" w:rsidRPr="00AE3F1B">
        <w:rPr>
          <w:rFonts w:ascii="Garamond" w:hAnsi="Garamond"/>
          <w:sz w:val="24"/>
          <w:szCs w:val="24"/>
        </w:rPr>
        <w:br/>
      </w:r>
      <w:r w:rsidRPr="00AE3F1B">
        <w:rPr>
          <w:rFonts w:ascii="Garamond" w:hAnsi="Garamond"/>
          <w:sz w:val="24"/>
          <w:szCs w:val="24"/>
        </w:rPr>
        <w:t xml:space="preserve">rozdziale obowiązują ID Sp. z o.o. oraz podmioty odłączane, jeżeli umowa o świadczenie usług </w:t>
      </w:r>
      <w:r w:rsidR="0006784F" w:rsidRPr="00AE3F1B">
        <w:rPr>
          <w:rFonts w:ascii="Garamond" w:hAnsi="Garamond"/>
          <w:sz w:val="24"/>
          <w:szCs w:val="24"/>
        </w:rPr>
        <w:br/>
      </w:r>
      <w:r w:rsidRPr="00AE3F1B">
        <w:rPr>
          <w:rFonts w:ascii="Garamond" w:hAnsi="Garamond"/>
          <w:sz w:val="24"/>
          <w:szCs w:val="24"/>
        </w:rPr>
        <w:t>dystrybucji lub umowa kompleksowa nie stanowi inaczej.</w:t>
      </w:r>
    </w:p>
    <w:p w14:paraId="780E1620" w14:textId="27453131" w:rsidR="006C28F2" w:rsidRPr="00AE3F1B" w:rsidRDefault="006C28F2" w:rsidP="00175586">
      <w:pPr>
        <w:spacing w:after="185" w:line="253" w:lineRule="auto"/>
        <w:ind w:left="567" w:right="-3" w:hanging="567"/>
        <w:jc w:val="left"/>
        <w:rPr>
          <w:rFonts w:ascii="Garamond" w:hAnsi="Garamond"/>
          <w:sz w:val="24"/>
          <w:szCs w:val="24"/>
        </w:rPr>
      </w:pPr>
      <w:r w:rsidRPr="00AE3F1B">
        <w:rPr>
          <w:rFonts w:ascii="Garamond" w:hAnsi="Garamond"/>
          <w:sz w:val="24"/>
          <w:szCs w:val="24"/>
        </w:rPr>
        <w:t>II.</w:t>
      </w:r>
      <w:r w:rsidR="00934120">
        <w:rPr>
          <w:rFonts w:ascii="Garamond" w:hAnsi="Garamond"/>
          <w:sz w:val="24"/>
          <w:szCs w:val="24"/>
        </w:rPr>
        <w:t>3</w:t>
      </w:r>
      <w:r w:rsidRPr="00AE3F1B">
        <w:rPr>
          <w:rFonts w:ascii="Garamond" w:hAnsi="Garamond"/>
          <w:sz w:val="24"/>
          <w:szCs w:val="24"/>
        </w:rPr>
        <w:t>.2.</w:t>
      </w:r>
      <w:r w:rsidR="00986798">
        <w:rPr>
          <w:rFonts w:ascii="Garamond" w:hAnsi="Garamond"/>
          <w:sz w:val="24"/>
          <w:szCs w:val="24"/>
        </w:rPr>
        <w:tab/>
      </w:r>
      <w:r w:rsidRPr="00AE3F1B">
        <w:rPr>
          <w:rFonts w:ascii="Garamond" w:hAnsi="Garamond"/>
          <w:sz w:val="24"/>
          <w:szCs w:val="24"/>
        </w:rPr>
        <w:t>ID Sp. z o.o. odłącza podmioty od sieci dystrybucyjnej ID Sp. z o.o. w przypadku:</w:t>
      </w:r>
    </w:p>
    <w:p w14:paraId="4F73C209" w14:textId="77777777" w:rsidR="006C28F2" w:rsidRPr="0072158E" w:rsidRDefault="006C28F2">
      <w:pPr>
        <w:pStyle w:val="Akapitzlist"/>
        <w:numPr>
          <w:ilvl w:val="0"/>
          <w:numId w:val="69"/>
        </w:numPr>
        <w:spacing w:line="253" w:lineRule="auto"/>
        <w:ind w:right="-3"/>
        <w:jc w:val="left"/>
        <w:rPr>
          <w:rFonts w:ascii="Garamond" w:hAnsi="Garamond"/>
          <w:sz w:val="24"/>
          <w:szCs w:val="24"/>
        </w:rPr>
      </w:pPr>
      <w:r w:rsidRPr="0072158E">
        <w:rPr>
          <w:rFonts w:ascii="Garamond" w:hAnsi="Garamond"/>
          <w:sz w:val="24"/>
          <w:szCs w:val="24"/>
        </w:rPr>
        <w:t>złożenia przez podmiot wniosku o odłączenie od sieci dystrybucyjnej,</w:t>
      </w:r>
    </w:p>
    <w:p w14:paraId="26E7A937" w14:textId="77777777" w:rsidR="006C28F2" w:rsidRPr="0072158E" w:rsidRDefault="006C28F2">
      <w:pPr>
        <w:pStyle w:val="Akapitzlist"/>
        <w:numPr>
          <w:ilvl w:val="0"/>
          <w:numId w:val="69"/>
        </w:numPr>
        <w:spacing w:line="253" w:lineRule="auto"/>
        <w:ind w:right="-3"/>
        <w:jc w:val="left"/>
        <w:rPr>
          <w:rFonts w:ascii="Garamond" w:hAnsi="Garamond"/>
          <w:sz w:val="24"/>
          <w:szCs w:val="24"/>
        </w:rPr>
      </w:pPr>
      <w:r w:rsidRPr="0072158E">
        <w:rPr>
          <w:rFonts w:ascii="Garamond" w:hAnsi="Garamond"/>
          <w:sz w:val="24"/>
          <w:szCs w:val="24"/>
        </w:rPr>
        <w:t>rozwiązania lub wygaśnięcia umowy o świadczenie usług dystrybucji lub umowy kompleksowej.</w:t>
      </w:r>
    </w:p>
    <w:p w14:paraId="20536392" w14:textId="15B6717A" w:rsidR="006C28F2" w:rsidRPr="00AE3F1B" w:rsidRDefault="0012355C" w:rsidP="00175586">
      <w:pPr>
        <w:spacing w:after="157" w:line="253" w:lineRule="auto"/>
        <w:ind w:left="567" w:right="-3" w:hanging="567"/>
        <w:jc w:val="left"/>
        <w:rPr>
          <w:rFonts w:ascii="Garamond" w:hAnsi="Garamond"/>
          <w:sz w:val="24"/>
          <w:szCs w:val="24"/>
        </w:rPr>
      </w:pPr>
      <w:r>
        <w:rPr>
          <w:rFonts w:ascii="Garamond" w:hAnsi="Garamond"/>
          <w:sz w:val="24"/>
          <w:szCs w:val="24"/>
        </w:rPr>
        <w:t>II</w:t>
      </w:r>
      <w:r w:rsidR="006C28F2" w:rsidRPr="00AE3F1B">
        <w:rPr>
          <w:rFonts w:ascii="Garamond" w:hAnsi="Garamond"/>
          <w:sz w:val="24"/>
          <w:szCs w:val="24"/>
        </w:rPr>
        <w:t>.</w:t>
      </w:r>
      <w:r w:rsidR="00934120">
        <w:rPr>
          <w:rFonts w:ascii="Garamond" w:hAnsi="Garamond"/>
          <w:sz w:val="24"/>
          <w:szCs w:val="24"/>
        </w:rPr>
        <w:t>3</w:t>
      </w:r>
      <w:r w:rsidR="006C28F2" w:rsidRPr="00AE3F1B">
        <w:rPr>
          <w:rFonts w:ascii="Garamond" w:hAnsi="Garamond"/>
          <w:sz w:val="24"/>
          <w:szCs w:val="24"/>
        </w:rPr>
        <w:t>.3. Wniosek o odłączenie od sieci dystrybucyjnej ID Sp. z o.o. składany przez podmiot zawiera w szczególności:</w:t>
      </w:r>
    </w:p>
    <w:p w14:paraId="3A1FA18B" w14:textId="77777777" w:rsidR="006C28F2" w:rsidRPr="0072158E" w:rsidRDefault="006C28F2">
      <w:pPr>
        <w:pStyle w:val="Akapitzlist"/>
        <w:numPr>
          <w:ilvl w:val="0"/>
          <w:numId w:val="70"/>
        </w:numPr>
        <w:spacing w:line="253" w:lineRule="auto"/>
        <w:ind w:right="-3"/>
        <w:jc w:val="left"/>
        <w:rPr>
          <w:rFonts w:ascii="Garamond" w:hAnsi="Garamond"/>
          <w:sz w:val="24"/>
          <w:szCs w:val="24"/>
        </w:rPr>
      </w:pPr>
      <w:r w:rsidRPr="0072158E">
        <w:rPr>
          <w:rFonts w:ascii="Garamond" w:hAnsi="Garamond"/>
          <w:sz w:val="24"/>
          <w:szCs w:val="24"/>
        </w:rPr>
        <w:t>miejsca przyłączenia urządzeń, instalacji lub sieci, których dotyczy odłączenie,</w:t>
      </w:r>
    </w:p>
    <w:p w14:paraId="6A85329A" w14:textId="77777777" w:rsidR="006C28F2" w:rsidRPr="0072158E" w:rsidRDefault="006C28F2">
      <w:pPr>
        <w:pStyle w:val="Akapitzlist"/>
        <w:numPr>
          <w:ilvl w:val="0"/>
          <w:numId w:val="70"/>
        </w:numPr>
        <w:spacing w:line="253" w:lineRule="auto"/>
        <w:ind w:right="-3"/>
        <w:jc w:val="left"/>
        <w:rPr>
          <w:rFonts w:ascii="Garamond" w:hAnsi="Garamond"/>
          <w:sz w:val="24"/>
          <w:szCs w:val="24"/>
        </w:rPr>
      </w:pPr>
      <w:r w:rsidRPr="0072158E">
        <w:rPr>
          <w:rFonts w:ascii="Garamond" w:hAnsi="Garamond"/>
          <w:sz w:val="24"/>
          <w:szCs w:val="24"/>
        </w:rPr>
        <w:t>przyczynę odłączenia,</w:t>
      </w:r>
    </w:p>
    <w:p w14:paraId="12F3275F" w14:textId="77777777" w:rsidR="006C28F2" w:rsidRPr="0072158E" w:rsidRDefault="006C28F2">
      <w:pPr>
        <w:pStyle w:val="Akapitzlist"/>
        <w:numPr>
          <w:ilvl w:val="0"/>
          <w:numId w:val="70"/>
        </w:numPr>
        <w:spacing w:after="163" w:line="253" w:lineRule="auto"/>
        <w:ind w:right="-3"/>
        <w:jc w:val="left"/>
        <w:rPr>
          <w:rFonts w:ascii="Garamond" w:hAnsi="Garamond"/>
          <w:sz w:val="24"/>
          <w:szCs w:val="24"/>
        </w:rPr>
      </w:pPr>
      <w:r w:rsidRPr="0072158E">
        <w:rPr>
          <w:rFonts w:ascii="Garamond" w:hAnsi="Garamond"/>
          <w:sz w:val="24"/>
          <w:szCs w:val="24"/>
        </w:rPr>
        <w:t>proponowany termin odłączenia.</w:t>
      </w:r>
    </w:p>
    <w:p w14:paraId="153A30CB" w14:textId="1E63D8CD" w:rsidR="006C28F2" w:rsidRPr="00AE3F1B" w:rsidRDefault="0012355C" w:rsidP="00175586">
      <w:pPr>
        <w:spacing w:after="185" w:line="248" w:lineRule="auto"/>
        <w:ind w:left="567" w:right="-3" w:hanging="567"/>
        <w:jc w:val="left"/>
        <w:rPr>
          <w:rFonts w:ascii="Garamond" w:hAnsi="Garamond"/>
          <w:sz w:val="24"/>
          <w:szCs w:val="24"/>
        </w:rPr>
      </w:pPr>
      <w:r>
        <w:rPr>
          <w:rFonts w:ascii="Garamond" w:hAnsi="Garamond"/>
          <w:sz w:val="24"/>
          <w:szCs w:val="24"/>
        </w:rPr>
        <w:t>II</w:t>
      </w:r>
      <w:r w:rsidR="006C28F2" w:rsidRPr="00AE3F1B">
        <w:rPr>
          <w:rFonts w:ascii="Garamond" w:hAnsi="Garamond"/>
          <w:sz w:val="24"/>
          <w:szCs w:val="24"/>
        </w:rPr>
        <w:t>.</w:t>
      </w:r>
      <w:r w:rsidR="00934120">
        <w:rPr>
          <w:rFonts w:ascii="Garamond" w:hAnsi="Garamond"/>
          <w:sz w:val="24"/>
          <w:szCs w:val="24"/>
        </w:rPr>
        <w:t>3</w:t>
      </w:r>
      <w:r w:rsidR="006C28F2" w:rsidRPr="00AE3F1B">
        <w:rPr>
          <w:rFonts w:ascii="Garamond" w:hAnsi="Garamond"/>
          <w:sz w:val="24"/>
          <w:szCs w:val="24"/>
        </w:rPr>
        <w:t>.4. ID Sp. z o.o. ustala termin odłączenia podmiotu od sieci dystrybucyjnej ID Sp. z o.o. uwzględniając techniczne możliwości realizacji procesu odłączenia podmiotu. Odłączany podmiot jest zawiadamiany o dacie odłączenia, w terminie nie krótszym niż 14 dni od daty planowanego odłączenia.</w:t>
      </w:r>
    </w:p>
    <w:p w14:paraId="746EA7F2" w14:textId="292F866F" w:rsidR="006C28F2" w:rsidRPr="00AE3F1B" w:rsidRDefault="0012355C" w:rsidP="00175586">
      <w:pPr>
        <w:spacing w:after="171" w:line="248" w:lineRule="auto"/>
        <w:ind w:left="567" w:right="-3" w:hanging="567"/>
        <w:jc w:val="left"/>
        <w:rPr>
          <w:rFonts w:ascii="Garamond" w:hAnsi="Garamond"/>
          <w:sz w:val="24"/>
          <w:szCs w:val="24"/>
        </w:rPr>
      </w:pPr>
      <w:r>
        <w:rPr>
          <w:rFonts w:ascii="Garamond" w:hAnsi="Garamond"/>
          <w:sz w:val="24"/>
          <w:szCs w:val="24"/>
        </w:rPr>
        <w:t>II</w:t>
      </w:r>
      <w:r w:rsidR="006C28F2" w:rsidRPr="00AE3F1B">
        <w:rPr>
          <w:rFonts w:ascii="Garamond" w:hAnsi="Garamond"/>
          <w:sz w:val="24"/>
          <w:szCs w:val="24"/>
        </w:rPr>
        <w:t>.</w:t>
      </w:r>
      <w:r w:rsidR="00934120">
        <w:rPr>
          <w:rFonts w:ascii="Garamond" w:hAnsi="Garamond"/>
          <w:sz w:val="24"/>
          <w:szCs w:val="24"/>
        </w:rPr>
        <w:t>3</w:t>
      </w:r>
      <w:r w:rsidR="006C28F2" w:rsidRPr="00AE3F1B">
        <w:rPr>
          <w:rFonts w:ascii="Garamond" w:hAnsi="Garamond"/>
          <w:sz w:val="24"/>
          <w:szCs w:val="24"/>
        </w:rPr>
        <w:t>.5. ID Sp. z o.o. dokonuje zmian w układzie sieci dystrybucyjnej umożliwiające odłączenie podmiotu od sieci.</w:t>
      </w:r>
    </w:p>
    <w:p w14:paraId="542DE4B3" w14:textId="3A4FEBDD" w:rsidR="006C28F2" w:rsidRPr="00AE3F1B" w:rsidRDefault="0012355C" w:rsidP="00175586">
      <w:pPr>
        <w:spacing w:after="160" w:line="253" w:lineRule="auto"/>
        <w:ind w:left="567" w:right="-3" w:hanging="567"/>
        <w:jc w:val="left"/>
        <w:rPr>
          <w:rFonts w:ascii="Garamond" w:hAnsi="Garamond"/>
          <w:sz w:val="24"/>
          <w:szCs w:val="24"/>
        </w:rPr>
      </w:pPr>
      <w:r>
        <w:rPr>
          <w:rFonts w:ascii="Garamond" w:hAnsi="Garamond"/>
          <w:sz w:val="24"/>
          <w:szCs w:val="24"/>
        </w:rPr>
        <w:t>II</w:t>
      </w:r>
      <w:r w:rsidR="006C28F2" w:rsidRPr="00AE3F1B">
        <w:rPr>
          <w:rFonts w:ascii="Garamond" w:hAnsi="Garamond"/>
          <w:sz w:val="24"/>
          <w:szCs w:val="24"/>
        </w:rPr>
        <w:t>.</w:t>
      </w:r>
      <w:r w:rsidR="00934120">
        <w:rPr>
          <w:rFonts w:ascii="Garamond" w:hAnsi="Garamond"/>
          <w:sz w:val="24"/>
          <w:szCs w:val="24"/>
        </w:rPr>
        <w:t>3</w:t>
      </w:r>
      <w:r w:rsidR="006C28F2" w:rsidRPr="00AE3F1B">
        <w:rPr>
          <w:rFonts w:ascii="Garamond" w:hAnsi="Garamond"/>
          <w:sz w:val="24"/>
          <w:szCs w:val="24"/>
        </w:rPr>
        <w:t>.6. ID Sp. z o.o. uzgadnia z PGE Dystrybucja S.A. tryb odłączenia podmiotu, jeżeli odłączenie podmiotu od sieci dystrybucyjnej ID Sp. z o.o. ma wpływ na warunki pracy sieci tych operatorów.</w:t>
      </w:r>
    </w:p>
    <w:p w14:paraId="7FAB958B" w14:textId="6A468A24" w:rsidR="006C28F2" w:rsidRPr="00AE3F1B" w:rsidRDefault="0012355C" w:rsidP="00175586">
      <w:pPr>
        <w:spacing w:after="41" w:line="253" w:lineRule="auto"/>
        <w:ind w:left="567" w:right="-3" w:hanging="567"/>
        <w:jc w:val="left"/>
        <w:rPr>
          <w:rFonts w:ascii="Garamond" w:hAnsi="Garamond"/>
          <w:sz w:val="24"/>
          <w:szCs w:val="24"/>
        </w:rPr>
      </w:pPr>
      <w:r>
        <w:rPr>
          <w:rFonts w:ascii="Garamond" w:hAnsi="Garamond"/>
          <w:sz w:val="24"/>
          <w:szCs w:val="24"/>
        </w:rPr>
        <w:lastRenderedPageBreak/>
        <w:t>II</w:t>
      </w:r>
      <w:r w:rsidR="006C28F2" w:rsidRPr="00AE3F1B">
        <w:rPr>
          <w:rFonts w:ascii="Garamond" w:hAnsi="Garamond"/>
          <w:sz w:val="24"/>
          <w:szCs w:val="24"/>
        </w:rPr>
        <w:t>.</w:t>
      </w:r>
      <w:r w:rsidR="00934120">
        <w:rPr>
          <w:rFonts w:ascii="Garamond" w:hAnsi="Garamond"/>
          <w:sz w:val="24"/>
          <w:szCs w:val="24"/>
        </w:rPr>
        <w:t>3</w:t>
      </w:r>
      <w:r w:rsidR="006C28F2" w:rsidRPr="00AE3F1B">
        <w:rPr>
          <w:rFonts w:ascii="Garamond" w:hAnsi="Garamond"/>
          <w:sz w:val="24"/>
          <w:szCs w:val="24"/>
        </w:rPr>
        <w:t>.7. ID Sp. z o.o. uzgadnia z operatorem system przesyłowego odłączenie podmiotów, dla których wymagane jest uzgodnienie z operatorem systemu przesyłowego warunków przyłączenia. Uzgodnienie to odbywa się na zasadach opisanych w instrukcji ruchu i eksploatacji sieci dystrybucyjnej PGE Dystrybucja S.A.</w:t>
      </w:r>
    </w:p>
    <w:p w14:paraId="7494F2A0" w14:textId="77777777" w:rsidR="00B44EF4" w:rsidRPr="00AE3F1B" w:rsidRDefault="00B44EF4" w:rsidP="00175586">
      <w:pPr>
        <w:spacing w:after="64" w:line="253" w:lineRule="auto"/>
        <w:ind w:left="567" w:right="-3" w:hanging="567"/>
        <w:jc w:val="left"/>
        <w:rPr>
          <w:rFonts w:ascii="Garamond" w:hAnsi="Garamond"/>
          <w:sz w:val="24"/>
          <w:szCs w:val="24"/>
        </w:rPr>
      </w:pPr>
    </w:p>
    <w:p w14:paraId="112CCB28" w14:textId="3F800C8B" w:rsidR="006C28F2" w:rsidRPr="00F34B4B" w:rsidRDefault="006C28F2" w:rsidP="00F943E0">
      <w:pPr>
        <w:tabs>
          <w:tab w:val="right" w:pos="9821"/>
        </w:tabs>
        <w:spacing w:after="16" w:line="248" w:lineRule="auto"/>
        <w:ind w:left="567" w:right="-3" w:hanging="567"/>
        <w:jc w:val="left"/>
        <w:rPr>
          <w:rFonts w:asciiTheme="majorHAnsi" w:hAnsiTheme="majorHAnsi"/>
          <w:b/>
          <w:bCs/>
          <w:sz w:val="24"/>
          <w:szCs w:val="24"/>
        </w:rPr>
      </w:pPr>
      <w:r w:rsidRPr="00F34B4B">
        <w:rPr>
          <w:rFonts w:asciiTheme="majorHAnsi" w:hAnsiTheme="majorHAnsi"/>
          <w:b/>
          <w:bCs/>
          <w:sz w:val="24"/>
          <w:szCs w:val="24"/>
        </w:rPr>
        <w:t>II.</w:t>
      </w:r>
      <w:r w:rsidR="00934120">
        <w:rPr>
          <w:rFonts w:asciiTheme="majorHAnsi" w:hAnsiTheme="majorHAnsi"/>
          <w:b/>
          <w:bCs/>
          <w:sz w:val="24"/>
          <w:szCs w:val="24"/>
        </w:rPr>
        <w:t>4</w:t>
      </w:r>
      <w:r w:rsidRPr="00F34B4B">
        <w:rPr>
          <w:rFonts w:asciiTheme="majorHAnsi" w:hAnsiTheme="majorHAnsi"/>
          <w:b/>
          <w:bCs/>
          <w:sz w:val="24"/>
          <w:szCs w:val="24"/>
        </w:rPr>
        <w:t>.</w:t>
      </w:r>
      <w:r w:rsidRPr="00F34B4B">
        <w:rPr>
          <w:rFonts w:asciiTheme="majorHAnsi" w:hAnsiTheme="majorHAnsi"/>
          <w:b/>
          <w:bCs/>
          <w:sz w:val="24"/>
          <w:szCs w:val="24"/>
        </w:rPr>
        <w:tab/>
      </w:r>
      <w:r w:rsidR="00F943E0" w:rsidRPr="00F34B4B">
        <w:rPr>
          <w:rFonts w:asciiTheme="majorHAnsi" w:hAnsiTheme="majorHAnsi"/>
          <w:b/>
          <w:bCs/>
          <w:sz w:val="24"/>
          <w:szCs w:val="24"/>
        </w:rPr>
        <w:t>Zasady wstrzymywania oraz wznowienia dostarczania energii elektrycznej</w:t>
      </w:r>
    </w:p>
    <w:p w14:paraId="7E7A67B6" w14:textId="02735A15" w:rsidR="006C28F2" w:rsidRPr="00AE3F1B" w:rsidRDefault="006C28F2" w:rsidP="00175586">
      <w:pPr>
        <w:spacing w:after="141" w:line="253" w:lineRule="auto"/>
        <w:ind w:left="567" w:right="-3" w:hanging="567"/>
        <w:jc w:val="left"/>
        <w:rPr>
          <w:rFonts w:ascii="Garamond" w:hAnsi="Garamond"/>
          <w:sz w:val="24"/>
          <w:szCs w:val="24"/>
        </w:rPr>
      </w:pPr>
      <w:r w:rsidRPr="00AE3F1B">
        <w:rPr>
          <w:rFonts w:ascii="Garamond" w:hAnsi="Garamond"/>
          <w:sz w:val="24"/>
          <w:szCs w:val="24"/>
        </w:rPr>
        <w:t>II.</w:t>
      </w:r>
      <w:r w:rsidR="00F81DAE">
        <w:rPr>
          <w:rFonts w:ascii="Garamond" w:hAnsi="Garamond"/>
          <w:sz w:val="24"/>
          <w:szCs w:val="24"/>
        </w:rPr>
        <w:t>4</w:t>
      </w:r>
      <w:r w:rsidRPr="00AE3F1B">
        <w:rPr>
          <w:rFonts w:ascii="Garamond" w:hAnsi="Garamond"/>
          <w:sz w:val="24"/>
          <w:szCs w:val="24"/>
        </w:rPr>
        <w:t>.1. ID Sp. z o.o. może wstrzymać dostarczanie energii elektrycznej podmiotom przyłączonym do sieci dystrybucyjnej bez wniosku podmiotu, o ile w wyniku przeprowadzenia kontroli, uprawnieni pracownicy ID Sp. z o.o. stwierdzą, że:</w:t>
      </w:r>
    </w:p>
    <w:p w14:paraId="38E9BB70" w14:textId="77777777" w:rsidR="006C28F2" w:rsidRPr="005A5594" w:rsidRDefault="006C28F2">
      <w:pPr>
        <w:pStyle w:val="Akapitzlist"/>
        <w:numPr>
          <w:ilvl w:val="0"/>
          <w:numId w:val="102"/>
        </w:numPr>
        <w:spacing w:line="253" w:lineRule="auto"/>
        <w:ind w:right="-3"/>
        <w:jc w:val="left"/>
        <w:rPr>
          <w:rFonts w:ascii="Garamond" w:hAnsi="Garamond"/>
          <w:sz w:val="24"/>
          <w:szCs w:val="24"/>
        </w:rPr>
      </w:pPr>
      <w:r w:rsidRPr="005A5594">
        <w:rPr>
          <w:rFonts w:ascii="Garamond" w:hAnsi="Garamond"/>
          <w:sz w:val="24"/>
          <w:szCs w:val="24"/>
        </w:rPr>
        <w:t>instalacja znajdująca się u odbiorcy stwarza bezpośrednie zagrożenie dla życia, zdrowia albo środowiska,</w:t>
      </w:r>
    </w:p>
    <w:p w14:paraId="79C87726" w14:textId="180150C1" w:rsidR="006C28F2" w:rsidRPr="005A5594" w:rsidRDefault="006C28F2">
      <w:pPr>
        <w:pStyle w:val="Akapitzlist"/>
        <w:numPr>
          <w:ilvl w:val="0"/>
          <w:numId w:val="102"/>
        </w:numPr>
        <w:spacing w:line="253" w:lineRule="auto"/>
        <w:ind w:right="-3"/>
        <w:jc w:val="left"/>
        <w:rPr>
          <w:rFonts w:ascii="Garamond" w:hAnsi="Garamond"/>
          <w:sz w:val="24"/>
          <w:szCs w:val="24"/>
        </w:rPr>
      </w:pPr>
      <w:r w:rsidRPr="005A5594">
        <w:rPr>
          <w:rFonts w:ascii="Garamond" w:hAnsi="Garamond"/>
          <w:sz w:val="24"/>
          <w:szCs w:val="24"/>
        </w:rPr>
        <w:t xml:space="preserve">nastąpił nielegalny pobór energii elektrycznej lub też w przypadku nieuzasadnionej odmowy odbiorcy </w:t>
      </w:r>
      <w:r w:rsidR="007904D6">
        <w:rPr>
          <w:rFonts w:ascii="Garamond" w:hAnsi="Garamond"/>
          <w:sz w:val="24"/>
          <w:szCs w:val="24"/>
        </w:rPr>
        <w:t>zainstalowania</w:t>
      </w:r>
      <w:r w:rsidRPr="005A5594">
        <w:rPr>
          <w:rFonts w:ascii="Garamond" w:hAnsi="Garamond"/>
          <w:sz w:val="24"/>
          <w:szCs w:val="24"/>
        </w:rPr>
        <w:t xml:space="preserve"> przedpłatowego układu pomiarowo-rozliczeniowego w przypadkach określonych w ustawie Prawo Energetyczne.</w:t>
      </w:r>
    </w:p>
    <w:p w14:paraId="1DA6E182" w14:textId="2B5D2FC3" w:rsidR="006C28F2" w:rsidRDefault="00E15BB4" w:rsidP="0072158E">
      <w:pPr>
        <w:spacing w:after="0" w:line="259" w:lineRule="auto"/>
        <w:ind w:left="567" w:right="-3" w:hanging="567"/>
        <w:jc w:val="left"/>
        <w:rPr>
          <w:rFonts w:ascii="Garamond" w:hAnsi="Garamond"/>
          <w:sz w:val="24"/>
          <w:szCs w:val="24"/>
        </w:rPr>
      </w:pPr>
      <w:r>
        <w:rPr>
          <w:rFonts w:ascii="Garamond" w:hAnsi="Garamond"/>
          <w:sz w:val="24"/>
          <w:szCs w:val="24"/>
        </w:rPr>
        <w:t>II</w:t>
      </w:r>
      <w:r w:rsidR="006C28F2" w:rsidRPr="00AE3F1B">
        <w:rPr>
          <w:rFonts w:ascii="Garamond" w:hAnsi="Garamond"/>
          <w:sz w:val="24"/>
          <w:szCs w:val="24"/>
        </w:rPr>
        <w:t>.</w:t>
      </w:r>
      <w:r w:rsidR="00934120">
        <w:rPr>
          <w:rFonts w:ascii="Garamond" w:hAnsi="Garamond"/>
          <w:sz w:val="24"/>
          <w:szCs w:val="24"/>
        </w:rPr>
        <w:t>4</w:t>
      </w:r>
      <w:r w:rsidR="006C28F2" w:rsidRPr="00AE3F1B">
        <w:rPr>
          <w:rFonts w:ascii="Garamond" w:hAnsi="Garamond"/>
          <w:sz w:val="24"/>
          <w:szCs w:val="24"/>
        </w:rPr>
        <w:t>.2.</w:t>
      </w:r>
      <w:r w:rsidR="006C28F2" w:rsidRPr="00AE3F1B">
        <w:rPr>
          <w:rFonts w:ascii="Garamond" w:hAnsi="Garamond"/>
          <w:sz w:val="24"/>
          <w:szCs w:val="24"/>
        </w:rPr>
        <w:tab/>
        <w:t>ID Sp. z o.o. może wstrzymać dostarczanie energii elektrycznej w przypadku, gdy odbiorca zwleka z zapłatą za pobraną energię elektryczną albo świadczone usługi co najmniej miesiąc po upływie terminu płatności, pomimo uprzedniego powiadomienia na piśmie o zamiarze wypowiedzenia umowy i wyznaczenia dodatkowego, dwutygodniowego terminu do zapłaty zaległych i bieżących należności.</w:t>
      </w:r>
    </w:p>
    <w:p w14:paraId="1E5D73E4" w14:textId="77777777" w:rsidR="0072158E" w:rsidRPr="00AE3F1B" w:rsidRDefault="0072158E" w:rsidP="0072158E">
      <w:pPr>
        <w:spacing w:after="0" w:line="259" w:lineRule="auto"/>
        <w:ind w:left="567" w:right="-3" w:hanging="567"/>
        <w:jc w:val="left"/>
        <w:rPr>
          <w:rFonts w:ascii="Garamond" w:hAnsi="Garamond"/>
          <w:sz w:val="24"/>
          <w:szCs w:val="24"/>
        </w:rPr>
      </w:pPr>
    </w:p>
    <w:p w14:paraId="2626039B" w14:textId="1A9FA5B2" w:rsidR="006C28F2" w:rsidRPr="00AE3F1B" w:rsidRDefault="00E15BB4" w:rsidP="00175586">
      <w:pPr>
        <w:spacing w:after="220" w:line="226" w:lineRule="auto"/>
        <w:ind w:left="567" w:right="-3" w:hanging="567"/>
        <w:jc w:val="left"/>
        <w:rPr>
          <w:rFonts w:ascii="Garamond" w:hAnsi="Garamond"/>
          <w:sz w:val="24"/>
          <w:szCs w:val="24"/>
        </w:rPr>
      </w:pPr>
      <w:r>
        <w:rPr>
          <w:rFonts w:ascii="Garamond" w:hAnsi="Garamond"/>
          <w:sz w:val="24"/>
          <w:szCs w:val="24"/>
        </w:rPr>
        <w:t>II</w:t>
      </w:r>
      <w:r w:rsidR="006C28F2" w:rsidRPr="00AE3F1B">
        <w:rPr>
          <w:rFonts w:ascii="Garamond" w:hAnsi="Garamond"/>
          <w:sz w:val="24"/>
          <w:szCs w:val="24"/>
        </w:rPr>
        <w:t>.</w:t>
      </w:r>
      <w:r w:rsidR="00934120">
        <w:rPr>
          <w:rFonts w:ascii="Garamond" w:hAnsi="Garamond"/>
          <w:sz w:val="24"/>
          <w:szCs w:val="24"/>
        </w:rPr>
        <w:t>4</w:t>
      </w:r>
      <w:r w:rsidR="006C28F2" w:rsidRPr="00AE3F1B">
        <w:rPr>
          <w:rFonts w:ascii="Garamond" w:hAnsi="Garamond"/>
          <w:sz w:val="24"/>
          <w:szCs w:val="24"/>
        </w:rPr>
        <w:t>.3.</w:t>
      </w:r>
      <w:r w:rsidR="006C28F2" w:rsidRPr="00AE3F1B">
        <w:rPr>
          <w:rFonts w:ascii="Garamond" w:hAnsi="Garamond"/>
          <w:sz w:val="24"/>
          <w:szCs w:val="24"/>
        </w:rPr>
        <w:tab/>
        <w:t>ID Sp. z o.o. może wstrzymać dostarczanie energii elektrycznej w przypadku, gdy podmiot nie dostosował urządzeń i instalacji do znamionowego napięcia zasilania, podwyższonego poziomu prądów zwarcia lub zmianie innych warunków funkcjonowania sieci pomimo uprzedniego powiadomienia na piśmie.</w:t>
      </w:r>
    </w:p>
    <w:p w14:paraId="1B6520CF" w14:textId="5D1341B1" w:rsidR="006C28F2" w:rsidRPr="00AE3F1B" w:rsidRDefault="007B460D" w:rsidP="00175586">
      <w:pPr>
        <w:spacing w:after="180" w:line="248" w:lineRule="auto"/>
        <w:ind w:left="567" w:right="-3" w:hanging="567"/>
        <w:jc w:val="left"/>
        <w:rPr>
          <w:rFonts w:ascii="Garamond" w:hAnsi="Garamond"/>
          <w:sz w:val="24"/>
          <w:szCs w:val="24"/>
        </w:rPr>
      </w:pPr>
      <w:r>
        <w:rPr>
          <w:rFonts w:ascii="Garamond" w:hAnsi="Garamond"/>
          <w:sz w:val="24"/>
          <w:szCs w:val="24"/>
        </w:rPr>
        <w:t>II</w:t>
      </w:r>
      <w:r w:rsidR="006C28F2" w:rsidRPr="00AE3F1B">
        <w:rPr>
          <w:rFonts w:ascii="Garamond" w:hAnsi="Garamond"/>
          <w:sz w:val="24"/>
          <w:szCs w:val="24"/>
        </w:rPr>
        <w:t>.</w:t>
      </w:r>
      <w:r w:rsidR="00934120">
        <w:rPr>
          <w:rFonts w:ascii="Garamond" w:hAnsi="Garamond"/>
          <w:sz w:val="24"/>
          <w:szCs w:val="24"/>
        </w:rPr>
        <w:t>4</w:t>
      </w:r>
      <w:r w:rsidR="006C28F2" w:rsidRPr="00AE3F1B">
        <w:rPr>
          <w:rFonts w:ascii="Garamond" w:hAnsi="Garamond"/>
          <w:sz w:val="24"/>
          <w:szCs w:val="24"/>
        </w:rPr>
        <w:t xml:space="preserve">.4 ID Sp. z o.o. bezzwłocznie wznawia dostarczanie energii elektrycznej wstrzymanej z powodów, </w:t>
      </w:r>
      <w:r>
        <w:rPr>
          <w:rFonts w:ascii="Garamond" w:hAnsi="Garamond"/>
          <w:sz w:val="24"/>
          <w:szCs w:val="24"/>
        </w:rPr>
        <w:br/>
      </w:r>
      <w:r w:rsidR="006C28F2" w:rsidRPr="00AE3F1B">
        <w:rPr>
          <w:rFonts w:ascii="Garamond" w:hAnsi="Garamond"/>
          <w:sz w:val="24"/>
          <w:szCs w:val="24"/>
        </w:rPr>
        <w:t>o których mowa w pkt</w:t>
      </w:r>
      <w:r w:rsidR="003C6D01">
        <w:rPr>
          <w:rFonts w:ascii="Garamond" w:hAnsi="Garamond"/>
          <w:sz w:val="24"/>
          <w:szCs w:val="24"/>
        </w:rPr>
        <w:t xml:space="preserve"> II</w:t>
      </w:r>
      <w:r w:rsidR="006C28F2" w:rsidRPr="00AE3F1B">
        <w:rPr>
          <w:rFonts w:ascii="Garamond" w:hAnsi="Garamond"/>
          <w:sz w:val="24"/>
          <w:szCs w:val="24"/>
        </w:rPr>
        <w:t>.</w:t>
      </w:r>
      <w:r w:rsidR="004F29E3">
        <w:rPr>
          <w:rFonts w:ascii="Garamond" w:hAnsi="Garamond"/>
          <w:sz w:val="24"/>
          <w:szCs w:val="24"/>
        </w:rPr>
        <w:t>4</w:t>
      </w:r>
      <w:r w:rsidR="006C28F2" w:rsidRPr="00AE3F1B">
        <w:rPr>
          <w:rFonts w:ascii="Garamond" w:hAnsi="Garamond"/>
          <w:sz w:val="24"/>
          <w:szCs w:val="24"/>
        </w:rPr>
        <w:t>.1. oraz pkt</w:t>
      </w:r>
      <w:r w:rsidR="003C6D01">
        <w:rPr>
          <w:rFonts w:ascii="Garamond" w:hAnsi="Garamond"/>
          <w:sz w:val="24"/>
          <w:szCs w:val="24"/>
        </w:rPr>
        <w:t xml:space="preserve"> II</w:t>
      </w:r>
      <w:r w:rsidR="006C28F2" w:rsidRPr="00AE3F1B">
        <w:rPr>
          <w:rFonts w:ascii="Garamond" w:hAnsi="Garamond"/>
          <w:sz w:val="24"/>
          <w:szCs w:val="24"/>
        </w:rPr>
        <w:t>.</w:t>
      </w:r>
      <w:r w:rsidR="004F29E3">
        <w:rPr>
          <w:rFonts w:ascii="Garamond" w:hAnsi="Garamond"/>
          <w:sz w:val="24"/>
          <w:szCs w:val="24"/>
        </w:rPr>
        <w:t>4</w:t>
      </w:r>
      <w:r w:rsidR="006C28F2" w:rsidRPr="00AE3F1B">
        <w:rPr>
          <w:rFonts w:ascii="Garamond" w:hAnsi="Garamond"/>
          <w:sz w:val="24"/>
          <w:szCs w:val="24"/>
        </w:rPr>
        <w:t>.3., jeżeli ustaną przyczyny uzasadniające wstrzymanie jej dostarczania.</w:t>
      </w:r>
    </w:p>
    <w:p w14:paraId="11A87454" w14:textId="72725D86" w:rsidR="006C28F2" w:rsidRPr="00AE3F1B" w:rsidRDefault="00E15BB4" w:rsidP="00175586">
      <w:pPr>
        <w:spacing w:after="186" w:line="253" w:lineRule="auto"/>
        <w:ind w:left="567" w:right="-3" w:hanging="567"/>
        <w:jc w:val="left"/>
        <w:rPr>
          <w:rFonts w:ascii="Garamond" w:hAnsi="Garamond"/>
          <w:sz w:val="24"/>
          <w:szCs w:val="24"/>
        </w:rPr>
      </w:pPr>
      <w:r>
        <w:rPr>
          <w:rFonts w:ascii="Garamond" w:hAnsi="Garamond"/>
          <w:sz w:val="24"/>
          <w:szCs w:val="24"/>
        </w:rPr>
        <w:t>II</w:t>
      </w:r>
      <w:r w:rsidR="006C28F2" w:rsidRPr="00AE3F1B">
        <w:rPr>
          <w:rFonts w:ascii="Garamond" w:hAnsi="Garamond"/>
          <w:sz w:val="24"/>
          <w:szCs w:val="24"/>
        </w:rPr>
        <w:t>.</w:t>
      </w:r>
      <w:r w:rsidR="00934120">
        <w:rPr>
          <w:rFonts w:ascii="Garamond" w:hAnsi="Garamond"/>
          <w:sz w:val="24"/>
          <w:szCs w:val="24"/>
        </w:rPr>
        <w:t>4</w:t>
      </w:r>
      <w:r w:rsidR="006C28F2" w:rsidRPr="00AE3F1B">
        <w:rPr>
          <w:rFonts w:ascii="Garamond" w:hAnsi="Garamond"/>
          <w:sz w:val="24"/>
          <w:szCs w:val="24"/>
        </w:rPr>
        <w:t>.5. Ponowne wznowienie dostarczania energii elektrycznej do podmiotu, u którego w wyniku przeprowadzonej kontroli stwierdzono przypadki opisane w p</w:t>
      </w:r>
      <w:r w:rsidR="003C6D01">
        <w:rPr>
          <w:rFonts w:ascii="Garamond" w:hAnsi="Garamond"/>
          <w:sz w:val="24"/>
          <w:szCs w:val="24"/>
        </w:rPr>
        <w:t>kt II</w:t>
      </w:r>
      <w:r w:rsidR="006C28F2" w:rsidRPr="00AE3F1B">
        <w:rPr>
          <w:rFonts w:ascii="Garamond" w:hAnsi="Garamond"/>
          <w:sz w:val="24"/>
          <w:szCs w:val="24"/>
        </w:rPr>
        <w:t>.</w:t>
      </w:r>
      <w:r w:rsidR="004F29E3">
        <w:rPr>
          <w:rFonts w:ascii="Garamond" w:hAnsi="Garamond"/>
          <w:sz w:val="24"/>
          <w:szCs w:val="24"/>
        </w:rPr>
        <w:t>4</w:t>
      </w:r>
      <w:r w:rsidR="006C28F2" w:rsidRPr="00AE3F1B">
        <w:rPr>
          <w:rFonts w:ascii="Garamond" w:hAnsi="Garamond"/>
          <w:sz w:val="24"/>
          <w:szCs w:val="24"/>
        </w:rPr>
        <w:t>.1b), może być uzależnione od zmiany lokalizacji układu pomiarowo-rozliczeniowego oraz pokrycia przez ten podmiot kosztów przebudowy przyłącza.</w:t>
      </w:r>
    </w:p>
    <w:p w14:paraId="068366CD" w14:textId="496D9724" w:rsidR="006C28F2" w:rsidRPr="00CD0595" w:rsidRDefault="006C28F2" w:rsidP="00CD0595">
      <w:pPr>
        <w:spacing w:after="4" w:line="269" w:lineRule="auto"/>
        <w:ind w:left="567" w:right="-3" w:hanging="567"/>
        <w:jc w:val="left"/>
        <w:rPr>
          <w:rFonts w:ascii="Garamond" w:hAnsi="Garamond"/>
          <w:b/>
          <w:bCs/>
          <w:sz w:val="28"/>
          <w:szCs w:val="28"/>
        </w:rPr>
      </w:pPr>
      <w:r w:rsidRPr="00CD0595">
        <w:rPr>
          <w:rFonts w:ascii="Garamond" w:hAnsi="Garamond"/>
          <w:b/>
          <w:bCs/>
          <w:sz w:val="28"/>
          <w:szCs w:val="28"/>
        </w:rPr>
        <w:t>II.</w:t>
      </w:r>
      <w:r w:rsidR="00934120">
        <w:rPr>
          <w:rFonts w:ascii="Garamond" w:hAnsi="Garamond"/>
          <w:b/>
          <w:bCs/>
          <w:sz w:val="28"/>
          <w:szCs w:val="28"/>
        </w:rPr>
        <w:t>5</w:t>
      </w:r>
      <w:r w:rsidRPr="00CD0595">
        <w:rPr>
          <w:rFonts w:ascii="Garamond" w:hAnsi="Garamond"/>
          <w:b/>
          <w:bCs/>
          <w:sz w:val="28"/>
          <w:szCs w:val="28"/>
        </w:rPr>
        <w:t>.</w:t>
      </w:r>
      <w:r w:rsidRPr="00CD0595">
        <w:rPr>
          <w:rFonts w:ascii="Garamond" w:hAnsi="Garamond"/>
          <w:b/>
          <w:bCs/>
          <w:sz w:val="28"/>
          <w:szCs w:val="28"/>
        </w:rPr>
        <w:tab/>
      </w:r>
      <w:r w:rsidR="00CD0595">
        <w:rPr>
          <w:rFonts w:ascii="Garamond" w:hAnsi="Garamond"/>
          <w:b/>
          <w:bCs/>
          <w:sz w:val="28"/>
          <w:szCs w:val="28"/>
        </w:rPr>
        <w:t>Wymagania techniczne dla urządzeń wytwórczych, sieci, urządzeń odbiorców, połączeń międzysystemowych, linii bezpośrednich oraz układów i systemów pomiarowo rozliczeniowych</w:t>
      </w:r>
    </w:p>
    <w:p w14:paraId="247D420A" w14:textId="745B3BCB" w:rsidR="00934120" w:rsidRDefault="006C28F2" w:rsidP="0072158E">
      <w:pPr>
        <w:keepNext/>
        <w:keepLines/>
        <w:spacing w:after="0" w:line="247" w:lineRule="auto"/>
        <w:ind w:right="-6"/>
        <w:jc w:val="left"/>
        <w:outlineLvl w:val="1"/>
        <w:rPr>
          <w:rFonts w:ascii="Garamond" w:hAnsi="Garamond"/>
          <w:sz w:val="24"/>
          <w:szCs w:val="24"/>
        </w:rPr>
      </w:pPr>
      <w:bookmarkStart w:id="10" w:name="_Toc171861037"/>
      <w:bookmarkStart w:id="11" w:name="_Toc171851204"/>
      <w:bookmarkStart w:id="12" w:name="_Toc171860218"/>
      <w:r w:rsidRPr="00AE3F1B">
        <w:rPr>
          <w:rFonts w:ascii="Garamond" w:hAnsi="Garamond"/>
          <w:sz w:val="24"/>
          <w:szCs w:val="24"/>
        </w:rPr>
        <w:t>II.</w:t>
      </w:r>
      <w:r w:rsidR="00934120">
        <w:rPr>
          <w:rFonts w:ascii="Garamond" w:hAnsi="Garamond"/>
          <w:sz w:val="24"/>
          <w:szCs w:val="24"/>
        </w:rPr>
        <w:t>5</w:t>
      </w:r>
      <w:r w:rsidRPr="00AE3F1B">
        <w:rPr>
          <w:rFonts w:ascii="Garamond" w:hAnsi="Garamond"/>
          <w:sz w:val="24"/>
          <w:szCs w:val="24"/>
        </w:rPr>
        <w:t xml:space="preserve">.1. </w:t>
      </w:r>
      <w:r w:rsidR="00F6180C">
        <w:rPr>
          <w:rFonts w:ascii="Garamond" w:hAnsi="Garamond"/>
          <w:sz w:val="24"/>
          <w:szCs w:val="24"/>
        </w:rPr>
        <w:t>Wymagania ogólne</w:t>
      </w:r>
      <w:bookmarkStart w:id="13" w:name="_Toc171861038"/>
      <w:bookmarkEnd w:id="10"/>
    </w:p>
    <w:p w14:paraId="2754B9CD" w14:textId="4BC1C50F" w:rsidR="006C28F2" w:rsidRPr="00AE3F1B" w:rsidRDefault="006C28F2" w:rsidP="005A5594">
      <w:pPr>
        <w:keepNext/>
        <w:keepLines/>
        <w:spacing w:after="0" w:line="247" w:lineRule="auto"/>
        <w:ind w:left="426" w:right="-6" w:hanging="426"/>
        <w:jc w:val="left"/>
        <w:outlineLvl w:val="1"/>
        <w:rPr>
          <w:rFonts w:ascii="Garamond" w:hAnsi="Garamond"/>
          <w:sz w:val="24"/>
          <w:szCs w:val="24"/>
        </w:rPr>
      </w:pPr>
      <w:r w:rsidRPr="00AE3F1B">
        <w:rPr>
          <w:rFonts w:ascii="Garamond" w:hAnsi="Garamond"/>
          <w:sz w:val="24"/>
          <w:szCs w:val="24"/>
        </w:rPr>
        <w:t>II.</w:t>
      </w:r>
      <w:r w:rsidR="00934120">
        <w:rPr>
          <w:rFonts w:ascii="Garamond" w:hAnsi="Garamond"/>
          <w:sz w:val="24"/>
          <w:szCs w:val="24"/>
        </w:rPr>
        <w:t>5</w:t>
      </w:r>
      <w:r w:rsidRPr="00AE3F1B">
        <w:rPr>
          <w:rFonts w:ascii="Garamond" w:hAnsi="Garamond"/>
          <w:sz w:val="24"/>
          <w:szCs w:val="24"/>
        </w:rPr>
        <w:t>.1.1.</w:t>
      </w:r>
      <w:r w:rsidR="005A5594">
        <w:rPr>
          <w:rFonts w:ascii="Garamond" w:hAnsi="Garamond"/>
          <w:sz w:val="24"/>
          <w:szCs w:val="24"/>
        </w:rPr>
        <w:t xml:space="preserve"> </w:t>
      </w:r>
      <w:r w:rsidRPr="00AE3F1B">
        <w:rPr>
          <w:rFonts w:ascii="Garamond" w:hAnsi="Garamond"/>
          <w:sz w:val="24"/>
          <w:szCs w:val="24"/>
        </w:rPr>
        <w:t xml:space="preserve">Przyłączane do sieci dystrybucyjnej ID Sp. z o.o. urządzenia, instalacje i sieci podmiotów ubiegających się o przyłączenie, muszą spełniać wymagania techniczne i eksploatacyjne </w:t>
      </w:r>
      <w:r w:rsidR="00F6180C">
        <w:rPr>
          <w:rFonts w:ascii="Garamond" w:hAnsi="Garamond"/>
          <w:sz w:val="24"/>
          <w:szCs w:val="24"/>
        </w:rPr>
        <w:br/>
      </w:r>
      <w:r w:rsidRPr="00AE3F1B">
        <w:rPr>
          <w:rFonts w:ascii="Garamond" w:hAnsi="Garamond"/>
          <w:sz w:val="24"/>
          <w:szCs w:val="24"/>
        </w:rPr>
        <w:t>zapewniające:</w:t>
      </w:r>
      <w:bookmarkEnd w:id="11"/>
      <w:bookmarkEnd w:id="12"/>
      <w:bookmarkEnd w:id="13"/>
    </w:p>
    <w:p w14:paraId="7868BE2B" w14:textId="77777777" w:rsidR="006C28F2" w:rsidRPr="00AE3F1B" w:rsidRDefault="006C28F2">
      <w:pPr>
        <w:numPr>
          <w:ilvl w:val="0"/>
          <w:numId w:val="28"/>
        </w:numPr>
        <w:spacing w:after="38" w:line="253" w:lineRule="auto"/>
        <w:ind w:left="567" w:right="-3" w:hanging="141"/>
        <w:jc w:val="left"/>
        <w:rPr>
          <w:rFonts w:ascii="Garamond" w:hAnsi="Garamond"/>
          <w:sz w:val="24"/>
          <w:szCs w:val="24"/>
        </w:rPr>
      </w:pPr>
      <w:r w:rsidRPr="00AE3F1B">
        <w:rPr>
          <w:rFonts w:ascii="Garamond" w:hAnsi="Garamond"/>
          <w:sz w:val="24"/>
          <w:szCs w:val="24"/>
        </w:rPr>
        <w:t>bezpieczeństwo funkcjonowania systemu elektroenergetycznego,</w:t>
      </w:r>
    </w:p>
    <w:p w14:paraId="65546983" w14:textId="77777777" w:rsidR="006C28F2" w:rsidRPr="00AE3F1B" w:rsidRDefault="006C28F2">
      <w:pPr>
        <w:numPr>
          <w:ilvl w:val="0"/>
          <w:numId w:val="28"/>
        </w:numPr>
        <w:spacing w:line="253" w:lineRule="auto"/>
        <w:ind w:left="709" w:right="-3" w:hanging="283"/>
        <w:jc w:val="left"/>
        <w:rPr>
          <w:rFonts w:ascii="Garamond" w:hAnsi="Garamond"/>
          <w:sz w:val="24"/>
          <w:szCs w:val="24"/>
        </w:rPr>
      </w:pPr>
      <w:r w:rsidRPr="00AE3F1B">
        <w:rPr>
          <w:rFonts w:ascii="Garamond" w:hAnsi="Garamond"/>
          <w:sz w:val="24"/>
          <w:szCs w:val="24"/>
        </w:rPr>
        <w:t>zabezpieczenie systemu elektroenergetycznego przed uszkodzeniami spowodowanymi niewłaściwą pracą przyłączonych urządzeń, instalacji i sieci,</w:t>
      </w:r>
    </w:p>
    <w:p w14:paraId="7260A406" w14:textId="77777777" w:rsidR="006C28F2" w:rsidRPr="00AE3F1B" w:rsidRDefault="006C28F2">
      <w:pPr>
        <w:numPr>
          <w:ilvl w:val="0"/>
          <w:numId w:val="28"/>
        </w:numPr>
        <w:spacing w:line="253" w:lineRule="auto"/>
        <w:ind w:left="709" w:right="-3" w:hanging="283"/>
        <w:jc w:val="left"/>
        <w:rPr>
          <w:rFonts w:ascii="Garamond" w:hAnsi="Garamond"/>
          <w:sz w:val="24"/>
          <w:szCs w:val="24"/>
        </w:rPr>
      </w:pPr>
      <w:r w:rsidRPr="00AE3F1B">
        <w:rPr>
          <w:rFonts w:ascii="Garamond" w:hAnsi="Garamond"/>
          <w:sz w:val="24"/>
          <w:szCs w:val="24"/>
        </w:rPr>
        <w:t>zabezpieczenie przyłączonych urządzeń, instalacji i sieci przed uszkodzeniami w przypadku awarii lub wprowadzenia ograniczeń w poborze lub dostarczaniu energii,</w:t>
      </w:r>
    </w:p>
    <w:p w14:paraId="0081676E" w14:textId="77777777" w:rsidR="006C28F2" w:rsidRPr="00AE3F1B" w:rsidRDefault="006C28F2">
      <w:pPr>
        <w:numPr>
          <w:ilvl w:val="0"/>
          <w:numId w:val="28"/>
        </w:numPr>
        <w:spacing w:line="253" w:lineRule="auto"/>
        <w:ind w:left="709" w:right="-3" w:hanging="283"/>
        <w:jc w:val="left"/>
        <w:rPr>
          <w:rFonts w:ascii="Garamond" w:hAnsi="Garamond"/>
          <w:sz w:val="24"/>
          <w:szCs w:val="24"/>
        </w:rPr>
      </w:pPr>
      <w:r w:rsidRPr="00AE3F1B">
        <w:rPr>
          <w:rFonts w:ascii="Garamond" w:hAnsi="Garamond"/>
          <w:sz w:val="24"/>
          <w:szCs w:val="24"/>
        </w:rPr>
        <w:lastRenderedPageBreak/>
        <w:t>dotrzymanie w miejscu przyłączenia urządzeń, instalacji i sieci parametrów jakościowych energii,</w:t>
      </w:r>
    </w:p>
    <w:p w14:paraId="7F699424" w14:textId="3B3DF3C0" w:rsidR="006C28F2" w:rsidRPr="00AE3F1B" w:rsidRDefault="006C28F2">
      <w:pPr>
        <w:numPr>
          <w:ilvl w:val="0"/>
          <w:numId w:val="28"/>
        </w:numPr>
        <w:spacing w:line="253" w:lineRule="auto"/>
        <w:ind w:left="567" w:right="-3" w:hanging="141"/>
        <w:jc w:val="left"/>
        <w:rPr>
          <w:rFonts w:ascii="Garamond" w:hAnsi="Garamond"/>
          <w:sz w:val="24"/>
          <w:szCs w:val="24"/>
        </w:rPr>
      </w:pPr>
      <w:r w:rsidRPr="00AE3F1B">
        <w:rPr>
          <w:rFonts w:ascii="Garamond" w:hAnsi="Garamond"/>
          <w:sz w:val="24"/>
          <w:szCs w:val="24"/>
        </w:rPr>
        <w:t xml:space="preserve">spełnianie wymagań w zakresie ochrony środowiska, określonych w </w:t>
      </w:r>
      <w:r w:rsidR="00DD5AB5" w:rsidRPr="00AE3F1B">
        <w:rPr>
          <w:rFonts w:ascii="Garamond" w:hAnsi="Garamond"/>
          <w:sz w:val="24"/>
          <w:szCs w:val="24"/>
        </w:rPr>
        <w:t>odrębnych przepisach</w:t>
      </w:r>
      <w:r w:rsidRPr="00AE3F1B">
        <w:rPr>
          <w:rFonts w:ascii="Garamond" w:hAnsi="Garamond"/>
          <w:sz w:val="24"/>
          <w:szCs w:val="24"/>
        </w:rPr>
        <w:t>,</w:t>
      </w:r>
    </w:p>
    <w:p w14:paraId="1065173A" w14:textId="77777777" w:rsidR="006C28F2" w:rsidRPr="00AE3F1B" w:rsidRDefault="006C28F2" w:rsidP="002B666D">
      <w:pPr>
        <w:spacing w:after="116" w:line="253" w:lineRule="auto"/>
        <w:ind w:left="709" w:right="-3" w:hanging="283"/>
        <w:jc w:val="left"/>
        <w:rPr>
          <w:rFonts w:ascii="Garamond" w:hAnsi="Garamond"/>
          <w:sz w:val="24"/>
          <w:szCs w:val="24"/>
        </w:rPr>
      </w:pPr>
      <w:r w:rsidRPr="00AE3F1B">
        <w:rPr>
          <w:rFonts w:ascii="Garamond" w:hAnsi="Garamond"/>
          <w:sz w:val="24"/>
          <w:szCs w:val="24"/>
        </w:rPr>
        <w:t>6) możliwość dokonywania pomiarów wielkości i parametrów niezbędnych do prowadzenia ruchu sieci oraz rozliczeń za pobraną energię elektryczną.</w:t>
      </w:r>
    </w:p>
    <w:p w14:paraId="1138CB8A" w14:textId="70BF32B6" w:rsidR="006C28F2" w:rsidRPr="00AE3F1B" w:rsidRDefault="00D30F44" w:rsidP="00175586">
      <w:pPr>
        <w:spacing w:after="128" w:line="253" w:lineRule="auto"/>
        <w:ind w:left="567" w:right="-3" w:hanging="567"/>
        <w:jc w:val="left"/>
        <w:rPr>
          <w:rFonts w:ascii="Garamond" w:hAnsi="Garamond"/>
          <w:sz w:val="24"/>
          <w:szCs w:val="24"/>
        </w:rPr>
      </w:pPr>
      <w:r>
        <w:rPr>
          <w:rFonts w:ascii="Garamond" w:hAnsi="Garamond"/>
          <w:sz w:val="24"/>
          <w:szCs w:val="24"/>
        </w:rPr>
        <w:t>II</w:t>
      </w:r>
      <w:r w:rsidR="006C28F2" w:rsidRPr="00AE3F1B">
        <w:rPr>
          <w:rFonts w:ascii="Garamond" w:hAnsi="Garamond"/>
          <w:sz w:val="24"/>
          <w:szCs w:val="24"/>
        </w:rPr>
        <w:t>.</w:t>
      </w:r>
      <w:r w:rsidR="00934120">
        <w:rPr>
          <w:rFonts w:ascii="Garamond" w:hAnsi="Garamond"/>
          <w:sz w:val="24"/>
          <w:szCs w:val="24"/>
        </w:rPr>
        <w:t>5</w:t>
      </w:r>
      <w:r w:rsidR="006C28F2" w:rsidRPr="00AE3F1B">
        <w:rPr>
          <w:rFonts w:ascii="Garamond" w:hAnsi="Garamond"/>
          <w:sz w:val="24"/>
          <w:szCs w:val="24"/>
        </w:rPr>
        <w:t xml:space="preserve">.1.2. Urządzenia, instalacje i sieci, o których mowa w pkt. </w:t>
      </w:r>
      <w:r>
        <w:rPr>
          <w:rFonts w:ascii="Garamond" w:hAnsi="Garamond"/>
          <w:sz w:val="24"/>
          <w:szCs w:val="24"/>
        </w:rPr>
        <w:t>II</w:t>
      </w:r>
      <w:r w:rsidR="006C28F2" w:rsidRPr="00AE3F1B">
        <w:rPr>
          <w:rFonts w:ascii="Garamond" w:hAnsi="Garamond"/>
          <w:sz w:val="24"/>
          <w:szCs w:val="24"/>
        </w:rPr>
        <w:t>.</w:t>
      </w:r>
      <w:r w:rsidR="001F2207">
        <w:rPr>
          <w:rFonts w:ascii="Garamond" w:hAnsi="Garamond"/>
          <w:sz w:val="24"/>
          <w:szCs w:val="24"/>
        </w:rPr>
        <w:t>5</w:t>
      </w:r>
      <w:r w:rsidR="006C28F2" w:rsidRPr="00AE3F1B">
        <w:rPr>
          <w:rFonts w:ascii="Garamond" w:hAnsi="Garamond"/>
          <w:sz w:val="24"/>
          <w:szCs w:val="24"/>
        </w:rPr>
        <w:t>.1.1., muszą spełniać także wymagania określone w odrębnych przepisach, w szczególności przepisach: prawa budowlanego, o ochronie przeciwporażeniowej, o ochronie przeciwprzepięciowej, o ochronie przeciwpożarowej, o systemie oceny zgodności oraz w przepisach dotyczących technologii wytwarzania energii.</w:t>
      </w:r>
    </w:p>
    <w:p w14:paraId="4AE51AD7" w14:textId="295E4D32" w:rsidR="006C28F2" w:rsidRPr="00AE3F1B" w:rsidRDefault="00D30F44" w:rsidP="00175586">
      <w:pPr>
        <w:spacing w:after="153" w:line="253" w:lineRule="auto"/>
        <w:ind w:left="567" w:right="-3" w:hanging="567"/>
        <w:jc w:val="left"/>
        <w:rPr>
          <w:rFonts w:ascii="Garamond" w:hAnsi="Garamond"/>
          <w:sz w:val="24"/>
          <w:szCs w:val="24"/>
        </w:rPr>
      </w:pPr>
      <w:r>
        <w:rPr>
          <w:rFonts w:ascii="Garamond" w:hAnsi="Garamond"/>
          <w:sz w:val="24"/>
          <w:szCs w:val="24"/>
        </w:rPr>
        <w:t>II</w:t>
      </w:r>
      <w:r w:rsidR="006C28F2" w:rsidRPr="00AE3F1B">
        <w:rPr>
          <w:rFonts w:ascii="Garamond" w:hAnsi="Garamond"/>
          <w:sz w:val="24"/>
          <w:szCs w:val="24"/>
        </w:rPr>
        <w:t>.</w:t>
      </w:r>
      <w:r w:rsidR="00934120">
        <w:rPr>
          <w:rFonts w:ascii="Garamond" w:hAnsi="Garamond"/>
          <w:sz w:val="24"/>
          <w:szCs w:val="24"/>
        </w:rPr>
        <w:t>5</w:t>
      </w:r>
      <w:r w:rsidR="006C28F2" w:rsidRPr="00AE3F1B">
        <w:rPr>
          <w:rFonts w:ascii="Garamond" w:hAnsi="Garamond"/>
          <w:sz w:val="24"/>
          <w:szCs w:val="24"/>
        </w:rPr>
        <w:t>.1.3. Budowa linii bezpośredniej wymaga, przed wydaniem decyzji o pozwoleniu na budowę w rozumieniu przepisów Prawa Budowlanego, uzyskania, w drodze decyzji, zgody Prezesa URE.</w:t>
      </w:r>
    </w:p>
    <w:p w14:paraId="52437C4D" w14:textId="557556B1" w:rsidR="006C28F2" w:rsidRPr="00AE3F1B" w:rsidRDefault="00D30F44" w:rsidP="00175586">
      <w:pPr>
        <w:spacing w:line="253" w:lineRule="auto"/>
        <w:ind w:left="567" w:right="-3" w:hanging="567"/>
        <w:jc w:val="left"/>
        <w:rPr>
          <w:rFonts w:ascii="Garamond" w:hAnsi="Garamond"/>
          <w:sz w:val="24"/>
          <w:szCs w:val="24"/>
        </w:rPr>
      </w:pPr>
      <w:r>
        <w:rPr>
          <w:rFonts w:ascii="Garamond" w:hAnsi="Garamond"/>
          <w:sz w:val="24"/>
          <w:szCs w:val="24"/>
        </w:rPr>
        <w:t>II</w:t>
      </w:r>
      <w:r w:rsidR="006C28F2" w:rsidRPr="00AE3F1B">
        <w:rPr>
          <w:rFonts w:ascii="Garamond" w:hAnsi="Garamond"/>
          <w:sz w:val="24"/>
          <w:szCs w:val="24"/>
        </w:rPr>
        <w:t>.</w:t>
      </w:r>
      <w:r w:rsidR="00934120">
        <w:rPr>
          <w:rFonts w:ascii="Garamond" w:hAnsi="Garamond"/>
          <w:sz w:val="24"/>
          <w:szCs w:val="24"/>
        </w:rPr>
        <w:t>5</w:t>
      </w:r>
      <w:r w:rsidR="006C28F2" w:rsidRPr="00AE3F1B">
        <w:rPr>
          <w:rFonts w:ascii="Garamond" w:hAnsi="Garamond"/>
          <w:sz w:val="24"/>
          <w:szCs w:val="24"/>
        </w:rPr>
        <w:t xml:space="preserve">.1.4. Urządzenia, instalacje i sieci podmiotów ubiegających się o przyłączenie oraz podmiotów przyłączonych do sieci dystrybucyjnej ID Sp. z o.o. nie mogą wprowadzać do sieci zaburzeń parametrów technicznych energii elektrycznej </w:t>
      </w:r>
      <w:r w:rsidR="0072158E" w:rsidRPr="00AE3F1B">
        <w:rPr>
          <w:rFonts w:ascii="Garamond" w:hAnsi="Garamond"/>
          <w:sz w:val="24"/>
          <w:szCs w:val="24"/>
        </w:rPr>
        <w:t>powyżej dopuszczalnych</w:t>
      </w:r>
      <w:r w:rsidR="006C28F2" w:rsidRPr="00AE3F1B">
        <w:rPr>
          <w:rFonts w:ascii="Garamond" w:hAnsi="Garamond"/>
          <w:sz w:val="24"/>
          <w:szCs w:val="24"/>
        </w:rPr>
        <w:t xml:space="preserve"> poziomów określonych w warunkach przyłączenia i/lub w rozdzia</w:t>
      </w:r>
      <w:r w:rsidR="007904D6">
        <w:rPr>
          <w:rFonts w:ascii="Garamond" w:hAnsi="Garamond"/>
          <w:sz w:val="24"/>
          <w:szCs w:val="24"/>
        </w:rPr>
        <w:t>le</w:t>
      </w:r>
      <w:r w:rsidR="006C28F2" w:rsidRPr="00AE3F1B">
        <w:rPr>
          <w:rFonts w:ascii="Garamond" w:hAnsi="Garamond"/>
          <w:sz w:val="24"/>
          <w:szCs w:val="24"/>
        </w:rPr>
        <w:t xml:space="preserve"> VIII.2 </w:t>
      </w:r>
      <w:r w:rsidR="00401961" w:rsidRPr="00FF23BB">
        <w:rPr>
          <w:rFonts w:ascii="Garamond" w:hAnsi="Garamond"/>
          <w:sz w:val="24"/>
          <w:szCs w:val="24"/>
        </w:rPr>
        <w:t>IRiESD</w:t>
      </w:r>
      <w:r w:rsidR="006C28F2" w:rsidRPr="00AE3F1B">
        <w:rPr>
          <w:rFonts w:ascii="Garamond" w:hAnsi="Garamond"/>
          <w:sz w:val="24"/>
          <w:szCs w:val="24"/>
        </w:rPr>
        <w:t xml:space="preserve">, powodujących pogorszenie parametrów jakościowych energii elektrycznej określonych odpowiednio </w:t>
      </w:r>
      <w:r w:rsidR="004659EE" w:rsidRPr="00AE3F1B">
        <w:rPr>
          <w:rFonts w:ascii="Garamond" w:hAnsi="Garamond"/>
          <w:sz w:val="24"/>
          <w:szCs w:val="24"/>
        </w:rPr>
        <w:br/>
      </w:r>
      <w:r w:rsidR="006C28F2" w:rsidRPr="00AE3F1B">
        <w:rPr>
          <w:rFonts w:ascii="Garamond" w:hAnsi="Garamond"/>
          <w:sz w:val="24"/>
          <w:szCs w:val="24"/>
        </w:rPr>
        <w:t xml:space="preserve">w rozporządzeniu wydanym na podstawie delegacji zawartej w ustawie Prawo Energetyczne lub w umowie o świadczenie usług dystrybucji lub umowie kompleksowej lub zawartych </w:t>
      </w:r>
      <w:r w:rsidR="004659EE" w:rsidRPr="00AE3F1B">
        <w:rPr>
          <w:rFonts w:ascii="Garamond" w:hAnsi="Garamond"/>
          <w:sz w:val="24"/>
          <w:szCs w:val="24"/>
        </w:rPr>
        <w:br/>
      </w:r>
      <w:r w:rsidR="006C28F2" w:rsidRPr="00AE3F1B">
        <w:rPr>
          <w:rFonts w:ascii="Garamond" w:hAnsi="Garamond"/>
          <w:sz w:val="24"/>
          <w:szCs w:val="24"/>
        </w:rPr>
        <w:t xml:space="preserve">w </w:t>
      </w:r>
      <w:r w:rsidR="007904D6" w:rsidRPr="00AE3F1B">
        <w:rPr>
          <w:rFonts w:ascii="Garamond" w:hAnsi="Garamond"/>
          <w:sz w:val="24"/>
          <w:szCs w:val="24"/>
        </w:rPr>
        <w:t>rozdzia</w:t>
      </w:r>
      <w:r w:rsidR="007904D6">
        <w:rPr>
          <w:rFonts w:ascii="Garamond" w:hAnsi="Garamond"/>
          <w:sz w:val="24"/>
          <w:szCs w:val="24"/>
        </w:rPr>
        <w:t>le</w:t>
      </w:r>
      <w:r w:rsidR="007904D6" w:rsidRPr="00AE3F1B">
        <w:rPr>
          <w:rFonts w:ascii="Garamond" w:hAnsi="Garamond"/>
          <w:sz w:val="24"/>
          <w:szCs w:val="24"/>
        </w:rPr>
        <w:t xml:space="preserve"> </w:t>
      </w:r>
      <w:r w:rsidR="006C28F2" w:rsidRPr="00AE3F1B">
        <w:rPr>
          <w:rFonts w:ascii="Garamond" w:hAnsi="Garamond"/>
          <w:sz w:val="24"/>
          <w:szCs w:val="24"/>
        </w:rPr>
        <w:t xml:space="preserve">VIII.1 niniejszej </w:t>
      </w:r>
      <w:r w:rsidR="00401961" w:rsidRPr="00FF23BB">
        <w:rPr>
          <w:rFonts w:ascii="Garamond" w:hAnsi="Garamond"/>
          <w:sz w:val="24"/>
          <w:szCs w:val="24"/>
        </w:rPr>
        <w:t>IRiESD</w:t>
      </w:r>
      <w:r w:rsidR="006C28F2" w:rsidRPr="00AE3F1B">
        <w:rPr>
          <w:rFonts w:ascii="Garamond" w:hAnsi="Garamond"/>
          <w:sz w:val="24"/>
          <w:szCs w:val="24"/>
        </w:rPr>
        <w:t>.</w:t>
      </w:r>
    </w:p>
    <w:p w14:paraId="020479C8" w14:textId="04E5574D" w:rsidR="006C28F2" w:rsidRPr="00AE3F1B" w:rsidRDefault="002866AF" w:rsidP="00175586">
      <w:pPr>
        <w:keepNext/>
        <w:keepLines/>
        <w:spacing w:after="16" w:line="248" w:lineRule="auto"/>
        <w:ind w:left="567" w:right="-3" w:hanging="567"/>
        <w:jc w:val="left"/>
        <w:outlineLvl w:val="1"/>
        <w:rPr>
          <w:rFonts w:ascii="Garamond" w:hAnsi="Garamond"/>
          <w:sz w:val="24"/>
          <w:szCs w:val="24"/>
        </w:rPr>
      </w:pPr>
      <w:bookmarkStart w:id="14" w:name="_Toc171860219"/>
      <w:bookmarkStart w:id="15" w:name="_Toc171861039"/>
      <w:r w:rsidRPr="00AE3F1B">
        <w:rPr>
          <w:rFonts w:ascii="Garamond" w:hAnsi="Garamond"/>
          <w:sz w:val="24"/>
          <w:szCs w:val="24"/>
        </w:rPr>
        <w:t>II</w:t>
      </w:r>
      <w:r w:rsidR="006C28F2" w:rsidRPr="00AE3F1B">
        <w:rPr>
          <w:rFonts w:ascii="Garamond" w:hAnsi="Garamond"/>
          <w:sz w:val="24"/>
          <w:szCs w:val="24"/>
        </w:rPr>
        <w:t>.</w:t>
      </w:r>
      <w:r w:rsidR="00934120">
        <w:rPr>
          <w:rFonts w:ascii="Garamond" w:hAnsi="Garamond"/>
          <w:sz w:val="24"/>
          <w:szCs w:val="24"/>
        </w:rPr>
        <w:t>5</w:t>
      </w:r>
      <w:r w:rsidR="006C28F2" w:rsidRPr="00AE3F1B">
        <w:rPr>
          <w:rFonts w:ascii="Garamond" w:hAnsi="Garamond"/>
          <w:sz w:val="24"/>
          <w:szCs w:val="24"/>
        </w:rPr>
        <w:t xml:space="preserve">.2. </w:t>
      </w:r>
      <w:r w:rsidR="002B666D">
        <w:rPr>
          <w:rFonts w:ascii="Garamond" w:hAnsi="Garamond"/>
          <w:sz w:val="24"/>
          <w:szCs w:val="24"/>
        </w:rPr>
        <w:t>Wymagania techniczne dla urządzeń, instalacji i sieci odbiorców</w:t>
      </w:r>
      <w:bookmarkEnd w:id="14"/>
      <w:bookmarkEnd w:id="15"/>
    </w:p>
    <w:p w14:paraId="00C09F0A" w14:textId="28649C1A" w:rsidR="006C28F2" w:rsidRPr="00AE3F1B" w:rsidRDefault="00913732" w:rsidP="00175586">
      <w:pPr>
        <w:spacing w:after="128" w:line="253" w:lineRule="auto"/>
        <w:ind w:left="567" w:right="-3" w:hanging="567"/>
        <w:jc w:val="left"/>
        <w:rPr>
          <w:rFonts w:ascii="Garamond" w:hAnsi="Garamond"/>
          <w:sz w:val="24"/>
          <w:szCs w:val="24"/>
        </w:rPr>
      </w:pPr>
      <w:r>
        <w:rPr>
          <w:rFonts w:ascii="Garamond" w:hAnsi="Garamond"/>
          <w:sz w:val="24"/>
          <w:szCs w:val="24"/>
        </w:rPr>
        <w:t>II</w:t>
      </w:r>
      <w:r w:rsidR="006C28F2" w:rsidRPr="00AE3F1B">
        <w:rPr>
          <w:rFonts w:ascii="Garamond" w:hAnsi="Garamond"/>
          <w:sz w:val="24"/>
          <w:szCs w:val="24"/>
        </w:rPr>
        <w:t>.</w:t>
      </w:r>
      <w:r w:rsidR="00934120">
        <w:rPr>
          <w:rFonts w:ascii="Garamond" w:hAnsi="Garamond"/>
          <w:sz w:val="24"/>
          <w:szCs w:val="24"/>
        </w:rPr>
        <w:t>5</w:t>
      </w:r>
      <w:r w:rsidR="006C28F2" w:rsidRPr="00AE3F1B">
        <w:rPr>
          <w:rFonts w:ascii="Garamond" w:hAnsi="Garamond"/>
          <w:sz w:val="24"/>
          <w:szCs w:val="24"/>
        </w:rPr>
        <w:t>.2.1. Urządzenia, instalacje i sieci przyłączone do sieci 6kV, 0,4/0,230kV muszą być przystosowane do warunków zwarciowych w miejscu ich przyłączenia do sieci dystrybucyjnej ID.</w:t>
      </w:r>
    </w:p>
    <w:p w14:paraId="78A1EAA5" w14:textId="4E4745FA" w:rsidR="006C28F2" w:rsidRPr="00AE3F1B" w:rsidRDefault="00913732" w:rsidP="00175586">
      <w:pPr>
        <w:spacing w:line="253" w:lineRule="auto"/>
        <w:ind w:left="567" w:right="-3" w:hanging="567"/>
        <w:jc w:val="left"/>
        <w:rPr>
          <w:rFonts w:ascii="Garamond" w:hAnsi="Garamond"/>
          <w:sz w:val="24"/>
          <w:szCs w:val="24"/>
        </w:rPr>
      </w:pPr>
      <w:r>
        <w:rPr>
          <w:rFonts w:ascii="Garamond" w:hAnsi="Garamond"/>
          <w:sz w:val="24"/>
          <w:szCs w:val="24"/>
        </w:rPr>
        <w:t>II</w:t>
      </w:r>
      <w:r w:rsidR="006C28F2" w:rsidRPr="00AE3F1B">
        <w:rPr>
          <w:rFonts w:ascii="Garamond" w:hAnsi="Garamond"/>
          <w:sz w:val="24"/>
          <w:szCs w:val="24"/>
        </w:rPr>
        <w:t>.</w:t>
      </w:r>
      <w:r w:rsidR="00934120">
        <w:rPr>
          <w:rFonts w:ascii="Garamond" w:hAnsi="Garamond"/>
          <w:sz w:val="24"/>
          <w:szCs w:val="24"/>
        </w:rPr>
        <w:t>5</w:t>
      </w:r>
      <w:r w:rsidR="006C28F2" w:rsidRPr="00AE3F1B">
        <w:rPr>
          <w:rFonts w:ascii="Garamond" w:hAnsi="Garamond"/>
          <w:sz w:val="24"/>
          <w:szCs w:val="24"/>
        </w:rPr>
        <w:t>.2.2. ID Sp. z o.o. określa warunki stosowania elektroenergetycznej automatyki zabezpieczeniowej przez podmioty przyłączone do sieci 6kV 0,4/0,230kV.</w:t>
      </w:r>
    </w:p>
    <w:p w14:paraId="76B3ACA0" w14:textId="45E20F77" w:rsidR="006C28F2" w:rsidRPr="00AE3F1B" w:rsidRDefault="00913732" w:rsidP="00175586">
      <w:pPr>
        <w:spacing w:after="83" w:line="253" w:lineRule="auto"/>
        <w:ind w:left="567" w:right="-3" w:hanging="567"/>
        <w:jc w:val="left"/>
        <w:rPr>
          <w:rFonts w:ascii="Garamond" w:hAnsi="Garamond"/>
          <w:sz w:val="24"/>
          <w:szCs w:val="24"/>
        </w:rPr>
      </w:pPr>
      <w:r>
        <w:rPr>
          <w:rFonts w:ascii="Garamond" w:hAnsi="Garamond"/>
          <w:sz w:val="24"/>
          <w:szCs w:val="24"/>
        </w:rPr>
        <w:t>II</w:t>
      </w:r>
      <w:r w:rsidR="006C28F2" w:rsidRPr="00AE3F1B">
        <w:rPr>
          <w:rFonts w:ascii="Garamond" w:hAnsi="Garamond"/>
          <w:sz w:val="24"/>
          <w:szCs w:val="24"/>
        </w:rPr>
        <w:t>.</w:t>
      </w:r>
      <w:r w:rsidR="00934120">
        <w:rPr>
          <w:rFonts w:ascii="Garamond" w:hAnsi="Garamond"/>
          <w:sz w:val="24"/>
          <w:szCs w:val="24"/>
        </w:rPr>
        <w:t>5</w:t>
      </w:r>
      <w:r w:rsidR="006C28F2" w:rsidRPr="00AE3F1B">
        <w:rPr>
          <w:rFonts w:ascii="Garamond" w:hAnsi="Garamond"/>
          <w:sz w:val="24"/>
          <w:szCs w:val="24"/>
        </w:rPr>
        <w:t xml:space="preserve">.2.3. Wymagania techniczne w zakresie EAZ, dla urządzeń, instalacji i sieci przyłączonych do sieci </w:t>
      </w:r>
      <w:r w:rsidR="002866AF" w:rsidRPr="00AE3F1B">
        <w:rPr>
          <w:rFonts w:ascii="Garamond" w:hAnsi="Garamond"/>
          <w:sz w:val="24"/>
          <w:szCs w:val="24"/>
        </w:rPr>
        <w:br/>
      </w:r>
      <w:r w:rsidR="006C28F2" w:rsidRPr="00AE3F1B">
        <w:rPr>
          <w:rFonts w:ascii="Garamond" w:hAnsi="Garamond"/>
          <w:sz w:val="24"/>
          <w:szCs w:val="24"/>
        </w:rPr>
        <w:t>6kV i 0,4/0,230kV, określone są w pkt.</w:t>
      </w:r>
      <w:r w:rsidR="002866AF" w:rsidRPr="00AE3F1B">
        <w:rPr>
          <w:rFonts w:ascii="Garamond" w:hAnsi="Garamond"/>
          <w:sz w:val="24"/>
          <w:szCs w:val="24"/>
        </w:rPr>
        <w:t>II</w:t>
      </w:r>
      <w:r w:rsidR="006C28F2" w:rsidRPr="00AE3F1B">
        <w:rPr>
          <w:rFonts w:ascii="Garamond" w:hAnsi="Garamond"/>
          <w:sz w:val="24"/>
          <w:szCs w:val="24"/>
        </w:rPr>
        <w:t>.</w:t>
      </w:r>
      <w:r w:rsidR="0037712B">
        <w:rPr>
          <w:rFonts w:ascii="Garamond" w:hAnsi="Garamond"/>
          <w:sz w:val="24"/>
          <w:szCs w:val="24"/>
        </w:rPr>
        <w:t>5</w:t>
      </w:r>
      <w:r w:rsidR="006C28F2" w:rsidRPr="00AE3F1B">
        <w:rPr>
          <w:rFonts w:ascii="Garamond" w:hAnsi="Garamond"/>
          <w:sz w:val="24"/>
          <w:szCs w:val="24"/>
        </w:rPr>
        <w:t>.5.</w:t>
      </w:r>
    </w:p>
    <w:p w14:paraId="65F26A7D" w14:textId="0AC0380E" w:rsidR="006C28F2" w:rsidRDefault="00913732" w:rsidP="00175586">
      <w:pPr>
        <w:keepNext/>
        <w:keepLines/>
        <w:spacing w:after="112" w:line="248" w:lineRule="auto"/>
        <w:ind w:left="567" w:right="-3" w:hanging="567"/>
        <w:jc w:val="left"/>
        <w:outlineLvl w:val="1"/>
        <w:rPr>
          <w:rFonts w:ascii="Garamond" w:hAnsi="Garamond"/>
          <w:sz w:val="24"/>
          <w:szCs w:val="24"/>
        </w:rPr>
      </w:pPr>
      <w:bookmarkStart w:id="16" w:name="_Toc171860220"/>
      <w:bookmarkStart w:id="17" w:name="_Toc171861040"/>
      <w:r>
        <w:rPr>
          <w:rFonts w:ascii="Garamond" w:hAnsi="Garamond"/>
          <w:sz w:val="24"/>
          <w:szCs w:val="24"/>
        </w:rPr>
        <w:t>II</w:t>
      </w:r>
      <w:r w:rsidR="006C28F2" w:rsidRPr="00AE3F1B">
        <w:rPr>
          <w:rFonts w:ascii="Garamond" w:hAnsi="Garamond"/>
          <w:sz w:val="24"/>
          <w:szCs w:val="24"/>
        </w:rPr>
        <w:t>.</w:t>
      </w:r>
      <w:r w:rsidR="00934120">
        <w:rPr>
          <w:rFonts w:ascii="Garamond" w:hAnsi="Garamond"/>
          <w:sz w:val="24"/>
          <w:szCs w:val="24"/>
        </w:rPr>
        <w:t>5</w:t>
      </w:r>
      <w:r w:rsidR="006C28F2" w:rsidRPr="00AE3F1B">
        <w:rPr>
          <w:rFonts w:ascii="Garamond" w:hAnsi="Garamond"/>
          <w:sz w:val="24"/>
          <w:szCs w:val="24"/>
        </w:rPr>
        <w:t xml:space="preserve">.3. </w:t>
      </w:r>
      <w:r w:rsidR="002B666D">
        <w:rPr>
          <w:rFonts w:ascii="Garamond" w:hAnsi="Garamond"/>
          <w:sz w:val="24"/>
          <w:szCs w:val="24"/>
        </w:rPr>
        <w:t>Wymagania techniczne dla jednostek wytwórczych</w:t>
      </w:r>
      <w:bookmarkEnd w:id="16"/>
      <w:bookmarkEnd w:id="17"/>
    </w:p>
    <w:p w14:paraId="22C302A0" w14:textId="78AEF265" w:rsidR="0072158E" w:rsidRPr="00AE3F1B" w:rsidRDefault="0072158E" w:rsidP="0072158E">
      <w:pPr>
        <w:keepNext/>
        <w:keepLines/>
        <w:spacing w:after="112" w:line="248" w:lineRule="auto"/>
        <w:ind w:left="708" w:right="-3" w:hanging="567"/>
        <w:jc w:val="left"/>
        <w:outlineLvl w:val="1"/>
        <w:rPr>
          <w:rFonts w:ascii="Garamond" w:hAnsi="Garamond"/>
          <w:sz w:val="24"/>
          <w:szCs w:val="24"/>
        </w:rPr>
      </w:pPr>
      <w:r>
        <w:rPr>
          <w:rFonts w:ascii="Garamond" w:hAnsi="Garamond"/>
          <w:sz w:val="24"/>
          <w:szCs w:val="24"/>
        </w:rPr>
        <w:t>II.5.3.1. Wymagania techniczne dla jednostek wytwórczych o mocy mniejszej niż 50MW ustalane pomiędzy</w:t>
      </w:r>
      <w:r w:rsidRPr="0072158E">
        <w:rPr>
          <w:rFonts w:ascii="Garamond" w:hAnsi="Garamond"/>
          <w:sz w:val="24"/>
          <w:szCs w:val="24"/>
        </w:rPr>
        <w:t xml:space="preserve"> </w:t>
      </w:r>
      <w:r w:rsidRPr="00AE3F1B">
        <w:rPr>
          <w:rFonts w:ascii="Garamond" w:hAnsi="Garamond"/>
          <w:sz w:val="24"/>
          <w:szCs w:val="24"/>
        </w:rPr>
        <w:t>wytwórcą, a ID Sp. z o.o. z uwzględnieniem szczegółowych wymagań technicznych</w:t>
      </w:r>
      <w:r>
        <w:rPr>
          <w:rFonts w:ascii="Garamond" w:hAnsi="Garamond"/>
          <w:sz w:val="24"/>
          <w:szCs w:val="24"/>
        </w:rPr>
        <w:t xml:space="preserve"> </w:t>
      </w:r>
      <w:r w:rsidRPr="00AE3F1B">
        <w:rPr>
          <w:rFonts w:ascii="Garamond" w:hAnsi="Garamond"/>
          <w:sz w:val="24"/>
          <w:szCs w:val="24"/>
        </w:rPr>
        <w:t>dla jednostek wytwórczych przyłączanych do sieci dystrybucyjnej określonych w niniejszym</w:t>
      </w:r>
      <w:r>
        <w:rPr>
          <w:rFonts w:ascii="Garamond" w:hAnsi="Garamond"/>
          <w:sz w:val="24"/>
          <w:szCs w:val="24"/>
        </w:rPr>
        <w:t xml:space="preserve"> </w:t>
      </w:r>
      <w:r w:rsidRPr="00AE3F1B">
        <w:rPr>
          <w:rFonts w:ascii="Garamond" w:hAnsi="Garamond"/>
          <w:sz w:val="24"/>
          <w:szCs w:val="24"/>
        </w:rPr>
        <w:t xml:space="preserve">rozdziale </w:t>
      </w:r>
      <w:r w:rsidR="005A49CC" w:rsidRPr="005A49CC">
        <w:rPr>
          <w:rFonts w:ascii="Garamond" w:hAnsi="Garamond"/>
          <w:sz w:val="24"/>
          <w:szCs w:val="24"/>
        </w:rPr>
        <w:t>IRiESD</w:t>
      </w:r>
      <w:r w:rsidR="005A49CC">
        <w:rPr>
          <w:rFonts w:ascii="Garamond" w:hAnsi="Garamond"/>
          <w:sz w:val="24"/>
          <w:szCs w:val="24"/>
        </w:rPr>
        <w:t>.</w:t>
      </w:r>
    </w:p>
    <w:p w14:paraId="3FC8FDF9" w14:textId="71DC244E" w:rsidR="006C28F2" w:rsidRPr="00AE3F1B" w:rsidRDefault="00913732" w:rsidP="00175586">
      <w:pPr>
        <w:spacing w:after="153" w:line="253" w:lineRule="auto"/>
        <w:ind w:left="567" w:right="-3" w:hanging="567"/>
        <w:jc w:val="left"/>
        <w:rPr>
          <w:rFonts w:ascii="Garamond" w:hAnsi="Garamond"/>
          <w:sz w:val="24"/>
          <w:szCs w:val="24"/>
        </w:rPr>
      </w:pPr>
      <w:r>
        <w:rPr>
          <w:rFonts w:ascii="Garamond" w:hAnsi="Garamond"/>
          <w:sz w:val="24"/>
          <w:szCs w:val="24"/>
        </w:rPr>
        <w:t>II</w:t>
      </w:r>
      <w:r w:rsidR="006C28F2" w:rsidRPr="00AE3F1B">
        <w:rPr>
          <w:rFonts w:ascii="Garamond" w:hAnsi="Garamond"/>
          <w:sz w:val="24"/>
          <w:szCs w:val="24"/>
        </w:rPr>
        <w:t>.</w:t>
      </w:r>
      <w:r w:rsidR="00934120">
        <w:rPr>
          <w:rFonts w:ascii="Garamond" w:hAnsi="Garamond"/>
          <w:sz w:val="24"/>
          <w:szCs w:val="24"/>
        </w:rPr>
        <w:t>5</w:t>
      </w:r>
      <w:r w:rsidR="006C28F2" w:rsidRPr="00AE3F1B">
        <w:rPr>
          <w:rFonts w:ascii="Garamond" w:hAnsi="Garamond"/>
          <w:sz w:val="24"/>
          <w:szCs w:val="24"/>
        </w:rPr>
        <w:t>.3.2. Wymagania techniczne dla jednostek wytwórczych, o których mowa w pkt.</w:t>
      </w:r>
      <w:r w:rsidR="004F29E3">
        <w:rPr>
          <w:rFonts w:ascii="Garamond" w:hAnsi="Garamond"/>
          <w:sz w:val="24"/>
          <w:szCs w:val="24"/>
        </w:rPr>
        <w:t xml:space="preserve"> II</w:t>
      </w:r>
      <w:r w:rsidR="006C28F2" w:rsidRPr="00AE3F1B">
        <w:rPr>
          <w:rFonts w:ascii="Garamond" w:hAnsi="Garamond"/>
          <w:sz w:val="24"/>
          <w:szCs w:val="24"/>
        </w:rPr>
        <w:t>.</w:t>
      </w:r>
      <w:r w:rsidR="00A81305">
        <w:rPr>
          <w:rFonts w:ascii="Garamond" w:hAnsi="Garamond"/>
          <w:sz w:val="24"/>
          <w:szCs w:val="24"/>
        </w:rPr>
        <w:t>5</w:t>
      </w:r>
      <w:r w:rsidR="006C28F2" w:rsidRPr="00AE3F1B">
        <w:rPr>
          <w:rFonts w:ascii="Garamond" w:hAnsi="Garamond"/>
          <w:sz w:val="24"/>
          <w:szCs w:val="24"/>
        </w:rPr>
        <w:t>.3.1. obejmują, w zależności od potrzeb, wymagania w zakresie:</w:t>
      </w:r>
    </w:p>
    <w:p w14:paraId="1CC41519" w14:textId="77777777" w:rsidR="006C28F2" w:rsidRPr="00AE3F1B" w:rsidRDefault="006C28F2">
      <w:pPr>
        <w:numPr>
          <w:ilvl w:val="0"/>
          <w:numId w:val="29"/>
        </w:numPr>
        <w:spacing w:after="58" w:line="253" w:lineRule="auto"/>
        <w:ind w:left="993" w:right="-3" w:hanging="426"/>
        <w:jc w:val="left"/>
        <w:rPr>
          <w:rFonts w:ascii="Garamond" w:hAnsi="Garamond"/>
          <w:sz w:val="24"/>
          <w:szCs w:val="24"/>
        </w:rPr>
      </w:pPr>
      <w:r w:rsidRPr="00AE3F1B">
        <w:rPr>
          <w:rFonts w:ascii="Garamond" w:hAnsi="Garamond"/>
          <w:sz w:val="24"/>
          <w:szCs w:val="24"/>
        </w:rPr>
        <w:t>układów wzbudzenia,</w:t>
      </w:r>
    </w:p>
    <w:p w14:paraId="296A192E" w14:textId="77777777" w:rsidR="006C28F2" w:rsidRPr="00AE3F1B" w:rsidRDefault="006C28F2">
      <w:pPr>
        <w:numPr>
          <w:ilvl w:val="0"/>
          <w:numId w:val="29"/>
        </w:numPr>
        <w:spacing w:line="253" w:lineRule="auto"/>
        <w:ind w:left="993" w:right="-3" w:hanging="426"/>
        <w:jc w:val="left"/>
        <w:rPr>
          <w:rFonts w:ascii="Garamond" w:hAnsi="Garamond"/>
          <w:sz w:val="24"/>
          <w:szCs w:val="24"/>
        </w:rPr>
      </w:pPr>
      <w:r w:rsidRPr="00AE3F1B">
        <w:rPr>
          <w:rFonts w:ascii="Garamond" w:hAnsi="Garamond"/>
          <w:sz w:val="24"/>
          <w:szCs w:val="24"/>
        </w:rPr>
        <w:t>układów regulacji napięcia,</w:t>
      </w:r>
    </w:p>
    <w:p w14:paraId="6654BCEB" w14:textId="77777777" w:rsidR="006C28F2" w:rsidRPr="00AE3F1B" w:rsidRDefault="006C28F2">
      <w:pPr>
        <w:numPr>
          <w:ilvl w:val="0"/>
          <w:numId w:val="29"/>
        </w:numPr>
        <w:spacing w:after="39" w:line="253" w:lineRule="auto"/>
        <w:ind w:left="993" w:right="-3" w:hanging="426"/>
        <w:jc w:val="left"/>
        <w:rPr>
          <w:rFonts w:ascii="Garamond" w:hAnsi="Garamond"/>
          <w:sz w:val="24"/>
          <w:szCs w:val="24"/>
        </w:rPr>
      </w:pPr>
      <w:r w:rsidRPr="00AE3F1B">
        <w:rPr>
          <w:rFonts w:ascii="Garamond" w:hAnsi="Garamond"/>
          <w:sz w:val="24"/>
          <w:szCs w:val="24"/>
        </w:rPr>
        <w:t>sposobów wykorzystania układów grupowej regulacji napięć jednostek wytwórczych (ARNE),</w:t>
      </w:r>
    </w:p>
    <w:p w14:paraId="5BE080F3" w14:textId="77777777" w:rsidR="006C28F2" w:rsidRPr="00AE3F1B" w:rsidRDefault="006C28F2">
      <w:pPr>
        <w:numPr>
          <w:ilvl w:val="0"/>
          <w:numId w:val="29"/>
        </w:numPr>
        <w:spacing w:after="43" w:line="253" w:lineRule="auto"/>
        <w:ind w:left="993" w:right="-3" w:hanging="426"/>
        <w:jc w:val="left"/>
        <w:rPr>
          <w:rFonts w:ascii="Garamond" w:hAnsi="Garamond"/>
          <w:sz w:val="24"/>
          <w:szCs w:val="24"/>
        </w:rPr>
      </w:pPr>
      <w:r w:rsidRPr="00AE3F1B">
        <w:rPr>
          <w:rFonts w:ascii="Garamond" w:hAnsi="Garamond"/>
          <w:sz w:val="24"/>
          <w:szCs w:val="24"/>
        </w:rPr>
        <w:t>systemów elektroenergetycznej automatyki zabezpieczeniowej,</w:t>
      </w:r>
    </w:p>
    <w:p w14:paraId="4EBFD49A" w14:textId="77777777" w:rsidR="006C28F2" w:rsidRPr="00AE3F1B" w:rsidRDefault="006C28F2">
      <w:pPr>
        <w:numPr>
          <w:ilvl w:val="0"/>
          <w:numId w:val="29"/>
        </w:numPr>
        <w:spacing w:after="39" w:line="253" w:lineRule="auto"/>
        <w:ind w:left="993" w:right="-3" w:hanging="426"/>
        <w:jc w:val="left"/>
        <w:rPr>
          <w:rFonts w:ascii="Garamond" w:hAnsi="Garamond"/>
          <w:sz w:val="24"/>
          <w:szCs w:val="24"/>
        </w:rPr>
      </w:pPr>
      <w:r w:rsidRPr="00AE3F1B">
        <w:rPr>
          <w:rFonts w:ascii="Garamond" w:hAnsi="Garamond"/>
          <w:sz w:val="24"/>
          <w:szCs w:val="24"/>
        </w:rPr>
        <w:t>urządzeń regulacji pierwotnej,</w:t>
      </w:r>
    </w:p>
    <w:p w14:paraId="304BE81F" w14:textId="77777777" w:rsidR="006C28F2" w:rsidRPr="00AE3F1B" w:rsidRDefault="006C28F2">
      <w:pPr>
        <w:numPr>
          <w:ilvl w:val="0"/>
          <w:numId w:val="29"/>
        </w:numPr>
        <w:spacing w:line="253" w:lineRule="auto"/>
        <w:ind w:left="993" w:right="-3" w:hanging="426"/>
        <w:jc w:val="left"/>
        <w:rPr>
          <w:rFonts w:ascii="Garamond" w:hAnsi="Garamond"/>
          <w:sz w:val="24"/>
          <w:szCs w:val="24"/>
        </w:rPr>
      </w:pPr>
      <w:r w:rsidRPr="00AE3F1B">
        <w:rPr>
          <w:rFonts w:ascii="Garamond" w:hAnsi="Garamond"/>
          <w:sz w:val="24"/>
          <w:szCs w:val="24"/>
        </w:rPr>
        <w:t>czasów rozruchu i minimalnej liczby rozruchów w ciągu roku,</w:t>
      </w:r>
    </w:p>
    <w:p w14:paraId="6B14AE5F" w14:textId="77777777" w:rsidR="006C28F2" w:rsidRPr="00AE3F1B" w:rsidRDefault="006C28F2">
      <w:pPr>
        <w:numPr>
          <w:ilvl w:val="0"/>
          <w:numId w:val="29"/>
        </w:numPr>
        <w:spacing w:line="253" w:lineRule="auto"/>
        <w:ind w:left="993" w:right="-3" w:hanging="426"/>
        <w:jc w:val="left"/>
        <w:rPr>
          <w:rFonts w:ascii="Garamond" w:hAnsi="Garamond"/>
          <w:sz w:val="24"/>
          <w:szCs w:val="24"/>
        </w:rPr>
      </w:pPr>
      <w:r w:rsidRPr="00AE3F1B">
        <w:rPr>
          <w:rFonts w:ascii="Garamond" w:hAnsi="Garamond"/>
          <w:sz w:val="24"/>
          <w:szCs w:val="24"/>
        </w:rPr>
        <w:t>ograniczników maksymalnych prądów stojana i wirnika,</w:t>
      </w:r>
    </w:p>
    <w:p w14:paraId="13726CCC" w14:textId="77777777" w:rsidR="006C28F2" w:rsidRPr="00AE3F1B" w:rsidRDefault="006C28F2">
      <w:pPr>
        <w:numPr>
          <w:ilvl w:val="0"/>
          <w:numId w:val="29"/>
        </w:numPr>
        <w:spacing w:after="30" w:line="253" w:lineRule="auto"/>
        <w:ind w:left="993" w:right="-3" w:hanging="426"/>
        <w:jc w:val="left"/>
        <w:rPr>
          <w:rFonts w:ascii="Garamond" w:hAnsi="Garamond"/>
          <w:sz w:val="24"/>
          <w:szCs w:val="24"/>
        </w:rPr>
      </w:pPr>
      <w:r w:rsidRPr="00AE3F1B">
        <w:rPr>
          <w:rFonts w:ascii="Garamond" w:hAnsi="Garamond"/>
          <w:sz w:val="24"/>
          <w:szCs w:val="24"/>
        </w:rPr>
        <w:lastRenderedPageBreak/>
        <w:t>możliwości synchronizacji jednostki wytwórczej z siecią,</w:t>
      </w:r>
    </w:p>
    <w:p w14:paraId="27C4925F" w14:textId="77777777" w:rsidR="006C28F2" w:rsidRPr="00AE3F1B" w:rsidRDefault="006C28F2">
      <w:pPr>
        <w:numPr>
          <w:ilvl w:val="0"/>
          <w:numId w:val="29"/>
        </w:numPr>
        <w:spacing w:line="253" w:lineRule="auto"/>
        <w:ind w:left="993" w:right="-3" w:hanging="426"/>
        <w:jc w:val="left"/>
        <w:rPr>
          <w:rFonts w:ascii="Garamond" w:hAnsi="Garamond"/>
          <w:sz w:val="24"/>
          <w:szCs w:val="24"/>
        </w:rPr>
      </w:pPr>
      <w:r w:rsidRPr="00AE3F1B">
        <w:rPr>
          <w:rFonts w:ascii="Garamond" w:hAnsi="Garamond"/>
          <w:sz w:val="24"/>
          <w:szCs w:val="24"/>
        </w:rPr>
        <w:t>wytwarzanych mocy czynnych i biernych,</w:t>
      </w:r>
    </w:p>
    <w:p w14:paraId="3B300C32" w14:textId="77777777" w:rsidR="006C28F2" w:rsidRPr="00AE3F1B" w:rsidRDefault="006C28F2">
      <w:pPr>
        <w:numPr>
          <w:ilvl w:val="0"/>
          <w:numId w:val="29"/>
        </w:numPr>
        <w:spacing w:after="82" w:line="253" w:lineRule="auto"/>
        <w:ind w:left="993" w:right="-3" w:hanging="426"/>
        <w:jc w:val="left"/>
        <w:rPr>
          <w:rFonts w:ascii="Garamond" w:hAnsi="Garamond"/>
          <w:sz w:val="24"/>
          <w:szCs w:val="24"/>
        </w:rPr>
      </w:pPr>
      <w:r w:rsidRPr="00AE3F1B">
        <w:rPr>
          <w:rFonts w:ascii="Garamond" w:hAnsi="Garamond"/>
          <w:sz w:val="24"/>
          <w:szCs w:val="24"/>
        </w:rPr>
        <w:t>wyposażenia linii blokowych w układy automatyki.</w:t>
      </w:r>
    </w:p>
    <w:p w14:paraId="3D50B128" w14:textId="72EAE1C4" w:rsidR="006C28F2" w:rsidRPr="00AE3F1B" w:rsidRDefault="00913732" w:rsidP="00175586">
      <w:pPr>
        <w:spacing w:line="253" w:lineRule="auto"/>
        <w:ind w:left="567" w:right="-3" w:hanging="567"/>
        <w:jc w:val="left"/>
        <w:rPr>
          <w:rFonts w:ascii="Garamond" w:hAnsi="Garamond"/>
          <w:sz w:val="24"/>
          <w:szCs w:val="24"/>
        </w:rPr>
      </w:pPr>
      <w:r>
        <w:rPr>
          <w:rFonts w:ascii="Garamond" w:hAnsi="Garamond"/>
          <w:sz w:val="24"/>
          <w:szCs w:val="24"/>
        </w:rPr>
        <w:t>II</w:t>
      </w:r>
      <w:r w:rsidR="006C28F2" w:rsidRPr="00AE3F1B">
        <w:rPr>
          <w:rFonts w:ascii="Garamond" w:hAnsi="Garamond"/>
          <w:sz w:val="24"/>
          <w:szCs w:val="24"/>
        </w:rPr>
        <w:t>.</w:t>
      </w:r>
      <w:r w:rsidR="00934120">
        <w:rPr>
          <w:rFonts w:ascii="Garamond" w:hAnsi="Garamond"/>
          <w:sz w:val="24"/>
          <w:szCs w:val="24"/>
        </w:rPr>
        <w:t>5</w:t>
      </w:r>
      <w:r w:rsidR="006C28F2" w:rsidRPr="00AE3F1B">
        <w:rPr>
          <w:rFonts w:ascii="Garamond" w:hAnsi="Garamond"/>
          <w:sz w:val="24"/>
          <w:szCs w:val="24"/>
        </w:rPr>
        <w:t xml:space="preserve">.3.3. Wymagania techniczne w zakresie EAZ, dla jednostek wytwórczych przyłączonych do sieci </w:t>
      </w:r>
      <w:r w:rsidR="007B460D">
        <w:rPr>
          <w:rFonts w:ascii="Garamond" w:hAnsi="Garamond"/>
          <w:sz w:val="24"/>
          <w:szCs w:val="24"/>
        </w:rPr>
        <w:br/>
      </w:r>
      <w:r w:rsidR="006C28F2" w:rsidRPr="00AE3F1B">
        <w:rPr>
          <w:rFonts w:ascii="Garamond" w:hAnsi="Garamond"/>
          <w:sz w:val="24"/>
          <w:szCs w:val="24"/>
        </w:rPr>
        <w:t>6kV i 0,4/0,230kV określone są w pkt.</w:t>
      </w:r>
      <w:r w:rsidR="004F29E3">
        <w:rPr>
          <w:rFonts w:ascii="Garamond" w:hAnsi="Garamond"/>
          <w:sz w:val="24"/>
          <w:szCs w:val="24"/>
        </w:rPr>
        <w:t xml:space="preserve"> II</w:t>
      </w:r>
      <w:r w:rsidR="006C28F2" w:rsidRPr="00AE3F1B">
        <w:rPr>
          <w:rFonts w:ascii="Garamond" w:hAnsi="Garamond"/>
          <w:sz w:val="24"/>
          <w:szCs w:val="24"/>
        </w:rPr>
        <w:t>.</w:t>
      </w:r>
      <w:r w:rsidR="004B0D5B">
        <w:rPr>
          <w:rFonts w:ascii="Garamond" w:hAnsi="Garamond"/>
          <w:sz w:val="24"/>
          <w:szCs w:val="24"/>
        </w:rPr>
        <w:t>5</w:t>
      </w:r>
      <w:r w:rsidR="006C28F2" w:rsidRPr="00AE3F1B">
        <w:rPr>
          <w:rFonts w:ascii="Garamond" w:hAnsi="Garamond"/>
          <w:sz w:val="24"/>
          <w:szCs w:val="24"/>
        </w:rPr>
        <w:t>.5</w:t>
      </w:r>
    </w:p>
    <w:p w14:paraId="5BA920F3" w14:textId="60AE8224" w:rsidR="006C28F2" w:rsidRPr="0072158E" w:rsidRDefault="00913732" w:rsidP="00175586">
      <w:pPr>
        <w:keepNext/>
        <w:keepLines/>
        <w:spacing w:after="115" w:line="248" w:lineRule="auto"/>
        <w:ind w:left="567" w:right="-3" w:hanging="567"/>
        <w:jc w:val="left"/>
        <w:outlineLvl w:val="1"/>
        <w:rPr>
          <w:rFonts w:ascii="Garamond" w:hAnsi="Garamond"/>
          <w:b/>
          <w:bCs/>
          <w:sz w:val="24"/>
          <w:szCs w:val="24"/>
        </w:rPr>
      </w:pPr>
      <w:bookmarkStart w:id="18" w:name="_Toc171860221"/>
      <w:bookmarkStart w:id="19" w:name="_Toc171861041"/>
      <w:r w:rsidRPr="0072158E">
        <w:rPr>
          <w:rFonts w:ascii="Garamond" w:hAnsi="Garamond"/>
          <w:b/>
          <w:bCs/>
          <w:sz w:val="24"/>
          <w:szCs w:val="24"/>
        </w:rPr>
        <w:t>II</w:t>
      </w:r>
      <w:r w:rsidR="006C28F2" w:rsidRPr="0072158E">
        <w:rPr>
          <w:rFonts w:ascii="Garamond" w:hAnsi="Garamond"/>
          <w:b/>
          <w:bCs/>
          <w:sz w:val="24"/>
          <w:szCs w:val="24"/>
        </w:rPr>
        <w:t>.</w:t>
      </w:r>
      <w:r w:rsidR="00934120" w:rsidRPr="0072158E">
        <w:rPr>
          <w:rFonts w:ascii="Garamond" w:hAnsi="Garamond"/>
          <w:b/>
          <w:bCs/>
          <w:sz w:val="24"/>
          <w:szCs w:val="24"/>
        </w:rPr>
        <w:t>5</w:t>
      </w:r>
      <w:r w:rsidR="006C28F2" w:rsidRPr="0072158E">
        <w:rPr>
          <w:rFonts w:ascii="Garamond" w:hAnsi="Garamond"/>
          <w:b/>
          <w:bCs/>
          <w:sz w:val="24"/>
          <w:szCs w:val="24"/>
        </w:rPr>
        <w:t>.4. WYMAGANIA TECHNICZNE DLA LINII BEZPOŚREDNICH</w:t>
      </w:r>
      <w:bookmarkEnd w:id="18"/>
      <w:bookmarkEnd w:id="19"/>
    </w:p>
    <w:p w14:paraId="0261E6D1" w14:textId="63AF1948" w:rsidR="006C28F2" w:rsidRPr="00AE3F1B" w:rsidRDefault="00913732" w:rsidP="00175586">
      <w:pPr>
        <w:spacing w:after="108" w:line="253" w:lineRule="auto"/>
        <w:ind w:left="567" w:right="-3" w:hanging="567"/>
        <w:jc w:val="left"/>
        <w:rPr>
          <w:rFonts w:ascii="Garamond" w:hAnsi="Garamond"/>
          <w:sz w:val="24"/>
          <w:szCs w:val="24"/>
        </w:rPr>
      </w:pPr>
      <w:r>
        <w:rPr>
          <w:rFonts w:ascii="Garamond" w:hAnsi="Garamond"/>
          <w:sz w:val="24"/>
          <w:szCs w:val="24"/>
        </w:rPr>
        <w:t>II</w:t>
      </w:r>
      <w:r w:rsidR="006C28F2" w:rsidRPr="00AE3F1B">
        <w:rPr>
          <w:rFonts w:ascii="Garamond" w:hAnsi="Garamond"/>
          <w:sz w:val="24"/>
          <w:szCs w:val="24"/>
        </w:rPr>
        <w:t>.</w:t>
      </w:r>
      <w:r w:rsidR="00934120">
        <w:rPr>
          <w:rFonts w:ascii="Garamond" w:hAnsi="Garamond"/>
          <w:sz w:val="24"/>
          <w:szCs w:val="24"/>
        </w:rPr>
        <w:t>5</w:t>
      </w:r>
      <w:r w:rsidR="006C28F2" w:rsidRPr="00AE3F1B">
        <w:rPr>
          <w:rFonts w:ascii="Garamond" w:hAnsi="Garamond"/>
          <w:sz w:val="24"/>
          <w:szCs w:val="24"/>
        </w:rPr>
        <w:t>.4.1. Warunkiem przystąpienia do budowy linii bezpośrednich jest wcześniejsze spełnienie wymagań zawartych w ustawie Prawo Energetyczne.</w:t>
      </w:r>
    </w:p>
    <w:p w14:paraId="00E09FEB" w14:textId="2909FC5C" w:rsidR="006C28F2" w:rsidRPr="00AE3F1B" w:rsidRDefault="00913732" w:rsidP="00175586">
      <w:pPr>
        <w:spacing w:after="113" w:line="253" w:lineRule="auto"/>
        <w:ind w:left="567" w:right="-3" w:hanging="567"/>
        <w:jc w:val="left"/>
        <w:rPr>
          <w:rFonts w:ascii="Garamond" w:hAnsi="Garamond"/>
          <w:sz w:val="24"/>
          <w:szCs w:val="24"/>
        </w:rPr>
      </w:pPr>
      <w:r>
        <w:rPr>
          <w:rFonts w:ascii="Garamond" w:hAnsi="Garamond"/>
          <w:sz w:val="24"/>
          <w:szCs w:val="24"/>
        </w:rPr>
        <w:t>II</w:t>
      </w:r>
      <w:r w:rsidR="006C28F2" w:rsidRPr="00AE3F1B">
        <w:rPr>
          <w:rFonts w:ascii="Garamond" w:hAnsi="Garamond"/>
          <w:sz w:val="24"/>
          <w:szCs w:val="24"/>
        </w:rPr>
        <w:t>.</w:t>
      </w:r>
      <w:r w:rsidR="00934120">
        <w:rPr>
          <w:rFonts w:ascii="Garamond" w:hAnsi="Garamond"/>
          <w:sz w:val="24"/>
          <w:szCs w:val="24"/>
        </w:rPr>
        <w:t>5</w:t>
      </w:r>
      <w:r w:rsidR="006C28F2" w:rsidRPr="00AE3F1B">
        <w:rPr>
          <w:rFonts w:ascii="Garamond" w:hAnsi="Garamond"/>
          <w:sz w:val="24"/>
          <w:szCs w:val="24"/>
        </w:rPr>
        <w:t xml:space="preserve">.4.2 Budowa i przyłączanie linii bezpośrednich winno odbywać się z zachowaniem zasad dotyczących przyłączania określonych w pkt. </w:t>
      </w:r>
      <w:r w:rsidR="002866AF" w:rsidRPr="00AE3F1B">
        <w:rPr>
          <w:rFonts w:ascii="Garamond" w:hAnsi="Garamond"/>
          <w:sz w:val="24"/>
          <w:szCs w:val="24"/>
        </w:rPr>
        <w:t>II</w:t>
      </w:r>
      <w:r w:rsidR="006C28F2" w:rsidRPr="00AE3F1B">
        <w:rPr>
          <w:rFonts w:ascii="Garamond" w:hAnsi="Garamond"/>
          <w:sz w:val="24"/>
          <w:szCs w:val="24"/>
        </w:rPr>
        <w:t>.1.</w:t>
      </w:r>
    </w:p>
    <w:p w14:paraId="4463B27F" w14:textId="6AAEBF01" w:rsidR="006C28F2" w:rsidRPr="00AE3F1B" w:rsidRDefault="00913732" w:rsidP="00175586">
      <w:pPr>
        <w:spacing w:line="253" w:lineRule="auto"/>
        <w:ind w:left="567" w:right="-3" w:hanging="567"/>
        <w:jc w:val="left"/>
        <w:rPr>
          <w:rFonts w:ascii="Garamond" w:hAnsi="Garamond"/>
          <w:sz w:val="24"/>
          <w:szCs w:val="24"/>
        </w:rPr>
      </w:pPr>
      <w:r>
        <w:rPr>
          <w:rFonts w:ascii="Garamond" w:hAnsi="Garamond"/>
          <w:sz w:val="24"/>
          <w:szCs w:val="24"/>
        </w:rPr>
        <w:t>II</w:t>
      </w:r>
      <w:r w:rsidR="006C28F2" w:rsidRPr="00AE3F1B">
        <w:rPr>
          <w:rFonts w:ascii="Garamond" w:hAnsi="Garamond"/>
          <w:sz w:val="24"/>
          <w:szCs w:val="24"/>
        </w:rPr>
        <w:t>.</w:t>
      </w:r>
      <w:r w:rsidR="00934120">
        <w:rPr>
          <w:rFonts w:ascii="Garamond" w:hAnsi="Garamond"/>
          <w:sz w:val="24"/>
          <w:szCs w:val="24"/>
        </w:rPr>
        <w:t>5</w:t>
      </w:r>
      <w:r w:rsidR="006C28F2" w:rsidRPr="00AE3F1B">
        <w:rPr>
          <w:rFonts w:ascii="Garamond" w:hAnsi="Garamond"/>
          <w:sz w:val="24"/>
          <w:szCs w:val="24"/>
        </w:rPr>
        <w:t xml:space="preserve">.4.3 W uzasadnionych przypadkach ID może podjąć decyzję o odstąpieniu od konieczności realizacji części lub całości zasad, o których mowa w pkt. </w:t>
      </w:r>
      <w:r w:rsidR="002866AF" w:rsidRPr="00AE3F1B">
        <w:rPr>
          <w:rFonts w:ascii="Garamond" w:hAnsi="Garamond"/>
          <w:sz w:val="24"/>
          <w:szCs w:val="24"/>
        </w:rPr>
        <w:t>II</w:t>
      </w:r>
      <w:r w:rsidR="006C28F2" w:rsidRPr="00AE3F1B">
        <w:rPr>
          <w:rFonts w:ascii="Garamond" w:hAnsi="Garamond"/>
          <w:sz w:val="24"/>
          <w:szCs w:val="24"/>
        </w:rPr>
        <w:t>.</w:t>
      </w:r>
      <w:r w:rsidR="001F2207">
        <w:rPr>
          <w:rFonts w:ascii="Garamond" w:hAnsi="Garamond"/>
          <w:sz w:val="24"/>
          <w:szCs w:val="24"/>
        </w:rPr>
        <w:t>5</w:t>
      </w:r>
      <w:r w:rsidR="006C28F2" w:rsidRPr="00AE3F1B">
        <w:rPr>
          <w:rFonts w:ascii="Garamond" w:hAnsi="Garamond"/>
          <w:sz w:val="24"/>
          <w:szCs w:val="24"/>
        </w:rPr>
        <w:t>.4.2.</w:t>
      </w:r>
    </w:p>
    <w:p w14:paraId="3FC37E7C" w14:textId="03424BBB" w:rsidR="006C28F2" w:rsidRPr="00AE3F1B" w:rsidRDefault="00913732" w:rsidP="00175586">
      <w:pPr>
        <w:spacing w:after="201" w:line="253" w:lineRule="auto"/>
        <w:ind w:left="567" w:right="-3" w:hanging="567"/>
        <w:jc w:val="left"/>
        <w:rPr>
          <w:rFonts w:ascii="Garamond" w:hAnsi="Garamond"/>
          <w:sz w:val="24"/>
          <w:szCs w:val="24"/>
        </w:rPr>
      </w:pPr>
      <w:r>
        <w:rPr>
          <w:rFonts w:ascii="Garamond" w:hAnsi="Garamond"/>
          <w:sz w:val="24"/>
          <w:szCs w:val="24"/>
        </w:rPr>
        <w:t>II</w:t>
      </w:r>
      <w:r w:rsidR="006C28F2" w:rsidRPr="00AE3F1B">
        <w:rPr>
          <w:rFonts w:ascii="Garamond" w:hAnsi="Garamond"/>
          <w:sz w:val="24"/>
          <w:szCs w:val="24"/>
        </w:rPr>
        <w:t>.</w:t>
      </w:r>
      <w:r w:rsidR="00934120">
        <w:rPr>
          <w:rFonts w:ascii="Garamond" w:hAnsi="Garamond"/>
          <w:sz w:val="24"/>
          <w:szCs w:val="24"/>
        </w:rPr>
        <w:t>5</w:t>
      </w:r>
      <w:r w:rsidR="006C28F2" w:rsidRPr="00AE3F1B">
        <w:rPr>
          <w:rFonts w:ascii="Garamond" w:hAnsi="Garamond"/>
          <w:sz w:val="24"/>
          <w:szCs w:val="24"/>
        </w:rPr>
        <w:t xml:space="preserve">.4.4. Linie bezpośrednie oraz łączone za ich pośrednictwem urządzenia, instalacje, sieci oraz jednostki wytwórcze, winny spełniać wymagania techniczne określone w pkt. </w:t>
      </w:r>
      <w:r w:rsidR="002866AF" w:rsidRPr="00AE3F1B">
        <w:rPr>
          <w:rFonts w:ascii="Garamond" w:hAnsi="Garamond"/>
          <w:sz w:val="24"/>
          <w:szCs w:val="24"/>
        </w:rPr>
        <w:t>II</w:t>
      </w:r>
      <w:r w:rsidR="006C28F2" w:rsidRPr="00AE3F1B">
        <w:rPr>
          <w:rFonts w:ascii="Garamond" w:hAnsi="Garamond"/>
          <w:sz w:val="24"/>
          <w:szCs w:val="24"/>
        </w:rPr>
        <w:t>.</w:t>
      </w:r>
      <w:r w:rsidR="001F2207">
        <w:rPr>
          <w:rFonts w:ascii="Garamond" w:hAnsi="Garamond"/>
          <w:sz w:val="24"/>
          <w:szCs w:val="24"/>
        </w:rPr>
        <w:t>5</w:t>
      </w:r>
      <w:r w:rsidR="006C28F2" w:rsidRPr="00AE3F1B">
        <w:rPr>
          <w:rFonts w:ascii="Garamond" w:hAnsi="Garamond"/>
          <w:sz w:val="24"/>
          <w:szCs w:val="24"/>
        </w:rPr>
        <w:t xml:space="preserve">.2 oraz </w:t>
      </w:r>
      <w:r w:rsidR="002866AF" w:rsidRPr="00AE3F1B">
        <w:rPr>
          <w:rFonts w:ascii="Garamond" w:hAnsi="Garamond"/>
          <w:sz w:val="24"/>
          <w:szCs w:val="24"/>
        </w:rPr>
        <w:t>II</w:t>
      </w:r>
      <w:r w:rsidR="006C28F2" w:rsidRPr="00AE3F1B">
        <w:rPr>
          <w:rFonts w:ascii="Garamond" w:hAnsi="Garamond"/>
          <w:sz w:val="24"/>
          <w:szCs w:val="24"/>
        </w:rPr>
        <w:t>.</w:t>
      </w:r>
      <w:r w:rsidR="001F2207">
        <w:rPr>
          <w:rFonts w:ascii="Garamond" w:hAnsi="Garamond"/>
          <w:sz w:val="24"/>
          <w:szCs w:val="24"/>
        </w:rPr>
        <w:t>5</w:t>
      </w:r>
      <w:r w:rsidR="006C28F2" w:rsidRPr="00AE3F1B">
        <w:rPr>
          <w:rFonts w:ascii="Garamond" w:hAnsi="Garamond"/>
          <w:sz w:val="24"/>
          <w:szCs w:val="24"/>
        </w:rPr>
        <w:t>.3.</w:t>
      </w:r>
    </w:p>
    <w:p w14:paraId="49D8254D" w14:textId="3D065B5A" w:rsidR="006C28F2" w:rsidRPr="00AE3F1B" w:rsidRDefault="004F29E3" w:rsidP="00175586">
      <w:pPr>
        <w:spacing w:after="114" w:line="253" w:lineRule="auto"/>
        <w:ind w:left="567" w:right="-3" w:hanging="567"/>
        <w:jc w:val="left"/>
        <w:rPr>
          <w:rFonts w:ascii="Garamond" w:hAnsi="Garamond"/>
          <w:sz w:val="24"/>
          <w:szCs w:val="24"/>
        </w:rPr>
      </w:pPr>
      <w:r>
        <w:rPr>
          <w:rFonts w:ascii="Garamond" w:hAnsi="Garamond"/>
          <w:sz w:val="24"/>
          <w:szCs w:val="24"/>
        </w:rPr>
        <w:t>II</w:t>
      </w:r>
      <w:r w:rsidR="006C28F2" w:rsidRPr="00AE3F1B">
        <w:rPr>
          <w:rFonts w:ascii="Garamond" w:hAnsi="Garamond"/>
          <w:sz w:val="24"/>
          <w:szCs w:val="24"/>
        </w:rPr>
        <w:t>.</w:t>
      </w:r>
      <w:r w:rsidR="00934120">
        <w:rPr>
          <w:rFonts w:ascii="Garamond" w:hAnsi="Garamond"/>
          <w:sz w:val="24"/>
          <w:szCs w:val="24"/>
        </w:rPr>
        <w:t>5</w:t>
      </w:r>
      <w:r w:rsidR="006C28F2" w:rsidRPr="00AE3F1B">
        <w:rPr>
          <w:rFonts w:ascii="Garamond" w:hAnsi="Garamond"/>
          <w:sz w:val="24"/>
          <w:szCs w:val="24"/>
        </w:rPr>
        <w:t xml:space="preserve">.4.5. Linie bezpośrednie należy wyposażać w układy i systemy pomiarowo-rozliczeniowe zgodnie z zapisami pkt. </w:t>
      </w:r>
      <w:r w:rsidR="002866AF" w:rsidRPr="00AE3F1B">
        <w:rPr>
          <w:rFonts w:ascii="Garamond" w:hAnsi="Garamond"/>
          <w:sz w:val="24"/>
          <w:szCs w:val="24"/>
        </w:rPr>
        <w:t>II</w:t>
      </w:r>
      <w:r w:rsidR="006C28F2" w:rsidRPr="00AE3F1B">
        <w:rPr>
          <w:rFonts w:ascii="Garamond" w:hAnsi="Garamond"/>
          <w:sz w:val="24"/>
          <w:szCs w:val="24"/>
        </w:rPr>
        <w:t>.</w:t>
      </w:r>
      <w:r w:rsidR="001F2207">
        <w:rPr>
          <w:rFonts w:ascii="Garamond" w:hAnsi="Garamond"/>
          <w:sz w:val="24"/>
          <w:szCs w:val="24"/>
        </w:rPr>
        <w:t>5</w:t>
      </w:r>
      <w:r w:rsidR="006C28F2" w:rsidRPr="00AE3F1B">
        <w:rPr>
          <w:rFonts w:ascii="Garamond" w:hAnsi="Garamond"/>
          <w:sz w:val="24"/>
          <w:szCs w:val="24"/>
        </w:rPr>
        <w:t>.7.</w:t>
      </w:r>
    </w:p>
    <w:p w14:paraId="041BD50A" w14:textId="6A960DDE" w:rsidR="006C28F2" w:rsidRPr="00AE3F1B" w:rsidRDefault="00913732" w:rsidP="00175586">
      <w:pPr>
        <w:spacing w:after="148" w:line="253" w:lineRule="auto"/>
        <w:ind w:left="567" w:right="-3" w:hanging="567"/>
        <w:jc w:val="left"/>
        <w:rPr>
          <w:rFonts w:ascii="Garamond" w:hAnsi="Garamond"/>
          <w:sz w:val="24"/>
          <w:szCs w:val="24"/>
        </w:rPr>
      </w:pPr>
      <w:r>
        <w:rPr>
          <w:rFonts w:ascii="Garamond" w:hAnsi="Garamond"/>
          <w:sz w:val="24"/>
          <w:szCs w:val="24"/>
        </w:rPr>
        <w:t>II</w:t>
      </w:r>
      <w:r w:rsidR="006C28F2" w:rsidRPr="00AE3F1B">
        <w:rPr>
          <w:rFonts w:ascii="Garamond" w:hAnsi="Garamond"/>
          <w:sz w:val="24"/>
          <w:szCs w:val="24"/>
        </w:rPr>
        <w:t>.</w:t>
      </w:r>
      <w:r w:rsidR="00934120">
        <w:rPr>
          <w:rFonts w:ascii="Garamond" w:hAnsi="Garamond"/>
          <w:sz w:val="24"/>
          <w:szCs w:val="24"/>
        </w:rPr>
        <w:t>5</w:t>
      </w:r>
      <w:r w:rsidR="006C28F2" w:rsidRPr="00AE3F1B">
        <w:rPr>
          <w:rFonts w:ascii="Garamond" w:hAnsi="Garamond"/>
          <w:sz w:val="24"/>
          <w:szCs w:val="24"/>
        </w:rPr>
        <w:t xml:space="preserve">.4.6. ID Sp. z o.o. może określić w warunkach przyłączenia inne lub dodatkowe wymagania techniczne, związane z przyłączaniem linii bezpośrednich niż określone w niniejszej </w:t>
      </w:r>
      <w:r w:rsidR="004B0D5B" w:rsidRPr="004B0D5B">
        <w:rPr>
          <w:rFonts w:ascii="Garamond" w:hAnsi="Garamond"/>
          <w:sz w:val="24"/>
          <w:szCs w:val="24"/>
        </w:rPr>
        <w:t>IRiESD</w:t>
      </w:r>
      <w:r w:rsidR="006C28F2" w:rsidRPr="00AE3F1B">
        <w:rPr>
          <w:rFonts w:ascii="Garamond" w:hAnsi="Garamond"/>
          <w:sz w:val="24"/>
          <w:szCs w:val="24"/>
        </w:rPr>
        <w:t>.</w:t>
      </w:r>
    </w:p>
    <w:p w14:paraId="3AC8A0D9" w14:textId="5C0B7568" w:rsidR="006C28F2" w:rsidRPr="00AE3F1B" w:rsidRDefault="00913732" w:rsidP="00175586">
      <w:pPr>
        <w:spacing w:after="109" w:line="253" w:lineRule="auto"/>
        <w:ind w:left="567" w:right="-3" w:hanging="567"/>
        <w:jc w:val="left"/>
        <w:rPr>
          <w:rFonts w:ascii="Garamond" w:hAnsi="Garamond"/>
          <w:sz w:val="24"/>
          <w:szCs w:val="24"/>
        </w:rPr>
      </w:pPr>
      <w:r>
        <w:rPr>
          <w:rFonts w:ascii="Garamond" w:hAnsi="Garamond"/>
          <w:sz w:val="24"/>
          <w:szCs w:val="24"/>
        </w:rPr>
        <w:t>II</w:t>
      </w:r>
      <w:r w:rsidR="006C28F2" w:rsidRPr="00AE3F1B">
        <w:rPr>
          <w:rFonts w:ascii="Garamond" w:hAnsi="Garamond"/>
          <w:sz w:val="24"/>
          <w:szCs w:val="24"/>
        </w:rPr>
        <w:t>.</w:t>
      </w:r>
      <w:r w:rsidR="00934120">
        <w:rPr>
          <w:rFonts w:ascii="Garamond" w:hAnsi="Garamond"/>
          <w:sz w:val="24"/>
          <w:szCs w:val="24"/>
        </w:rPr>
        <w:t>5</w:t>
      </w:r>
      <w:r w:rsidR="006C28F2" w:rsidRPr="00AE3F1B">
        <w:rPr>
          <w:rFonts w:ascii="Garamond" w:hAnsi="Garamond"/>
          <w:sz w:val="24"/>
          <w:szCs w:val="24"/>
        </w:rPr>
        <w:t xml:space="preserve">.4.7. ID Sp. z o.o. może zdecydować o czasowym wyłączeniu lub załączeniu linii bezpośrednich, </w:t>
      </w:r>
      <w:r w:rsidR="007B460D">
        <w:rPr>
          <w:rFonts w:ascii="Garamond" w:hAnsi="Garamond"/>
          <w:sz w:val="24"/>
          <w:szCs w:val="24"/>
        </w:rPr>
        <w:br/>
      </w:r>
      <w:r w:rsidR="006C28F2" w:rsidRPr="00AE3F1B">
        <w:rPr>
          <w:rFonts w:ascii="Garamond" w:hAnsi="Garamond"/>
          <w:sz w:val="24"/>
          <w:szCs w:val="24"/>
        </w:rPr>
        <w:t>w tym także do pracy w układach innych niż normalny, jeżeli jest to podyktowane względami bezpieczeństwa pracy systemu elektroenergetycznego.</w:t>
      </w:r>
    </w:p>
    <w:p w14:paraId="77667EE9" w14:textId="7A66EE8B" w:rsidR="00DD5AB5" w:rsidRDefault="00913732" w:rsidP="0072158E">
      <w:pPr>
        <w:spacing w:after="114" w:line="253" w:lineRule="auto"/>
        <w:ind w:left="567" w:right="-3" w:hanging="567"/>
        <w:jc w:val="left"/>
        <w:rPr>
          <w:rFonts w:ascii="Garamond" w:hAnsi="Garamond"/>
          <w:sz w:val="24"/>
          <w:szCs w:val="24"/>
        </w:rPr>
      </w:pPr>
      <w:r>
        <w:rPr>
          <w:rFonts w:ascii="Garamond" w:hAnsi="Garamond"/>
          <w:sz w:val="24"/>
          <w:szCs w:val="24"/>
        </w:rPr>
        <w:t>II</w:t>
      </w:r>
      <w:r w:rsidR="006C28F2" w:rsidRPr="00AE3F1B">
        <w:rPr>
          <w:rFonts w:ascii="Garamond" w:hAnsi="Garamond"/>
          <w:sz w:val="24"/>
          <w:szCs w:val="24"/>
        </w:rPr>
        <w:t>.</w:t>
      </w:r>
      <w:r w:rsidR="00934120">
        <w:rPr>
          <w:rFonts w:ascii="Garamond" w:hAnsi="Garamond"/>
          <w:sz w:val="24"/>
          <w:szCs w:val="24"/>
        </w:rPr>
        <w:t>5</w:t>
      </w:r>
      <w:r w:rsidR="006C28F2" w:rsidRPr="00AE3F1B">
        <w:rPr>
          <w:rFonts w:ascii="Garamond" w:hAnsi="Garamond"/>
          <w:sz w:val="24"/>
          <w:szCs w:val="24"/>
        </w:rPr>
        <w:t xml:space="preserve">.4.8. Przyłączanie i praca linii bezpośrednich nie </w:t>
      </w:r>
      <w:r w:rsidR="00934120" w:rsidRPr="00AE3F1B">
        <w:rPr>
          <w:rFonts w:ascii="Garamond" w:hAnsi="Garamond"/>
          <w:sz w:val="24"/>
          <w:szCs w:val="24"/>
        </w:rPr>
        <w:t>mogą</w:t>
      </w:r>
      <w:r w:rsidR="006C28F2" w:rsidRPr="00AE3F1B">
        <w:rPr>
          <w:rFonts w:ascii="Garamond" w:hAnsi="Garamond"/>
          <w:sz w:val="24"/>
          <w:szCs w:val="24"/>
        </w:rPr>
        <w:t xml:space="preserve"> powodować negatywnych skutków dla pozostałych użytkowników sieci dystrybucyjnej ID Sp. z o.o.</w:t>
      </w:r>
    </w:p>
    <w:p w14:paraId="242EC0D8" w14:textId="77777777" w:rsidR="0072158E" w:rsidRPr="00AE3F1B" w:rsidRDefault="0072158E" w:rsidP="0072158E">
      <w:pPr>
        <w:spacing w:after="114" w:line="253" w:lineRule="auto"/>
        <w:ind w:left="567" w:right="-3" w:hanging="567"/>
        <w:jc w:val="left"/>
        <w:rPr>
          <w:rFonts w:ascii="Garamond" w:hAnsi="Garamond"/>
          <w:sz w:val="24"/>
          <w:szCs w:val="24"/>
        </w:rPr>
      </w:pPr>
    </w:p>
    <w:p w14:paraId="37E03FAD" w14:textId="392F040D" w:rsidR="00DD5AB5" w:rsidRPr="007A035D" w:rsidRDefault="0015056D" w:rsidP="00DD5AB5">
      <w:pPr>
        <w:tabs>
          <w:tab w:val="center" w:pos="5414"/>
        </w:tabs>
        <w:spacing w:line="253" w:lineRule="auto"/>
        <w:ind w:left="567" w:right="-3" w:hanging="567"/>
        <w:jc w:val="left"/>
        <w:rPr>
          <w:rFonts w:asciiTheme="majorHAnsi" w:hAnsiTheme="majorHAnsi"/>
          <w:b/>
          <w:bCs/>
          <w:sz w:val="24"/>
          <w:szCs w:val="24"/>
        </w:rPr>
      </w:pPr>
      <w:r w:rsidRPr="007A035D">
        <w:rPr>
          <w:rFonts w:asciiTheme="majorHAnsi" w:hAnsiTheme="majorHAnsi"/>
          <w:b/>
          <w:bCs/>
          <w:sz w:val="24"/>
          <w:szCs w:val="24"/>
        </w:rPr>
        <w:t>II.</w:t>
      </w:r>
      <w:r w:rsidR="00934120">
        <w:rPr>
          <w:rFonts w:asciiTheme="majorHAnsi" w:hAnsiTheme="majorHAnsi"/>
          <w:b/>
          <w:bCs/>
          <w:sz w:val="24"/>
          <w:szCs w:val="24"/>
        </w:rPr>
        <w:t>5</w:t>
      </w:r>
      <w:r w:rsidRPr="007A035D">
        <w:rPr>
          <w:rFonts w:asciiTheme="majorHAnsi" w:hAnsiTheme="majorHAnsi"/>
          <w:b/>
          <w:bCs/>
          <w:sz w:val="24"/>
          <w:szCs w:val="24"/>
        </w:rPr>
        <w:t xml:space="preserve">.5. WYMAGANIA TECHNICZNE DLA UKŁADÓW ELEKTROENERGETYCZNEJ   </w:t>
      </w:r>
      <w:r w:rsidRPr="007A035D">
        <w:rPr>
          <w:rFonts w:asciiTheme="majorHAnsi" w:hAnsiTheme="majorHAnsi"/>
          <w:b/>
          <w:bCs/>
          <w:sz w:val="24"/>
          <w:szCs w:val="24"/>
        </w:rPr>
        <w:br/>
        <w:t xml:space="preserve">  AUTOMATYKI ZABEZPIECZENIOWEJ I URZĄDZEŃ WSPÓŁPRACUJĄCYCH</w:t>
      </w:r>
    </w:p>
    <w:p w14:paraId="438F429E" w14:textId="378534A1" w:rsidR="0015056D" w:rsidRPr="00AE3F1B" w:rsidRDefault="0015056D" w:rsidP="00175586">
      <w:pPr>
        <w:keepNext/>
        <w:keepLines/>
        <w:tabs>
          <w:tab w:val="center" w:pos="2432"/>
        </w:tabs>
        <w:spacing w:after="124" w:line="248" w:lineRule="auto"/>
        <w:ind w:left="567" w:right="-3" w:hanging="567"/>
        <w:jc w:val="left"/>
        <w:outlineLvl w:val="2"/>
        <w:rPr>
          <w:rFonts w:ascii="Garamond" w:hAnsi="Garamond"/>
          <w:sz w:val="24"/>
          <w:szCs w:val="24"/>
        </w:rPr>
      </w:pPr>
      <w:bookmarkStart w:id="20" w:name="_Toc171860222"/>
      <w:bookmarkStart w:id="21" w:name="_Toc171860316"/>
      <w:bookmarkStart w:id="22" w:name="_Toc171861042"/>
      <w:r w:rsidRPr="00AE3F1B">
        <w:rPr>
          <w:rFonts w:ascii="Garamond" w:hAnsi="Garamond"/>
          <w:sz w:val="24"/>
          <w:szCs w:val="24"/>
        </w:rPr>
        <w:t>II.</w:t>
      </w:r>
      <w:r w:rsidR="00934120">
        <w:rPr>
          <w:rFonts w:ascii="Garamond" w:hAnsi="Garamond"/>
          <w:sz w:val="24"/>
          <w:szCs w:val="24"/>
        </w:rPr>
        <w:t>5</w:t>
      </w:r>
      <w:r w:rsidRPr="00AE3F1B">
        <w:rPr>
          <w:rFonts w:ascii="Garamond" w:hAnsi="Garamond"/>
          <w:sz w:val="24"/>
          <w:szCs w:val="24"/>
        </w:rPr>
        <w:t>.5.1.</w:t>
      </w:r>
      <w:r w:rsidR="002B666D">
        <w:rPr>
          <w:rFonts w:ascii="Garamond" w:hAnsi="Garamond"/>
          <w:sz w:val="24"/>
          <w:szCs w:val="24"/>
        </w:rPr>
        <w:t xml:space="preserve"> Wymagania ogólne</w:t>
      </w:r>
      <w:bookmarkEnd w:id="20"/>
      <w:bookmarkEnd w:id="21"/>
      <w:bookmarkEnd w:id="22"/>
    </w:p>
    <w:p w14:paraId="69FB8249" w14:textId="300E2925" w:rsidR="0015056D" w:rsidRPr="00AE3F1B" w:rsidRDefault="0015056D" w:rsidP="00175586">
      <w:pPr>
        <w:spacing w:line="253" w:lineRule="auto"/>
        <w:ind w:left="567" w:right="-3" w:hanging="567"/>
        <w:jc w:val="left"/>
        <w:rPr>
          <w:rFonts w:ascii="Garamond" w:hAnsi="Garamond"/>
          <w:sz w:val="24"/>
          <w:szCs w:val="24"/>
        </w:rPr>
      </w:pPr>
      <w:r w:rsidRPr="00AE3F1B">
        <w:rPr>
          <w:rFonts w:ascii="Garamond" w:hAnsi="Garamond"/>
          <w:sz w:val="24"/>
          <w:szCs w:val="24"/>
        </w:rPr>
        <w:t>II.</w:t>
      </w:r>
      <w:r w:rsidR="00934120">
        <w:rPr>
          <w:rFonts w:ascii="Garamond" w:hAnsi="Garamond"/>
          <w:sz w:val="24"/>
          <w:szCs w:val="24"/>
        </w:rPr>
        <w:t>5</w:t>
      </w:r>
      <w:r w:rsidRPr="00AE3F1B">
        <w:rPr>
          <w:rFonts w:ascii="Garamond" w:hAnsi="Garamond"/>
          <w:sz w:val="24"/>
          <w:szCs w:val="24"/>
        </w:rPr>
        <w:t>.5.1.1 Wymagania zawarte w niniejszym rozdziale dotyczą urządzeń i układów EAZ w obiektach budowanych i modernizowanych.</w:t>
      </w:r>
    </w:p>
    <w:p w14:paraId="11001DEC" w14:textId="77777777" w:rsidR="006008D5" w:rsidRDefault="00913732" w:rsidP="00175586">
      <w:pPr>
        <w:spacing w:after="53" w:line="253" w:lineRule="auto"/>
        <w:ind w:left="567" w:right="-3" w:hanging="567"/>
        <w:jc w:val="left"/>
        <w:rPr>
          <w:rFonts w:ascii="Garamond" w:hAnsi="Garamond"/>
          <w:sz w:val="24"/>
          <w:szCs w:val="24"/>
        </w:rPr>
      </w:pPr>
      <w:r>
        <w:rPr>
          <w:rFonts w:ascii="Garamond" w:hAnsi="Garamond"/>
          <w:sz w:val="24"/>
          <w:szCs w:val="24"/>
        </w:rPr>
        <w:t>II</w:t>
      </w:r>
      <w:r w:rsidR="0015056D" w:rsidRPr="00AE3F1B">
        <w:rPr>
          <w:rFonts w:ascii="Garamond" w:hAnsi="Garamond"/>
          <w:sz w:val="24"/>
          <w:szCs w:val="24"/>
        </w:rPr>
        <w:t>.</w:t>
      </w:r>
      <w:r w:rsidR="00934120">
        <w:rPr>
          <w:rFonts w:ascii="Garamond" w:hAnsi="Garamond"/>
          <w:sz w:val="24"/>
          <w:szCs w:val="24"/>
        </w:rPr>
        <w:t>5</w:t>
      </w:r>
      <w:r w:rsidR="0015056D" w:rsidRPr="00AE3F1B">
        <w:rPr>
          <w:rFonts w:ascii="Garamond" w:hAnsi="Garamond"/>
          <w:sz w:val="24"/>
          <w:szCs w:val="24"/>
        </w:rPr>
        <w:t xml:space="preserve">.5.1.2 Układy i urządzenia EAZ powinny spełniać szczegółowe wymagania określone przez </w:t>
      </w:r>
    </w:p>
    <w:p w14:paraId="70C21105" w14:textId="176B78A5" w:rsidR="0015056D" w:rsidRPr="00AE3F1B" w:rsidRDefault="0015056D" w:rsidP="006008D5">
      <w:pPr>
        <w:spacing w:after="53" w:line="253" w:lineRule="auto"/>
        <w:ind w:left="567" w:right="-3"/>
        <w:jc w:val="left"/>
        <w:rPr>
          <w:rFonts w:ascii="Garamond" w:hAnsi="Garamond"/>
          <w:sz w:val="24"/>
          <w:szCs w:val="24"/>
        </w:rPr>
      </w:pPr>
      <w:r w:rsidRPr="00AE3F1B">
        <w:rPr>
          <w:rFonts w:ascii="Garamond" w:hAnsi="Garamond"/>
          <w:sz w:val="24"/>
          <w:szCs w:val="24"/>
        </w:rPr>
        <w:t>ID</w:t>
      </w:r>
      <w:r w:rsidR="006008D5">
        <w:rPr>
          <w:rFonts w:ascii="Garamond" w:hAnsi="Garamond"/>
          <w:sz w:val="24"/>
          <w:szCs w:val="24"/>
        </w:rPr>
        <w:t>.</w:t>
      </w:r>
      <w:r w:rsidRPr="00AE3F1B">
        <w:rPr>
          <w:rFonts w:ascii="Garamond" w:hAnsi="Garamond"/>
          <w:sz w:val="24"/>
          <w:szCs w:val="24"/>
        </w:rPr>
        <w:t xml:space="preserve"> Dotyczy to urządzeń czynnych, jak i nowoprojektowanych. Układy i urządzenia EAZ nowoprojektowane powinny być na etapie projektów wstępnych techniczno-montażowych uzgadniane i zatwierdzane przez OSD.</w:t>
      </w:r>
    </w:p>
    <w:p w14:paraId="6013D93C" w14:textId="30A8F623" w:rsidR="0015056D" w:rsidRPr="00AE3F1B" w:rsidRDefault="0015056D" w:rsidP="0072158E">
      <w:pPr>
        <w:spacing w:after="201" w:line="253" w:lineRule="auto"/>
        <w:ind w:left="567" w:right="-3"/>
        <w:jc w:val="left"/>
        <w:rPr>
          <w:rFonts w:ascii="Garamond" w:hAnsi="Garamond"/>
          <w:sz w:val="24"/>
          <w:szCs w:val="24"/>
        </w:rPr>
      </w:pPr>
      <w:r w:rsidRPr="00AE3F1B">
        <w:rPr>
          <w:rFonts w:ascii="Garamond" w:hAnsi="Garamond"/>
          <w:sz w:val="24"/>
          <w:szCs w:val="24"/>
        </w:rPr>
        <w:t>Urządzenia i elementy stosowane w EAZ oraz urządzenia i układy współpracujące z EAZ powinny być wykonane zgodnie z aktualnymi normami, a jeśli w danym zakresie brak norm, należy korzystać z aktualnej wiedzy technicznej. Zgodność ta powinna być potwierdzona odpowiednimi dokumentami.</w:t>
      </w:r>
    </w:p>
    <w:p w14:paraId="7481CCB4" w14:textId="515BAA45" w:rsidR="0015056D" w:rsidRPr="00AE3F1B" w:rsidRDefault="00913732" w:rsidP="00175586">
      <w:pPr>
        <w:spacing w:after="195" w:line="253" w:lineRule="auto"/>
        <w:ind w:left="567" w:right="-3" w:hanging="567"/>
        <w:jc w:val="left"/>
        <w:rPr>
          <w:rFonts w:ascii="Garamond" w:hAnsi="Garamond"/>
          <w:sz w:val="24"/>
          <w:szCs w:val="24"/>
        </w:rPr>
      </w:pPr>
      <w:r>
        <w:rPr>
          <w:rFonts w:ascii="Garamond" w:hAnsi="Garamond"/>
          <w:sz w:val="24"/>
          <w:szCs w:val="24"/>
        </w:rPr>
        <w:t>II</w:t>
      </w:r>
      <w:r w:rsidR="0015056D" w:rsidRPr="00AE3F1B">
        <w:rPr>
          <w:rFonts w:ascii="Garamond" w:hAnsi="Garamond"/>
          <w:sz w:val="24"/>
          <w:szCs w:val="24"/>
        </w:rPr>
        <w:t>.</w:t>
      </w:r>
      <w:r w:rsidR="00934120">
        <w:rPr>
          <w:rFonts w:ascii="Garamond" w:hAnsi="Garamond"/>
          <w:sz w:val="24"/>
          <w:szCs w:val="24"/>
        </w:rPr>
        <w:t>5</w:t>
      </w:r>
      <w:r w:rsidR="0015056D" w:rsidRPr="00AE3F1B">
        <w:rPr>
          <w:rFonts w:ascii="Garamond" w:hAnsi="Garamond"/>
          <w:sz w:val="24"/>
          <w:szCs w:val="24"/>
        </w:rPr>
        <w:t>.5.1.3. Czasy działania układów EAZ muszą spełniać wymagania aktualnego rozporządzenia dotyczącego funkcjonowania systemu elektroenergetycznego.</w:t>
      </w:r>
    </w:p>
    <w:p w14:paraId="32970389" w14:textId="49CE8214" w:rsidR="0015056D" w:rsidRPr="00AE3F1B" w:rsidRDefault="00913732" w:rsidP="00175586">
      <w:pPr>
        <w:spacing w:line="253" w:lineRule="auto"/>
        <w:ind w:left="567" w:right="-3" w:hanging="567"/>
        <w:jc w:val="left"/>
        <w:rPr>
          <w:rFonts w:ascii="Garamond" w:hAnsi="Garamond"/>
          <w:sz w:val="24"/>
          <w:szCs w:val="24"/>
        </w:rPr>
      </w:pPr>
      <w:r>
        <w:rPr>
          <w:rFonts w:ascii="Garamond" w:hAnsi="Garamond"/>
          <w:sz w:val="24"/>
          <w:szCs w:val="24"/>
        </w:rPr>
        <w:lastRenderedPageBreak/>
        <w:t>II</w:t>
      </w:r>
      <w:r w:rsidR="0015056D" w:rsidRPr="00AE3F1B">
        <w:rPr>
          <w:rFonts w:ascii="Garamond" w:hAnsi="Garamond"/>
          <w:sz w:val="24"/>
          <w:szCs w:val="24"/>
        </w:rPr>
        <w:t>.</w:t>
      </w:r>
      <w:r w:rsidR="00934120">
        <w:rPr>
          <w:rFonts w:ascii="Garamond" w:hAnsi="Garamond"/>
          <w:sz w:val="24"/>
          <w:szCs w:val="24"/>
        </w:rPr>
        <w:t>5</w:t>
      </w:r>
      <w:r w:rsidR="0015056D" w:rsidRPr="00AE3F1B">
        <w:rPr>
          <w:rFonts w:ascii="Garamond" w:hAnsi="Garamond"/>
          <w:sz w:val="24"/>
          <w:szCs w:val="24"/>
        </w:rPr>
        <w:t>.5.1.4. Warunki przyłączenia wydawane podmiotom przyłączanym do sieci powinny zawierać co najmniej rodzaj i usytuowanie układu zabezpieczeniowego, warunki współpracy, dane techniczne i inne wymagania w zakresie EAZ.</w:t>
      </w:r>
    </w:p>
    <w:p w14:paraId="666F7935" w14:textId="322698F9" w:rsidR="0015056D" w:rsidRPr="00AE3F1B" w:rsidRDefault="00913732" w:rsidP="00175586">
      <w:pPr>
        <w:spacing w:after="198" w:line="253" w:lineRule="auto"/>
        <w:ind w:left="567" w:right="-3" w:hanging="567"/>
        <w:jc w:val="left"/>
        <w:rPr>
          <w:rFonts w:ascii="Garamond" w:hAnsi="Garamond"/>
          <w:sz w:val="24"/>
          <w:szCs w:val="24"/>
        </w:rPr>
      </w:pPr>
      <w:r>
        <w:rPr>
          <w:rFonts w:ascii="Garamond" w:hAnsi="Garamond"/>
          <w:sz w:val="24"/>
          <w:szCs w:val="24"/>
        </w:rPr>
        <w:t>II</w:t>
      </w:r>
      <w:r w:rsidR="0015056D" w:rsidRPr="00AE3F1B">
        <w:rPr>
          <w:rFonts w:ascii="Garamond" w:hAnsi="Garamond"/>
          <w:sz w:val="24"/>
          <w:szCs w:val="24"/>
        </w:rPr>
        <w:t>.</w:t>
      </w:r>
      <w:r w:rsidR="00934120">
        <w:rPr>
          <w:rFonts w:ascii="Garamond" w:hAnsi="Garamond"/>
          <w:sz w:val="24"/>
          <w:szCs w:val="24"/>
        </w:rPr>
        <w:t>5</w:t>
      </w:r>
      <w:r w:rsidR="0015056D" w:rsidRPr="00AE3F1B">
        <w:rPr>
          <w:rFonts w:ascii="Garamond" w:hAnsi="Garamond"/>
          <w:sz w:val="24"/>
          <w:szCs w:val="24"/>
        </w:rPr>
        <w:t>.5.1.5.</w:t>
      </w:r>
      <w:r w:rsidR="007B460D">
        <w:rPr>
          <w:rFonts w:ascii="Garamond" w:hAnsi="Garamond"/>
          <w:sz w:val="24"/>
          <w:szCs w:val="24"/>
        </w:rPr>
        <w:t xml:space="preserve"> </w:t>
      </w:r>
      <w:r w:rsidR="0015056D" w:rsidRPr="00AE3F1B">
        <w:rPr>
          <w:rFonts w:ascii="Garamond" w:hAnsi="Garamond"/>
          <w:sz w:val="24"/>
          <w:szCs w:val="24"/>
        </w:rPr>
        <w:t>ID określa warunki stosowania EAZ przez podmioty przyłączone do sieci dystrybucyjnej.</w:t>
      </w:r>
    </w:p>
    <w:p w14:paraId="5D89C94F" w14:textId="31C8952D" w:rsidR="0015056D" w:rsidRPr="00AE3F1B" w:rsidRDefault="00913732" w:rsidP="00175586">
      <w:pPr>
        <w:spacing w:line="253" w:lineRule="auto"/>
        <w:ind w:left="567" w:right="-3" w:hanging="567"/>
        <w:jc w:val="left"/>
        <w:rPr>
          <w:rFonts w:ascii="Garamond" w:hAnsi="Garamond"/>
          <w:sz w:val="24"/>
          <w:szCs w:val="24"/>
        </w:rPr>
      </w:pPr>
      <w:r>
        <w:rPr>
          <w:rFonts w:ascii="Garamond" w:hAnsi="Garamond"/>
          <w:sz w:val="24"/>
          <w:szCs w:val="24"/>
        </w:rPr>
        <w:t>II</w:t>
      </w:r>
      <w:r w:rsidR="0015056D" w:rsidRPr="00AE3F1B">
        <w:rPr>
          <w:rFonts w:ascii="Garamond" w:hAnsi="Garamond"/>
          <w:sz w:val="24"/>
          <w:szCs w:val="24"/>
        </w:rPr>
        <w:t>.</w:t>
      </w:r>
      <w:r w:rsidR="00934120">
        <w:rPr>
          <w:rFonts w:ascii="Garamond" w:hAnsi="Garamond"/>
          <w:sz w:val="24"/>
          <w:szCs w:val="24"/>
        </w:rPr>
        <w:t>5</w:t>
      </w:r>
      <w:r w:rsidR="0015056D" w:rsidRPr="00AE3F1B">
        <w:rPr>
          <w:rFonts w:ascii="Garamond" w:hAnsi="Garamond"/>
          <w:sz w:val="24"/>
          <w:szCs w:val="24"/>
        </w:rPr>
        <w:t>.5.1.6. ID dokonuje koordynacji nastawień zabezpieczeń w stacjach podmiotów prz</w:t>
      </w:r>
      <w:r w:rsidR="00A46ABD" w:rsidRPr="00AE3F1B">
        <w:rPr>
          <w:rFonts w:ascii="Garamond" w:hAnsi="Garamond"/>
          <w:sz w:val="24"/>
          <w:szCs w:val="24"/>
        </w:rPr>
        <w:t>ył</w:t>
      </w:r>
      <w:r w:rsidR="0015056D" w:rsidRPr="00AE3F1B">
        <w:rPr>
          <w:rFonts w:ascii="Garamond" w:hAnsi="Garamond"/>
          <w:sz w:val="24"/>
          <w:szCs w:val="24"/>
        </w:rPr>
        <w:t>ączanych i przyłączonych. Podmioty te zobowiązane są do aktualizacji danych o wyposażeniu w układy EAZ w trakcie eksploatacji przyłączonego obiektu w przypadku każdorazowej ich zmiany.</w:t>
      </w:r>
    </w:p>
    <w:p w14:paraId="09FCBA7D" w14:textId="2E29BBAD" w:rsidR="0015056D" w:rsidRPr="00AE3F1B" w:rsidRDefault="00913732" w:rsidP="00175586">
      <w:pPr>
        <w:spacing w:after="181" w:line="253" w:lineRule="auto"/>
        <w:ind w:left="567" w:right="-3" w:hanging="567"/>
        <w:jc w:val="left"/>
        <w:rPr>
          <w:rFonts w:ascii="Garamond" w:hAnsi="Garamond"/>
          <w:sz w:val="24"/>
          <w:szCs w:val="24"/>
        </w:rPr>
      </w:pPr>
      <w:r>
        <w:rPr>
          <w:rFonts w:ascii="Garamond" w:hAnsi="Garamond"/>
          <w:sz w:val="24"/>
          <w:szCs w:val="24"/>
        </w:rPr>
        <w:t>II</w:t>
      </w:r>
      <w:r w:rsidR="0015056D" w:rsidRPr="00AE3F1B">
        <w:rPr>
          <w:rFonts w:ascii="Garamond" w:hAnsi="Garamond"/>
          <w:sz w:val="24"/>
          <w:szCs w:val="24"/>
        </w:rPr>
        <w:t>.</w:t>
      </w:r>
      <w:r w:rsidR="00934120">
        <w:rPr>
          <w:rFonts w:ascii="Garamond" w:hAnsi="Garamond"/>
          <w:sz w:val="24"/>
          <w:szCs w:val="24"/>
        </w:rPr>
        <w:t>5</w:t>
      </w:r>
      <w:r w:rsidR="0015056D" w:rsidRPr="00AE3F1B">
        <w:rPr>
          <w:rFonts w:ascii="Garamond" w:hAnsi="Garamond"/>
          <w:sz w:val="24"/>
          <w:szCs w:val="24"/>
        </w:rPr>
        <w:t>.5.1.7. EAZ powinna zapewniać odpowiednią szybkość działania, czułość w wykrywaniu zakłóceń, wybiórczość, selektywność oraz niezawodność.</w:t>
      </w:r>
    </w:p>
    <w:p w14:paraId="3F8AF845" w14:textId="65C0B760" w:rsidR="0015056D" w:rsidRPr="00AE3F1B" w:rsidRDefault="00913732" w:rsidP="00175586">
      <w:pPr>
        <w:spacing w:after="176" w:line="253" w:lineRule="auto"/>
        <w:ind w:left="567" w:right="-3" w:hanging="567"/>
        <w:jc w:val="left"/>
        <w:rPr>
          <w:rFonts w:ascii="Garamond" w:hAnsi="Garamond"/>
          <w:sz w:val="24"/>
          <w:szCs w:val="24"/>
        </w:rPr>
      </w:pPr>
      <w:r>
        <w:rPr>
          <w:rFonts w:ascii="Garamond" w:hAnsi="Garamond"/>
          <w:sz w:val="24"/>
          <w:szCs w:val="24"/>
        </w:rPr>
        <w:t>II</w:t>
      </w:r>
      <w:r w:rsidR="0015056D" w:rsidRPr="00AE3F1B">
        <w:rPr>
          <w:rFonts w:ascii="Garamond" w:hAnsi="Garamond"/>
          <w:sz w:val="24"/>
          <w:szCs w:val="24"/>
        </w:rPr>
        <w:t>.</w:t>
      </w:r>
      <w:r w:rsidR="00934120">
        <w:rPr>
          <w:rFonts w:ascii="Garamond" w:hAnsi="Garamond"/>
          <w:sz w:val="24"/>
          <w:szCs w:val="24"/>
        </w:rPr>
        <w:t>5</w:t>
      </w:r>
      <w:r w:rsidR="0015056D" w:rsidRPr="00AE3F1B">
        <w:rPr>
          <w:rFonts w:ascii="Garamond" w:hAnsi="Garamond"/>
          <w:sz w:val="24"/>
          <w:szCs w:val="24"/>
        </w:rPr>
        <w:t xml:space="preserve">.5.1.8. Nastawy EAZ powinny zapewniać jak najkrótsze czasy wyłączania zakłóceń przy zapewnieniu odpowiedniej wybiórczości i selektywności wyłączenia. Zabrania się wydłużania czasów działania zabezpieczeń działających na wyłączenie ponad wartości wynikające z potrzeb selektywności, wybiórczości i odstrojenia od stanów nieustalonych lub innych zjawisk grożących zbędnymi </w:t>
      </w:r>
      <w:r w:rsidR="003D2D56" w:rsidRPr="00AE3F1B">
        <w:rPr>
          <w:rFonts w:ascii="Garamond" w:hAnsi="Garamond"/>
          <w:sz w:val="24"/>
          <w:szCs w:val="24"/>
        </w:rPr>
        <w:t>działaniami</w:t>
      </w:r>
      <w:r w:rsidR="0015056D" w:rsidRPr="00AE3F1B">
        <w:rPr>
          <w:rFonts w:ascii="Garamond" w:hAnsi="Garamond"/>
          <w:sz w:val="24"/>
          <w:szCs w:val="24"/>
        </w:rPr>
        <w:t>. W celu zapewnienia selektywności zaleca się stopniowanie nastaw czasowych zabezpieczeń co 0,3 — 0,5 s. Przy stosowaniu zabezpieczeń cyfrowych zaleca się wartość 0,3 s.</w:t>
      </w:r>
    </w:p>
    <w:p w14:paraId="51634502" w14:textId="3152C16D" w:rsidR="0015056D" w:rsidRPr="00AE3F1B" w:rsidRDefault="00913732" w:rsidP="00175586">
      <w:pPr>
        <w:spacing w:line="226" w:lineRule="auto"/>
        <w:ind w:left="567" w:right="-3" w:hanging="567"/>
        <w:jc w:val="left"/>
        <w:rPr>
          <w:rFonts w:ascii="Garamond" w:hAnsi="Garamond"/>
          <w:sz w:val="24"/>
          <w:szCs w:val="24"/>
        </w:rPr>
      </w:pPr>
      <w:r>
        <w:rPr>
          <w:rFonts w:ascii="Garamond" w:hAnsi="Garamond"/>
          <w:sz w:val="24"/>
          <w:szCs w:val="24"/>
        </w:rPr>
        <w:t>II</w:t>
      </w:r>
      <w:r w:rsidR="0015056D" w:rsidRPr="00AE3F1B">
        <w:rPr>
          <w:rFonts w:ascii="Garamond" w:hAnsi="Garamond"/>
          <w:sz w:val="24"/>
          <w:szCs w:val="24"/>
        </w:rPr>
        <w:t>.</w:t>
      </w:r>
      <w:r w:rsidR="00934120">
        <w:rPr>
          <w:rFonts w:ascii="Garamond" w:hAnsi="Garamond"/>
          <w:sz w:val="24"/>
          <w:szCs w:val="24"/>
        </w:rPr>
        <w:t>5</w:t>
      </w:r>
      <w:r w:rsidR="0015056D" w:rsidRPr="00AE3F1B">
        <w:rPr>
          <w:rFonts w:ascii="Garamond" w:hAnsi="Garamond"/>
          <w:sz w:val="24"/>
          <w:szCs w:val="24"/>
        </w:rPr>
        <w:t>.5.1.9.</w:t>
      </w:r>
      <w:r w:rsidR="007B460D">
        <w:rPr>
          <w:rFonts w:ascii="Garamond" w:hAnsi="Garamond"/>
          <w:sz w:val="24"/>
          <w:szCs w:val="24"/>
        </w:rPr>
        <w:t xml:space="preserve"> </w:t>
      </w:r>
      <w:r w:rsidR="0015056D" w:rsidRPr="00AE3F1B">
        <w:rPr>
          <w:rFonts w:ascii="Garamond" w:hAnsi="Garamond"/>
          <w:sz w:val="24"/>
          <w:szCs w:val="24"/>
        </w:rPr>
        <w:t>Należy tak dobierać zabezpieczenia i ich nastawy, aby każde zabezpieczenie było rezerwowane</w:t>
      </w:r>
      <w:r w:rsidR="00934120">
        <w:rPr>
          <w:rFonts w:ascii="Garamond" w:hAnsi="Garamond"/>
          <w:sz w:val="24"/>
          <w:szCs w:val="24"/>
        </w:rPr>
        <w:t xml:space="preserve"> </w:t>
      </w:r>
      <w:r w:rsidR="0015056D" w:rsidRPr="00AE3F1B">
        <w:rPr>
          <w:rFonts w:ascii="Garamond" w:hAnsi="Garamond"/>
          <w:sz w:val="24"/>
          <w:szCs w:val="24"/>
        </w:rPr>
        <w:t>przez</w:t>
      </w:r>
      <w:r w:rsidR="00934120">
        <w:rPr>
          <w:rFonts w:ascii="Garamond" w:hAnsi="Garamond"/>
          <w:sz w:val="24"/>
          <w:szCs w:val="24"/>
        </w:rPr>
        <w:t xml:space="preserve"> </w:t>
      </w:r>
      <w:r w:rsidR="0015056D" w:rsidRPr="00AE3F1B">
        <w:rPr>
          <w:rFonts w:ascii="Garamond" w:hAnsi="Garamond"/>
          <w:sz w:val="24"/>
          <w:szCs w:val="24"/>
        </w:rPr>
        <w:t>zabezpieczenia</w:t>
      </w:r>
      <w:r w:rsidR="00934120">
        <w:rPr>
          <w:rFonts w:ascii="Garamond" w:hAnsi="Garamond"/>
          <w:sz w:val="24"/>
          <w:szCs w:val="24"/>
        </w:rPr>
        <w:t xml:space="preserve"> </w:t>
      </w:r>
      <w:r w:rsidR="0015056D" w:rsidRPr="00AE3F1B">
        <w:rPr>
          <w:rFonts w:ascii="Garamond" w:hAnsi="Garamond"/>
          <w:sz w:val="24"/>
          <w:szCs w:val="24"/>
        </w:rPr>
        <w:t>sąsiednich</w:t>
      </w:r>
      <w:r w:rsidR="00934120">
        <w:rPr>
          <w:rFonts w:ascii="Garamond" w:hAnsi="Garamond"/>
          <w:sz w:val="24"/>
          <w:szCs w:val="24"/>
        </w:rPr>
        <w:t xml:space="preserve"> </w:t>
      </w:r>
      <w:r w:rsidR="0015056D" w:rsidRPr="00AE3F1B">
        <w:rPr>
          <w:rFonts w:ascii="Garamond" w:hAnsi="Garamond"/>
          <w:sz w:val="24"/>
          <w:szCs w:val="24"/>
        </w:rPr>
        <w:t>elementów</w:t>
      </w:r>
      <w:r w:rsidR="00934120">
        <w:rPr>
          <w:rFonts w:ascii="Garamond" w:hAnsi="Garamond"/>
          <w:sz w:val="24"/>
          <w:szCs w:val="24"/>
        </w:rPr>
        <w:t xml:space="preserve"> </w:t>
      </w:r>
      <w:r w:rsidR="0015056D" w:rsidRPr="00AE3F1B">
        <w:rPr>
          <w:rFonts w:ascii="Garamond" w:hAnsi="Garamond"/>
          <w:sz w:val="24"/>
          <w:szCs w:val="24"/>
        </w:rPr>
        <w:t>systemu elektroenergetycznego. Wymaganie obowiązuje także wówczas, gdy w danym punkcie jest zainstalowane zabezpieczenie podstawowe i rezerwowe.</w:t>
      </w:r>
      <w:r w:rsidR="00316F85" w:rsidRPr="00AE3F1B">
        <w:rPr>
          <w:rFonts w:ascii="Garamond" w:hAnsi="Garamond"/>
          <w:sz w:val="24"/>
          <w:szCs w:val="24"/>
        </w:rPr>
        <w:br/>
      </w:r>
    </w:p>
    <w:p w14:paraId="685B44AD" w14:textId="199EDD2F" w:rsidR="0015056D" w:rsidRPr="00AE3F1B" w:rsidRDefault="00913732" w:rsidP="00175586">
      <w:pPr>
        <w:spacing w:after="84" w:line="226" w:lineRule="auto"/>
        <w:ind w:left="567" w:right="-3" w:hanging="567"/>
        <w:jc w:val="left"/>
        <w:rPr>
          <w:rFonts w:ascii="Garamond" w:hAnsi="Garamond"/>
          <w:sz w:val="24"/>
          <w:szCs w:val="24"/>
        </w:rPr>
      </w:pPr>
      <w:r>
        <w:rPr>
          <w:rFonts w:ascii="Garamond" w:hAnsi="Garamond"/>
          <w:sz w:val="24"/>
          <w:szCs w:val="24"/>
        </w:rPr>
        <w:t>II</w:t>
      </w:r>
      <w:r w:rsidR="0015056D" w:rsidRPr="00AE3F1B">
        <w:rPr>
          <w:rFonts w:ascii="Garamond" w:hAnsi="Garamond"/>
          <w:sz w:val="24"/>
          <w:szCs w:val="24"/>
        </w:rPr>
        <w:t>.</w:t>
      </w:r>
      <w:r w:rsidR="00934120">
        <w:rPr>
          <w:rFonts w:ascii="Garamond" w:hAnsi="Garamond"/>
          <w:sz w:val="24"/>
          <w:szCs w:val="24"/>
        </w:rPr>
        <w:t>5</w:t>
      </w:r>
      <w:r w:rsidR="0015056D" w:rsidRPr="00AE3F1B">
        <w:rPr>
          <w:rFonts w:ascii="Garamond" w:hAnsi="Garamond"/>
          <w:sz w:val="24"/>
          <w:szCs w:val="24"/>
        </w:rPr>
        <w:t>.5.1.10.</w:t>
      </w:r>
      <w:r w:rsidR="007B460D">
        <w:rPr>
          <w:rFonts w:ascii="Garamond" w:hAnsi="Garamond"/>
          <w:sz w:val="24"/>
          <w:szCs w:val="24"/>
        </w:rPr>
        <w:t xml:space="preserve"> </w:t>
      </w:r>
      <w:r w:rsidR="0015056D" w:rsidRPr="00AE3F1B">
        <w:rPr>
          <w:rFonts w:ascii="Garamond" w:hAnsi="Garamond"/>
          <w:sz w:val="24"/>
          <w:szCs w:val="24"/>
        </w:rPr>
        <w:t xml:space="preserve">Zabezpieczenia podstawowe i rezerwowe powinny współpracować z oddzielnymi: obwodami pomiarowymi prądowymi i napięciowymi, obwodami napięcia pomocniczego, sterowniczymi oraz obwodami wyłączającymi (cewkami wyłączającymi). Jeżeli w </w:t>
      </w:r>
      <w:r w:rsidR="00DA5AD6" w:rsidRPr="00DA5AD6">
        <w:rPr>
          <w:rFonts w:ascii="Garamond" w:hAnsi="Garamond"/>
          <w:sz w:val="24"/>
          <w:szCs w:val="24"/>
        </w:rPr>
        <w:t>IRiESD</w:t>
      </w:r>
      <w:r w:rsidR="0015056D" w:rsidRPr="00AE3F1B">
        <w:rPr>
          <w:rFonts w:ascii="Garamond" w:hAnsi="Garamond"/>
          <w:sz w:val="24"/>
          <w:szCs w:val="24"/>
        </w:rPr>
        <w:t xml:space="preserve"> mowa jest o zabezpieczeniu podstawowym i rezerwowym, to rozumie się przez to dwa oddzielne i niezależne urządzenia.</w:t>
      </w:r>
    </w:p>
    <w:p w14:paraId="106690B8" w14:textId="6409B130" w:rsidR="0015056D" w:rsidRPr="00AE3F1B" w:rsidRDefault="00913732" w:rsidP="00175586">
      <w:pPr>
        <w:spacing w:after="170" w:line="253" w:lineRule="auto"/>
        <w:ind w:left="567" w:right="-3" w:hanging="567"/>
        <w:jc w:val="left"/>
        <w:rPr>
          <w:rFonts w:ascii="Garamond" w:hAnsi="Garamond"/>
          <w:sz w:val="24"/>
          <w:szCs w:val="24"/>
        </w:rPr>
      </w:pPr>
      <w:r>
        <w:rPr>
          <w:rFonts w:ascii="Garamond" w:hAnsi="Garamond"/>
          <w:sz w:val="24"/>
          <w:szCs w:val="24"/>
        </w:rPr>
        <w:t>II</w:t>
      </w:r>
      <w:r w:rsidR="0015056D" w:rsidRPr="00AE3F1B">
        <w:rPr>
          <w:rFonts w:ascii="Garamond" w:hAnsi="Garamond"/>
          <w:sz w:val="24"/>
          <w:szCs w:val="24"/>
        </w:rPr>
        <w:t>.</w:t>
      </w:r>
      <w:r w:rsidR="00934120">
        <w:rPr>
          <w:rFonts w:ascii="Garamond" w:hAnsi="Garamond"/>
          <w:sz w:val="24"/>
          <w:szCs w:val="24"/>
        </w:rPr>
        <w:t>5</w:t>
      </w:r>
      <w:r w:rsidR="0015056D" w:rsidRPr="00AE3F1B">
        <w:rPr>
          <w:rFonts w:ascii="Garamond" w:hAnsi="Garamond"/>
          <w:sz w:val="24"/>
          <w:szCs w:val="24"/>
        </w:rPr>
        <w:t>.5.1.11 Źródła napięcia pomocniczego (baterie akumulatorów) w obiektach wyposażonych w EAZ powinny przy braku innego zasilania zapewniać ich pracę w czasie nie krótszym niż 8 godzin.</w:t>
      </w:r>
    </w:p>
    <w:p w14:paraId="49CA9D96" w14:textId="2FC5B0E3" w:rsidR="0015056D" w:rsidRPr="00AE3F1B" w:rsidRDefault="00913732" w:rsidP="00175586">
      <w:pPr>
        <w:spacing w:after="194" w:line="253" w:lineRule="auto"/>
        <w:ind w:left="567" w:right="-3" w:hanging="567"/>
        <w:jc w:val="left"/>
        <w:rPr>
          <w:rFonts w:ascii="Garamond" w:hAnsi="Garamond"/>
          <w:sz w:val="24"/>
          <w:szCs w:val="24"/>
        </w:rPr>
      </w:pPr>
      <w:r>
        <w:rPr>
          <w:rFonts w:ascii="Garamond" w:hAnsi="Garamond"/>
          <w:sz w:val="24"/>
          <w:szCs w:val="24"/>
        </w:rPr>
        <w:t>II</w:t>
      </w:r>
      <w:r w:rsidR="0015056D" w:rsidRPr="00AE3F1B">
        <w:rPr>
          <w:rFonts w:ascii="Garamond" w:hAnsi="Garamond"/>
          <w:sz w:val="24"/>
          <w:szCs w:val="24"/>
        </w:rPr>
        <w:t>.</w:t>
      </w:r>
      <w:r w:rsidR="00934120">
        <w:rPr>
          <w:rFonts w:ascii="Garamond" w:hAnsi="Garamond"/>
          <w:sz w:val="24"/>
          <w:szCs w:val="24"/>
        </w:rPr>
        <w:t>5</w:t>
      </w:r>
      <w:r w:rsidR="0015056D" w:rsidRPr="00AE3F1B">
        <w:rPr>
          <w:rFonts w:ascii="Garamond" w:hAnsi="Garamond"/>
          <w:sz w:val="24"/>
          <w:szCs w:val="24"/>
        </w:rPr>
        <w:t>.5.1.12. Jeśli w niniejszym rozdziale wskazano, że zabezpieczenie działa na wyłączenie, należy rozumieć wyłączenie wszystkich trzech faz wyłącznika.</w:t>
      </w:r>
    </w:p>
    <w:p w14:paraId="7D0C6CEA" w14:textId="30E7A9CD" w:rsidR="0015056D" w:rsidRPr="00AE3F1B" w:rsidRDefault="00913732" w:rsidP="00175586">
      <w:pPr>
        <w:spacing w:after="187" w:line="253" w:lineRule="auto"/>
        <w:ind w:left="567" w:right="-3" w:hanging="567"/>
        <w:jc w:val="left"/>
        <w:rPr>
          <w:rFonts w:ascii="Garamond" w:hAnsi="Garamond"/>
          <w:sz w:val="24"/>
          <w:szCs w:val="24"/>
        </w:rPr>
      </w:pPr>
      <w:r>
        <w:rPr>
          <w:rFonts w:ascii="Garamond" w:hAnsi="Garamond"/>
          <w:sz w:val="24"/>
          <w:szCs w:val="24"/>
        </w:rPr>
        <w:t>II</w:t>
      </w:r>
      <w:r w:rsidR="0015056D" w:rsidRPr="00AE3F1B">
        <w:rPr>
          <w:rFonts w:ascii="Garamond" w:hAnsi="Garamond"/>
          <w:sz w:val="24"/>
          <w:szCs w:val="24"/>
        </w:rPr>
        <w:t>.</w:t>
      </w:r>
      <w:r w:rsidR="00934120">
        <w:rPr>
          <w:rFonts w:ascii="Garamond" w:hAnsi="Garamond"/>
          <w:sz w:val="24"/>
          <w:szCs w:val="24"/>
        </w:rPr>
        <w:t>5</w:t>
      </w:r>
      <w:r w:rsidR="0015056D" w:rsidRPr="00AE3F1B">
        <w:rPr>
          <w:rFonts w:ascii="Garamond" w:hAnsi="Garamond"/>
          <w:sz w:val="24"/>
          <w:szCs w:val="24"/>
        </w:rPr>
        <w:t xml:space="preserve">.5.1.13. Należy stosować urządzenia EAZ realizujące funkcje ciągłej kontroli stanu i </w:t>
      </w:r>
      <w:r w:rsidR="00316F85" w:rsidRPr="00AE3F1B">
        <w:rPr>
          <w:rFonts w:ascii="Garamond" w:hAnsi="Garamond"/>
          <w:sz w:val="24"/>
          <w:szCs w:val="24"/>
        </w:rPr>
        <w:t>samo testowania</w:t>
      </w:r>
      <w:r w:rsidR="0015056D" w:rsidRPr="00AE3F1B">
        <w:rPr>
          <w:rFonts w:ascii="Garamond" w:hAnsi="Garamond"/>
          <w:sz w:val="24"/>
          <w:szCs w:val="24"/>
        </w:rPr>
        <w:t>.</w:t>
      </w:r>
    </w:p>
    <w:p w14:paraId="60BB3CA6" w14:textId="727E950E" w:rsidR="0015056D" w:rsidRPr="00AE3F1B" w:rsidRDefault="00913732" w:rsidP="00175586">
      <w:pPr>
        <w:spacing w:after="183" w:line="253" w:lineRule="auto"/>
        <w:ind w:left="567" w:right="-3" w:hanging="567"/>
        <w:jc w:val="left"/>
        <w:rPr>
          <w:rFonts w:ascii="Garamond" w:hAnsi="Garamond"/>
          <w:sz w:val="24"/>
          <w:szCs w:val="24"/>
        </w:rPr>
      </w:pPr>
      <w:r>
        <w:rPr>
          <w:rFonts w:ascii="Garamond" w:hAnsi="Garamond"/>
          <w:sz w:val="24"/>
          <w:szCs w:val="24"/>
        </w:rPr>
        <w:t>II</w:t>
      </w:r>
      <w:r w:rsidR="0015056D" w:rsidRPr="00AE3F1B">
        <w:rPr>
          <w:rFonts w:ascii="Garamond" w:hAnsi="Garamond"/>
          <w:sz w:val="24"/>
          <w:szCs w:val="24"/>
        </w:rPr>
        <w:t>.</w:t>
      </w:r>
      <w:r w:rsidR="00934120">
        <w:rPr>
          <w:rFonts w:ascii="Garamond" w:hAnsi="Garamond"/>
          <w:sz w:val="24"/>
          <w:szCs w:val="24"/>
        </w:rPr>
        <w:t>5</w:t>
      </w:r>
      <w:r w:rsidR="0015056D" w:rsidRPr="00AE3F1B">
        <w:rPr>
          <w:rFonts w:ascii="Garamond" w:hAnsi="Garamond"/>
          <w:sz w:val="24"/>
          <w:szCs w:val="24"/>
        </w:rPr>
        <w:t>.5.1.14.</w:t>
      </w:r>
      <w:r w:rsidR="007B460D">
        <w:rPr>
          <w:rFonts w:ascii="Garamond" w:hAnsi="Garamond"/>
          <w:sz w:val="24"/>
          <w:szCs w:val="24"/>
        </w:rPr>
        <w:t xml:space="preserve"> </w:t>
      </w:r>
      <w:r w:rsidR="0015056D" w:rsidRPr="00AE3F1B">
        <w:rPr>
          <w:rFonts w:ascii="Garamond" w:hAnsi="Garamond"/>
          <w:sz w:val="24"/>
          <w:szCs w:val="24"/>
        </w:rPr>
        <w:t>Zaleca się wyposażenie obwodów wyłączających w układy kontroli ciągłości obwodów wyłączania.</w:t>
      </w:r>
    </w:p>
    <w:p w14:paraId="0A129F06" w14:textId="31889C63" w:rsidR="0015056D" w:rsidRPr="00AE3F1B" w:rsidRDefault="00913732" w:rsidP="00175586">
      <w:pPr>
        <w:spacing w:after="196" w:line="253" w:lineRule="auto"/>
        <w:ind w:left="567" w:right="-3" w:hanging="567"/>
        <w:jc w:val="left"/>
        <w:rPr>
          <w:rFonts w:ascii="Garamond" w:hAnsi="Garamond"/>
          <w:sz w:val="24"/>
          <w:szCs w:val="24"/>
        </w:rPr>
      </w:pPr>
      <w:r>
        <w:rPr>
          <w:rFonts w:ascii="Garamond" w:hAnsi="Garamond"/>
          <w:sz w:val="24"/>
          <w:szCs w:val="24"/>
        </w:rPr>
        <w:t>II</w:t>
      </w:r>
      <w:r w:rsidR="0015056D" w:rsidRPr="00AE3F1B">
        <w:rPr>
          <w:rFonts w:ascii="Garamond" w:hAnsi="Garamond"/>
          <w:sz w:val="24"/>
          <w:szCs w:val="24"/>
        </w:rPr>
        <w:t>.</w:t>
      </w:r>
      <w:r w:rsidR="00934120">
        <w:rPr>
          <w:rFonts w:ascii="Garamond" w:hAnsi="Garamond"/>
          <w:sz w:val="24"/>
          <w:szCs w:val="24"/>
        </w:rPr>
        <w:t>5</w:t>
      </w:r>
      <w:r w:rsidR="0015056D" w:rsidRPr="00AE3F1B">
        <w:rPr>
          <w:rFonts w:ascii="Garamond" w:hAnsi="Garamond"/>
          <w:sz w:val="24"/>
          <w:szCs w:val="24"/>
        </w:rPr>
        <w:t>.5.1.15. W niniejszym rozdziale podano wymagania minimalne. W poszczególnych urządzeniach lub polach można stosować dodatkowe zabezpieczenia działające na wyłączenie lub sygnalizację, np. wynikające z konstrukcji rozdzielnicy lub innych zabezpieczanych elementów.</w:t>
      </w:r>
    </w:p>
    <w:p w14:paraId="076B602E" w14:textId="3232D010" w:rsidR="0015056D" w:rsidRPr="00AE3F1B" w:rsidRDefault="00913732" w:rsidP="00175586">
      <w:pPr>
        <w:spacing w:after="200" w:line="253" w:lineRule="auto"/>
        <w:ind w:left="567" w:right="-3" w:hanging="567"/>
        <w:jc w:val="left"/>
        <w:rPr>
          <w:rFonts w:ascii="Garamond" w:hAnsi="Garamond"/>
          <w:sz w:val="24"/>
          <w:szCs w:val="24"/>
        </w:rPr>
      </w:pPr>
      <w:r>
        <w:rPr>
          <w:rFonts w:ascii="Garamond" w:hAnsi="Garamond"/>
          <w:sz w:val="24"/>
          <w:szCs w:val="24"/>
        </w:rPr>
        <w:t>II</w:t>
      </w:r>
      <w:r w:rsidR="0015056D" w:rsidRPr="00AE3F1B">
        <w:rPr>
          <w:rFonts w:ascii="Garamond" w:hAnsi="Garamond"/>
          <w:sz w:val="24"/>
          <w:szCs w:val="24"/>
        </w:rPr>
        <w:t>.</w:t>
      </w:r>
      <w:r w:rsidR="00934120">
        <w:rPr>
          <w:rFonts w:ascii="Garamond" w:hAnsi="Garamond"/>
          <w:sz w:val="24"/>
          <w:szCs w:val="24"/>
        </w:rPr>
        <w:t>5</w:t>
      </w:r>
      <w:r w:rsidR="0015056D" w:rsidRPr="00AE3F1B">
        <w:rPr>
          <w:rFonts w:ascii="Garamond" w:hAnsi="Garamond"/>
          <w:sz w:val="24"/>
          <w:szCs w:val="24"/>
        </w:rPr>
        <w:t xml:space="preserve">.5.1.16. Rejestratory zdarzeń i zakłóceń przeznaczone do wykonywania analiz przebiegu zakłóceń i działania EAZ oraz łączników powinny być instalowane w stacjach i rozdzielniach sieci dystrybucyjnej ID Sp. z o.o. zgodnie ze znaczeniem stacji w systemie. W modernizowanych obiektach, w rejestratory zakłóceń należy wyposażać każde pole o napięciu 110kV. Zaleca się wyposażenie w rejestratory zdarzeń i zakłóceń pól SN. Wymaga się wyposażania w rejestratory </w:t>
      </w:r>
      <w:r w:rsidR="0015056D" w:rsidRPr="00AE3F1B">
        <w:rPr>
          <w:rFonts w:ascii="Garamond" w:hAnsi="Garamond"/>
          <w:sz w:val="24"/>
          <w:szCs w:val="24"/>
        </w:rPr>
        <w:lastRenderedPageBreak/>
        <w:t>zdarzeń i zakłóceń pól SN transformatorów zasilających, pól transformatorów potrzeb własnych oraz pól linii współpracujących z lokalnymi źródłami wytwórczymi. Rejestratory zakłóceń powinny rejestrować wielkości przed wystąpieniem zakłócenia oraz po jego wystąpieniu aż do wyłączenia. Dopuszcza się realizację funkcji rejestracji zakłóceń i zdarzeń przez urządzenia EAZ.</w:t>
      </w:r>
    </w:p>
    <w:p w14:paraId="3D5584A0" w14:textId="4EFDDCAB" w:rsidR="0015056D" w:rsidRPr="00AE3F1B" w:rsidRDefault="00913732" w:rsidP="00175586">
      <w:pPr>
        <w:spacing w:after="203" w:line="253" w:lineRule="auto"/>
        <w:ind w:left="567" w:right="-3" w:hanging="567"/>
        <w:jc w:val="left"/>
        <w:rPr>
          <w:rFonts w:ascii="Garamond" w:hAnsi="Garamond"/>
          <w:sz w:val="24"/>
          <w:szCs w:val="24"/>
        </w:rPr>
      </w:pPr>
      <w:r>
        <w:rPr>
          <w:rFonts w:ascii="Garamond" w:hAnsi="Garamond"/>
          <w:sz w:val="24"/>
          <w:szCs w:val="24"/>
        </w:rPr>
        <w:t>II</w:t>
      </w:r>
      <w:r w:rsidR="0015056D" w:rsidRPr="00AE3F1B">
        <w:rPr>
          <w:rFonts w:ascii="Garamond" w:hAnsi="Garamond"/>
          <w:sz w:val="24"/>
          <w:szCs w:val="24"/>
        </w:rPr>
        <w:t>.</w:t>
      </w:r>
      <w:r w:rsidR="00934120">
        <w:rPr>
          <w:rFonts w:ascii="Garamond" w:hAnsi="Garamond"/>
          <w:sz w:val="24"/>
          <w:szCs w:val="24"/>
        </w:rPr>
        <w:t>5</w:t>
      </w:r>
      <w:r w:rsidR="0015056D" w:rsidRPr="00AE3F1B">
        <w:rPr>
          <w:rFonts w:ascii="Garamond" w:hAnsi="Garamond"/>
          <w:sz w:val="24"/>
          <w:szCs w:val="24"/>
        </w:rPr>
        <w:t>.5.1.17. Stosuje się następujące sygnalizacje:</w:t>
      </w:r>
    </w:p>
    <w:p w14:paraId="14CDC5A5" w14:textId="77777777" w:rsidR="0015056D" w:rsidRPr="00AE3F1B" w:rsidRDefault="0015056D">
      <w:pPr>
        <w:numPr>
          <w:ilvl w:val="0"/>
          <w:numId w:val="30"/>
        </w:numPr>
        <w:spacing w:line="253" w:lineRule="auto"/>
        <w:ind w:left="709" w:right="-3" w:hanging="425"/>
        <w:jc w:val="left"/>
        <w:rPr>
          <w:rFonts w:ascii="Garamond" w:hAnsi="Garamond"/>
          <w:sz w:val="24"/>
          <w:szCs w:val="24"/>
        </w:rPr>
      </w:pPr>
      <w:r w:rsidRPr="00AE3F1B">
        <w:rPr>
          <w:rFonts w:ascii="Garamond" w:hAnsi="Garamond"/>
          <w:sz w:val="24"/>
          <w:szCs w:val="24"/>
        </w:rPr>
        <w:t>AL (alarm), która jest pobudzona przy zaniku i obniżenia napięcia pomocniczego lub uszkodzeniu układu EAZ,</w:t>
      </w:r>
    </w:p>
    <w:p w14:paraId="3524046A" w14:textId="77777777" w:rsidR="0015056D" w:rsidRPr="00AE3F1B" w:rsidRDefault="0015056D">
      <w:pPr>
        <w:numPr>
          <w:ilvl w:val="0"/>
          <w:numId w:val="30"/>
        </w:numPr>
        <w:spacing w:line="253" w:lineRule="auto"/>
        <w:ind w:left="709" w:right="-3" w:hanging="425"/>
        <w:jc w:val="left"/>
        <w:rPr>
          <w:rFonts w:ascii="Garamond" w:hAnsi="Garamond"/>
          <w:sz w:val="24"/>
          <w:szCs w:val="24"/>
        </w:rPr>
      </w:pPr>
      <w:proofErr w:type="spellStart"/>
      <w:r w:rsidRPr="00AE3F1B">
        <w:rPr>
          <w:rFonts w:ascii="Garamond" w:hAnsi="Garamond"/>
          <w:sz w:val="24"/>
          <w:szCs w:val="24"/>
        </w:rPr>
        <w:t>Aw</w:t>
      </w:r>
      <w:proofErr w:type="spellEnd"/>
      <w:r w:rsidRPr="00AE3F1B">
        <w:rPr>
          <w:rFonts w:ascii="Garamond" w:hAnsi="Garamond"/>
          <w:sz w:val="24"/>
          <w:szCs w:val="24"/>
        </w:rPr>
        <w:t xml:space="preserve"> (awaria), która jest pobudzana po otwarciu wyłącznika w polu przez dowolne zabezpieczenie. Jeśli w polu jest czynna automatyka SPZ, pobudzenie powinno nastąpić dopiero po definitywnym wyłączeniu,</w:t>
      </w:r>
    </w:p>
    <w:p w14:paraId="41CA1632" w14:textId="77777777" w:rsidR="0015056D" w:rsidRPr="00AE3F1B" w:rsidRDefault="0015056D">
      <w:pPr>
        <w:numPr>
          <w:ilvl w:val="0"/>
          <w:numId w:val="30"/>
        </w:numPr>
        <w:spacing w:after="178" w:line="253" w:lineRule="auto"/>
        <w:ind w:left="709" w:right="-3" w:hanging="425"/>
        <w:jc w:val="left"/>
        <w:rPr>
          <w:rFonts w:ascii="Garamond" w:hAnsi="Garamond"/>
          <w:sz w:val="24"/>
          <w:szCs w:val="24"/>
        </w:rPr>
      </w:pPr>
      <w:proofErr w:type="spellStart"/>
      <w:r w:rsidRPr="00AE3F1B">
        <w:rPr>
          <w:rFonts w:ascii="Garamond" w:hAnsi="Garamond"/>
          <w:sz w:val="24"/>
          <w:szCs w:val="24"/>
        </w:rPr>
        <w:t>Up</w:t>
      </w:r>
      <w:proofErr w:type="spellEnd"/>
      <w:r w:rsidRPr="00AE3F1B">
        <w:rPr>
          <w:rFonts w:ascii="Garamond" w:hAnsi="Garamond"/>
          <w:sz w:val="24"/>
          <w:szCs w:val="24"/>
        </w:rPr>
        <w:t xml:space="preserve"> (uszkodzenie pola), któr</w:t>
      </w:r>
      <w:r w:rsidR="003C743C" w:rsidRPr="00AE3F1B">
        <w:rPr>
          <w:rFonts w:ascii="Garamond" w:hAnsi="Garamond"/>
          <w:sz w:val="24"/>
          <w:szCs w:val="24"/>
        </w:rPr>
        <w:t>e</w:t>
      </w:r>
      <w:r w:rsidRPr="00AE3F1B">
        <w:rPr>
          <w:rFonts w:ascii="Garamond" w:hAnsi="Garamond"/>
          <w:sz w:val="24"/>
          <w:szCs w:val="24"/>
        </w:rPr>
        <w:t xml:space="preserve"> jest pobudzan</w:t>
      </w:r>
      <w:r w:rsidR="003C743C" w:rsidRPr="00AE3F1B">
        <w:rPr>
          <w:rFonts w:ascii="Garamond" w:hAnsi="Garamond"/>
          <w:sz w:val="24"/>
          <w:szCs w:val="24"/>
        </w:rPr>
        <w:t>e</w:t>
      </w:r>
      <w:r w:rsidRPr="00AE3F1B">
        <w:rPr>
          <w:rFonts w:ascii="Garamond" w:hAnsi="Garamond"/>
          <w:sz w:val="24"/>
          <w:szCs w:val="24"/>
        </w:rPr>
        <w:t xml:space="preserve"> przez różne zakłócenia w działaniu urządzeń pola nie wymagającego natychmiastowego wyłączenia wyłącznika.</w:t>
      </w:r>
    </w:p>
    <w:p w14:paraId="3CAEDBE9" w14:textId="7C5D4BBD" w:rsidR="00076A21" w:rsidRPr="00AE3F1B" w:rsidRDefault="00913732" w:rsidP="00934120">
      <w:pPr>
        <w:spacing w:after="170" w:line="226" w:lineRule="auto"/>
        <w:ind w:left="567" w:right="-3" w:hanging="567"/>
        <w:jc w:val="left"/>
        <w:rPr>
          <w:rFonts w:ascii="Garamond" w:hAnsi="Garamond"/>
          <w:sz w:val="24"/>
          <w:szCs w:val="24"/>
        </w:rPr>
      </w:pPr>
      <w:r>
        <w:rPr>
          <w:rFonts w:ascii="Garamond" w:hAnsi="Garamond"/>
          <w:sz w:val="24"/>
          <w:szCs w:val="24"/>
        </w:rPr>
        <w:t>II</w:t>
      </w:r>
      <w:r w:rsidR="0015056D" w:rsidRPr="00AE3F1B">
        <w:rPr>
          <w:rFonts w:ascii="Garamond" w:hAnsi="Garamond"/>
          <w:sz w:val="24"/>
          <w:szCs w:val="24"/>
        </w:rPr>
        <w:t>.</w:t>
      </w:r>
      <w:r w:rsidR="00934120">
        <w:rPr>
          <w:rFonts w:ascii="Garamond" w:hAnsi="Garamond"/>
          <w:sz w:val="24"/>
          <w:szCs w:val="24"/>
        </w:rPr>
        <w:t>5</w:t>
      </w:r>
      <w:r w:rsidR="0015056D" w:rsidRPr="00AE3F1B">
        <w:rPr>
          <w:rFonts w:ascii="Garamond" w:hAnsi="Garamond"/>
          <w:sz w:val="24"/>
          <w:szCs w:val="24"/>
        </w:rPr>
        <w:t>.5.1.18. Dla potrzeb elementów EAZ współpracujących współbieżnie lub realizacji bezwarunkowego wyłączenia drugiego końca linii, wymaga się stosowania łączy niezależnych. Czas przekazywania sygnałów nie powinien przekraczać 20 ms dla sygnałów binarnych oraz 5 ms dla sygnałów analogowych.</w:t>
      </w:r>
    </w:p>
    <w:p w14:paraId="1B375E94" w14:textId="15D63ECA" w:rsidR="00F043F0" w:rsidRPr="00AE3F1B" w:rsidRDefault="00B612FD" w:rsidP="00175586">
      <w:pPr>
        <w:keepNext/>
        <w:keepLines/>
        <w:tabs>
          <w:tab w:val="center" w:pos="3378"/>
        </w:tabs>
        <w:spacing w:after="135" w:line="248" w:lineRule="auto"/>
        <w:ind w:left="567" w:right="-3" w:hanging="567"/>
        <w:jc w:val="left"/>
        <w:outlineLvl w:val="2"/>
        <w:rPr>
          <w:rFonts w:ascii="Garamond" w:hAnsi="Garamond"/>
          <w:sz w:val="24"/>
          <w:szCs w:val="24"/>
        </w:rPr>
      </w:pPr>
      <w:bookmarkStart w:id="23" w:name="_Toc171860223"/>
      <w:bookmarkStart w:id="24" w:name="_Toc171860317"/>
      <w:bookmarkStart w:id="25" w:name="_Toc171861043"/>
      <w:r>
        <w:rPr>
          <w:rFonts w:ascii="Garamond" w:hAnsi="Garamond"/>
          <w:sz w:val="24"/>
          <w:szCs w:val="24"/>
        </w:rPr>
        <w:t>II</w:t>
      </w:r>
      <w:r w:rsidR="00F043F0" w:rsidRPr="00AE3F1B">
        <w:rPr>
          <w:rFonts w:ascii="Garamond" w:hAnsi="Garamond"/>
          <w:sz w:val="24"/>
          <w:szCs w:val="24"/>
        </w:rPr>
        <w:t>.</w:t>
      </w:r>
      <w:r w:rsidR="00934120">
        <w:rPr>
          <w:rFonts w:ascii="Garamond" w:hAnsi="Garamond"/>
          <w:sz w:val="24"/>
          <w:szCs w:val="24"/>
        </w:rPr>
        <w:t>5</w:t>
      </w:r>
      <w:r w:rsidR="00F043F0" w:rsidRPr="00AE3F1B">
        <w:rPr>
          <w:rFonts w:ascii="Garamond" w:hAnsi="Garamond"/>
          <w:sz w:val="24"/>
          <w:szCs w:val="24"/>
        </w:rPr>
        <w:t>.5.2.</w:t>
      </w:r>
      <w:r w:rsidR="002B666D">
        <w:rPr>
          <w:rFonts w:ascii="Garamond" w:hAnsi="Garamond"/>
          <w:sz w:val="24"/>
          <w:szCs w:val="24"/>
        </w:rPr>
        <w:t xml:space="preserve"> Wymagania dla transformatorów</w:t>
      </w:r>
      <w:bookmarkEnd w:id="23"/>
      <w:bookmarkEnd w:id="24"/>
      <w:bookmarkEnd w:id="25"/>
    </w:p>
    <w:p w14:paraId="04D8A945" w14:textId="39C4B37B" w:rsidR="00F043F0" w:rsidRPr="00AE3F1B" w:rsidRDefault="00B612FD" w:rsidP="0072158E">
      <w:pPr>
        <w:tabs>
          <w:tab w:val="right" w:pos="9814"/>
        </w:tabs>
        <w:spacing w:line="253" w:lineRule="auto"/>
        <w:ind w:right="-3"/>
        <w:jc w:val="left"/>
        <w:rPr>
          <w:rFonts w:ascii="Garamond" w:hAnsi="Garamond"/>
          <w:sz w:val="24"/>
          <w:szCs w:val="24"/>
        </w:rPr>
      </w:pPr>
      <w:r>
        <w:rPr>
          <w:rFonts w:ascii="Garamond" w:hAnsi="Garamond"/>
          <w:sz w:val="24"/>
          <w:szCs w:val="24"/>
        </w:rPr>
        <w:t>II</w:t>
      </w:r>
      <w:r w:rsidR="00F043F0" w:rsidRPr="00AE3F1B">
        <w:rPr>
          <w:rFonts w:ascii="Garamond" w:hAnsi="Garamond"/>
          <w:sz w:val="24"/>
          <w:szCs w:val="24"/>
        </w:rPr>
        <w:t>.</w:t>
      </w:r>
      <w:r w:rsidR="00934120">
        <w:rPr>
          <w:rFonts w:ascii="Garamond" w:hAnsi="Garamond"/>
          <w:sz w:val="24"/>
          <w:szCs w:val="24"/>
        </w:rPr>
        <w:t>5</w:t>
      </w:r>
      <w:r w:rsidR="00F043F0" w:rsidRPr="00AE3F1B">
        <w:rPr>
          <w:rFonts w:ascii="Garamond" w:hAnsi="Garamond"/>
          <w:sz w:val="24"/>
          <w:szCs w:val="24"/>
        </w:rPr>
        <w:t>.5.2.1.</w:t>
      </w:r>
      <w:r w:rsidR="0072158E">
        <w:rPr>
          <w:rFonts w:ascii="Garamond" w:hAnsi="Garamond"/>
          <w:sz w:val="24"/>
          <w:szCs w:val="24"/>
        </w:rPr>
        <w:t xml:space="preserve"> </w:t>
      </w:r>
      <w:r w:rsidR="00F043F0" w:rsidRPr="00AE3F1B">
        <w:rPr>
          <w:rFonts w:ascii="Garamond" w:hAnsi="Garamond"/>
          <w:sz w:val="24"/>
          <w:szCs w:val="24"/>
        </w:rPr>
        <w:t>Transformatory mocy dwu i wielouzwojeniowe 110kV/SN/SN powinny być wyposażone</w:t>
      </w:r>
      <w:r w:rsidR="0072158E">
        <w:rPr>
          <w:rFonts w:ascii="Garamond" w:hAnsi="Garamond"/>
          <w:sz w:val="24"/>
          <w:szCs w:val="24"/>
        </w:rPr>
        <w:t xml:space="preserve"> w</w:t>
      </w:r>
      <w:r w:rsidR="00F043F0" w:rsidRPr="00AE3F1B">
        <w:rPr>
          <w:rFonts w:ascii="Garamond" w:hAnsi="Garamond"/>
          <w:sz w:val="24"/>
          <w:szCs w:val="24"/>
        </w:rPr>
        <w:t>:</w:t>
      </w:r>
    </w:p>
    <w:p w14:paraId="06E2644F" w14:textId="77777777" w:rsidR="00F043F0" w:rsidRPr="0044241B" w:rsidRDefault="00F043F0">
      <w:pPr>
        <w:pStyle w:val="Akapitzlist"/>
        <w:numPr>
          <w:ilvl w:val="0"/>
          <w:numId w:val="72"/>
        </w:numPr>
        <w:spacing w:line="253" w:lineRule="auto"/>
        <w:ind w:right="-3"/>
        <w:jc w:val="left"/>
        <w:rPr>
          <w:rFonts w:ascii="Garamond" w:hAnsi="Garamond"/>
          <w:sz w:val="24"/>
          <w:szCs w:val="24"/>
        </w:rPr>
      </w:pPr>
      <w:r w:rsidRPr="0044241B">
        <w:rPr>
          <w:rFonts w:ascii="Garamond" w:hAnsi="Garamond"/>
          <w:sz w:val="24"/>
          <w:szCs w:val="24"/>
        </w:rPr>
        <w:t>zabezpieczenia od skutków zwarć wewnętrznych w transformatorze i na wyprowadzeniach (nadprądowe zwarciowe, a dla transformatorów o mocy powyżej 5 MVA różnicowe),</w:t>
      </w:r>
    </w:p>
    <w:p w14:paraId="362ECC91" w14:textId="77777777" w:rsidR="00F043F0" w:rsidRPr="0044241B" w:rsidRDefault="00F043F0">
      <w:pPr>
        <w:pStyle w:val="Akapitzlist"/>
        <w:numPr>
          <w:ilvl w:val="0"/>
          <w:numId w:val="72"/>
        </w:numPr>
        <w:spacing w:line="253" w:lineRule="auto"/>
        <w:ind w:right="-3"/>
        <w:jc w:val="left"/>
        <w:rPr>
          <w:rFonts w:ascii="Garamond" w:hAnsi="Garamond"/>
          <w:sz w:val="24"/>
          <w:szCs w:val="24"/>
        </w:rPr>
      </w:pPr>
      <w:r w:rsidRPr="0044241B">
        <w:rPr>
          <w:rFonts w:ascii="Garamond" w:hAnsi="Garamond"/>
          <w:sz w:val="24"/>
          <w:szCs w:val="24"/>
        </w:rPr>
        <w:t>zabezpieczenia od skutków zwarć zewnętrznych nadprądowe zwłoczne po każdej stronie,</w:t>
      </w:r>
    </w:p>
    <w:p w14:paraId="3C6AB469" w14:textId="77777777" w:rsidR="00F043F0" w:rsidRPr="0044241B" w:rsidRDefault="00F043F0">
      <w:pPr>
        <w:pStyle w:val="Akapitzlist"/>
        <w:numPr>
          <w:ilvl w:val="0"/>
          <w:numId w:val="72"/>
        </w:numPr>
        <w:spacing w:line="253" w:lineRule="auto"/>
        <w:ind w:right="-3"/>
        <w:jc w:val="left"/>
        <w:rPr>
          <w:rFonts w:ascii="Garamond" w:hAnsi="Garamond"/>
          <w:sz w:val="24"/>
          <w:szCs w:val="24"/>
        </w:rPr>
      </w:pPr>
      <w:r w:rsidRPr="0044241B">
        <w:rPr>
          <w:rFonts w:ascii="Garamond" w:hAnsi="Garamond"/>
          <w:sz w:val="24"/>
          <w:szCs w:val="24"/>
        </w:rPr>
        <w:t>zabezpieczenia przeciążeniowe po każdej stronie (transformatory dwuuzwojeniowe można zabezpieczać tylko po jednej stronie),</w:t>
      </w:r>
    </w:p>
    <w:p w14:paraId="649802E6" w14:textId="77777777" w:rsidR="00F043F0" w:rsidRPr="0044241B" w:rsidRDefault="00F043F0">
      <w:pPr>
        <w:pStyle w:val="Akapitzlist"/>
        <w:numPr>
          <w:ilvl w:val="0"/>
          <w:numId w:val="72"/>
        </w:numPr>
        <w:spacing w:after="197" w:line="253" w:lineRule="auto"/>
        <w:ind w:right="-3"/>
        <w:jc w:val="left"/>
        <w:rPr>
          <w:rFonts w:ascii="Garamond" w:hAnsi="Garamond"/>
          <w:sz w:val="24"/>
          <w:szCs w:val="24"/>
        </w:rPr>
      </w:pPr>
      <w:r w:rsidRPr="0044241B">
        <w:rPr>
          <w:rFonts w:ascii="Garamond" w:hAnsi="Garamond"/>
          <w:sz w:val="24"/>
          <w:szCs w:val="24"/>
        </w:rPr>
        <w:t>zabezpieczenia fabryczne transformatorów: dwustopniowe temperaturowe i gazowo przepływowe kadzi, gazowo-podmuchowe przełącznika zaczepów oraz inne przewidziane przez producenta.</w:t>
      </w:r>
    </w:p>
    <w:p w14:paraId="36B41AD4" w14:textId="0612408E" w:rsidR="00F043F0" w:rsidRPr="00AE3F1B" w:rsidRDefault="00F043F0" w:rsidP="0072158E">
      <w:pPr>
        <w:spacing w:line="253" w:lineRule="auto"/>
        <w:ind w:left="567" w:right="-3"/>
        <w:jc w:val="left"/>
        <w:rPr>
          <w:rFonts w:ascii="Garamond" w:hAnsi="Garamond"/>
          <w:sz w:val="24"/>
          <w:szCs w:val="24"/>
        </w:rPr>
      </w:pPr>
      <w:r w:rsidRPr="00AE3F1B">
        <w:rPr>
          <w:rFonts w:ascii="Garamond" w:hAnsi="Garamond"/>
          <w:sz w:val="24"/>
          <w:szCs w:val="24"/>
        </w:rPr>
        <w:t xml:space="preserve">W stosunku do zabezpieczenia różnicowego obowiązuje zapis punktu </w:t>
      </w:r>
      <w:r w:rsidR="00FF23BB">
        <w:rPr>
          <w:rFonts w:ascii="Garamond" w:hAnsi="Garamond"/>
          <w:sz w:val="24"/>
          <w:szCs w:val="24"/>
        </w:rPr>
        <w:t>II</w:t>
      </w:r>
      <w:r w:rsidRPr="00AE3F1B">
        <w:rPr>
          <w:rFonts w:ascii="Garamond" w:hAnsi="Garamond"/>
          <w:sz w:val="24"/>
          <w:szCs w:val="24"/>
        </w:rPr>
        <w:t>.</w:t>
      </w:r>
      <w:r w:rsidR="004F29E3">
        <w:rPr>
          <w:rFonts w:ascii="Garamond" w:hAnsi="Garamond"/>
          <w:sz w:val="24"/>
          <w:szCs w:val="24"/>
        </w:rPr>
        <w:t>5</w:t>
      </w:r>
      <w:r w:rsidRPr="00AE3F1B">
        <w:rPr>
          <w:rFonts w:ascii="Garamond" w:hAnsi="Garamond"/>
          <w:sz w:val="24"/>
          <w:szCs w:val="24"/>
        </w:rPr>
        <w:t xml:space="preserve">.5.1.10. </w:t>
      </w:r>
      <w:r w:rsidRPr="00AE3F1B">
        <w:rPr>
          <w:rFonts w:ascii="Garamond" w:hAnsi="Garamond"/>
          <w:sz w:val="24"/>
          <w:szCs w:val="24"/>
        </w:rPr>
        <w:br/>
        <w:t>Zabezpieczenia transformatora reagujące na zwarcia wewnętrzne powinny działać na wyłączenie wszystkich stron transformatora. Wymaga się, aby na wyłączenie działały równie wybrane zabezpieczenie fabryczne. Zabezpieczenie przeciążeniowe może działać na sygnalizację. Dla transformatorów pracujących z uziemionym punktem neutralnym strony 110kV zaleca się stosowanie zabezpieczenia nadprądowego ziemnozwarciowego, działającego w oparciu o pomiar prądu płynącego przez punkt neutralny. W sieciach z punktem neutralnym uziemionym przez rezystor, można strony SN tych transformatorów wyposażonych w zerowo-prądowe zabezpieczenie od skutków zwarć doziemnych działające na wyłączenie wyłącznika własnego pola lub również po stronie 110kV zabezpieczanego transformatora. W pozostałych układach sieci SN ww. zabezpieczenie od skutków zwarć doziemnych może działać na sygnalizację.</w:t>
      </w:r>
    </w:p>
    <w:p w14:paraId="367618B9" w14:textId="19118E6B" w:rsidR="00F043F0" w:rsidRPr="00AE3F1B" w:rsidRDefault="00B612FD" w:rsidP="00175586">
      <w:pPr>
        <w:spacing w:after="175" w:line="253" w:lineRule="auto"/>
        <w:ind w:left="567" w:right="-3" w:hanging="567"/>
        <w:jc w:val="left"/>
        <w:rPr>
          <w:rFonts w:ascii="Garamond" w:hAnsi="Garamond"/>
          <w:sz w:val="24"/>
          <w:szCs w:val="24"/>
        </w:rPr>
      </w:pPr>
      <w:r>
        <w:rPr>
          <w:rFonts w:ascii="Garamond" w:hAnsi="Garamond"/>
          <w:sz w:val="24"/>
          <w:szCs w:val="24"/>
        </w:rPr>
        <w:t>II</w:t>
      </w:r>
      <w:r w:rsidR="00F043F0" w:rsidRPr="00AE3F1B">
        <w:rPr>
          <w:rFonts w:ascii="Garamond" w:hAnsi="Garamond"/>
          <w:sz w:val="24"/>
          <w:szCs w:val="24"/>
        </w:rPr>
        <w:t>.</w:t>
      </w:r>
      <w:r w:rsidR="00934120">
        <w:rPr>
          <w:rFonts w:ascii="Garamond" w:hAnsi="Garamond"/>
          <w:sz w:val="24"/>
          <w:szCs w:val="24"/>
        </w:rPr>
        <w:t>5</w:t>
      </w:r>
      <w:r w:rsidR="00F043F0" w:rsidRPr="00AE3F1B">
        <w:rPr>
          <w:rFonts w:ascii="Garamond" w:hAnsi="Garamond"/>
          <w:sz w:val="24"/>
          <w:szCs w:val="24"/>
        </w:rPr>
        <w:t>.5.2.2. Transformatory SN/SN i SN/nN o mocy większej niż 1000 kVA posiadające wyłącznik przynajmniej po stronie wyższego napięcia wyposaża się w (zapisy nie dotyczą transformatorów współpracujących z jednostkami wytwórczymi):</w:t>
      </w:r>
    </w:p>
    <w:p w14:paraId="6B9F45A6" w14:textId="433544EE" w:rsidR="00F043F0" w:rsidRPr="00AE3F1B" w:rsidRDefault="00F043F0">
      <w:pPr>
        <w:numPr>
          <w:ilvl w:val="0"/>
          <w:numId w:val="31"/>
        </w:numPr>
        <w:spacing w:line="253" w:lineRule="auto"/>
        <w:ind w:left="851" w:right="-3" w:hanging="425"/>
        <w:jc w:val="left"/>
        <w:rPr>
          <w:rFonts w:ascii="Garamond" w:hAnsi="Garamond"/>
          <w:sz w:val="24"/>
          <w:szCs w:val="24"/>
        </w:rPr>
      </w:pPr>
      <w:r w:rsidRPr="00AE3F1B">
        <w:rPr>
          <w:rFonts w:ascii="Garamond" w:hAnsi="Garamond"/>
          <w:sz w:val="24"/>
          <w:szCs w:val="24"/>
        </w:rPr>
        <w:lastRenderedPageBreak/>
        <w:t>zabezpieczenia od skutków zwarć wewnętrznych w transformatorze i na wyprowadzeniach (nadprądowe zwarciowe, a dla transformatorów o mocy powyżej 5MVA różnicowe),</w:t>
      </w:r>
    </w:p>
    <w:p w14:paraId="583FE657" w14:textId="77777777" w:rsidR="00F043F0" w:rsidRPr="00AE3F1B" w:rsidRDefault="00F043F0">
      <w:pPr>
        <w:numPr>
          <w:ilvl w:val="0"/>
          <w:numId w:val="31"/>
        </w:numPr>
        <w:spacing w:after="32" w:line="253" w:lineRule="auto"/>
        <w:ind w:left="851" w:right="-3" w:hanging="425"/>
        <w:jc w:val="left"/>
        <w:rPr>
          <w:rFonts w:ascii="Garamond" w:hAnsi="Garamond"/>
          <w:sz w:val="24"/>
          <w:szCs w:val="24"/>
        </w:rPr>
      </w:pPr>
      <w:r w:rsidRPr="00AE3F1B">
        <w:rPr>
          <w:rFonts w:ascii="Garamond" w:hAnsi="Garamond"/>
          <w:sz w:val="24"/>
          <w:szCs w:val="24"/>
        </w:rPr>
        <w:t>zabezpieczenia od skutków zwarć zewnętrznych nadprądowe zwłoczne po każdej stronie,</w:t>
      </w:r>
    </w:p>
    <w:p w14:paraId="26748D52" w14:textId="77777777" w:rsidR="00F043F0" w:rsidRPr="00AE3F1B" w:rsidRDefault="00F043F0">
      <w:pPr>
        <w:numPr>
          <w:ilvl w:val="0"/>
          <w:numId w:val="31"/>
        </w:numPr>
        <w:spacing w:line="253" w:lineRule="auto"/>
        <w:ind w:left="851" w:right="-3" w:hanging="425"/>
        <w:jc w:val="left"/>
        <w:rPr>
          <w:rFonts w:ascii="Garamond" w:hAnsi="Garamond"/>
          <w:sz w:val="24"/>
          <w:szCs w:val="24"/>
        </w:rPr>
      </w:pPr>
      <w:r w:rsidRPr="00AE3F1B">
        <w:rPr>
          <w:rFonts w:ascii="Garamond" w:hAnsi="Garamond"/>
          <w:sz w:val="24"/>
          <w:szCs w:val="24"/>
        </w:rPr>
        <w:t>zabezpieczenia przeciążeniowe po każdej stronie (transformatory dwuuzwojeniowe można zabezpieczać tylko po jednej stronie),</w:t>
      </w:r>
    </w:p>
    <w:p w14:paraId="605E43FA" w14:textId="77777777" w:rsidR="00F043F0" w:rsidRPr="00AE3F1B" w:rsidRDefault="00F043F0">
      <w:pPr>
        <w:numPr>
          <w:ilvl w:val="0"/>
          <w:numId w:val="31"/>
        </w:numPr>
        <w:spacing w:line="253" w:lineRule="auto"/>
        <w:ind w:left="851" w:right="-3" w:hanging="425"/>
        <w:jc w:val="left"/>
        <w:rPr>
          <w:rFonts w:ascii="Garamond" w:hAnsi="Garamond"/>
          <w:sz w:val="24"/>
          <w:szCs w:val="24"/>
        </w:rPr>
      </w:pPr>
      <w:r w:rsidRPr="00AE3F1B">
        <w:rPr>
          <w:rFonts w:ascii="Garamond" w:hAnsi="Garamond"/>
          <w:sz w:val="24"/>
          <w:szCs w:val="24"/>
        </w:rPr>
        <w:t>zabezpieczenia fabryczne transformatorów: dwustopniowe temperaturowe i gazowo-przepływowe kadzi oraz gazowo-przepływowe przełącznika zaczepów,</w:t>
      </w:r>
    </w:p>
    <w:p w14:paraId="32EF0E42" w14:textId="5C4C0248" w:rsidR="00076A21" w:rsidRPr="00DD5AB5" w:rsidRDefault="00F043F0">
      <w:pPr>
        <w:numPr>
          <w:ilvl w:val="0"/>
          <w:numId w:val="31"/>
        </w:numPr>
        <w:spacing w:after="125" w:line="253" w:lineRule="auto"/>
        <w:ind w:left="851" w:right="-3" w:hanging="425"/>
        <w:jc w:val="left"/>
        <w:rPr>
          <w:rFonts w:ascii="Garamond" w:hAnsi="Garamond"/>
          <w:sz w:val="24"/>
          <w:szCs w:val="24"/>
        </w:rPr>
      </w:pPr>
      <w:r w:rsidRPr="00AE3F1B">
        <w:rPr>
          <w:rFonts w:ascii="Garamond" w:hAnsi="Garamond"/>
          <w:sz w:val="24"/>
          <w:szCs w:val="24"/>
        </w:rPr>
        <w:t>zaleca się, aby na wyłączenie działały również wybrane zabezpieczenia fabryczne, zabezpieczenie przeciążeniowe może działać na sygnalizację.</w:t>
      </w:r>
    </w:p>
    <w:p w14:paraId="1802C00A" w14:textId="4EE2F413" w:rsidR="00C671DC" w:rsidRPr="0072158E" w:rsidRDefault="00B612FD" w:rsidP="00175586">
      <w:pPr>
        <w:keepNext/>
        <w:keepLines/>
        <w:tabs>
          <w:tab w:val="center" w:pos="3252"/>
        </w:tabs>
        <w:spacing w:after="134" w:line="248" w:lineRule="auto"/>
        <w:ind w:left="567" w:right="-3" w:hanging="567"/>
        <w:jc w:val="left"/>
        <w:outlineLvl w:val="2"/>
        <w:rPr>
          <w:rFonts w:ascii="Garamond" w:hAnsi="Garamond"/>
          <w:color w:val="000000" w:themeColor="text1"/>
          <w:sz w:val="24"/>
          <w:szCs w:val="24"/>
        </w:rPr>
      </w:pPr>
      <w:bookmarkStart w:id="26" w:name="_Toc171860224"/>
      <w:bookmarkStart w:id="27" w:name="_Toc171860318"/>
      <w:bookmarkStart w:id="28" w:name="_Toc171861044"/>
      <w:r w:rsidRPr="0072158E">
        <w:rPr>
          <w:rFonts w:ascii="Garamond" w:hAnsi="Garamond"/>
          <w:color w:val="000000" w:themeColor="text1"/>
          <w:sz w:val="24"/>
          <w:szCs w:val="24"/>
        </w:rPr>
        <w:t>II</w:t>
      </w:r>
      <w:r w:rsidR="00C671DC" w:rsidRPr="0072158E">
        <w:rPr>
          <w:rFonts w:ascii="Garamond" w:hAnsi="Garamond"/>
          <w:color w:val="000000" w:themeColor="text1"/>
          <w:sz w:val="24"/>
          <w:szCs w:val="24"/>
        </w:rPr>
        <w:t>.</w:t>
      </w:r>
      <w:r w:rsidR="00934120" w:rsidRPr="0072158E">
        <w:rPr>
          <w:rFonts w:ascii="Garamond" w:hAnsi="Garamond"/>
          <w:color w:val="000000" w:themeColor="text1"/>
          <w:sz w:val="24"/>
          <w:szCs w:val="24"/>
        </w:rPr>
        <w:t>5</w:t>
      </w:r>
      <w:r w:rsidR="00C671DC" w:rsidRPr="0072158E">
        <w:rPr>
          <w:rFonts w:ascii="Garamond" w:hAnsi="Garamond"/>
          <w:color w:val="000000" w:themeColor="text1"/>
          <w:sz w:val="24"/>
          <w:szCs w:val="24"/>
        </w:rPr>
        <w:t>.5.3.</w:t>
      </w:r>
      <w:r w:rsidR="002557C6" w:rsidRPr="0072158E">
        <w:rPr>
          <w:rFonts w:ascii="Garamond" w:hAnsi="Garamond"/>
          <w:color w:val="000000" w:themeColor="text1"/>
          <w:sz w:val="24"/>
          <w:szCs w:val="24"/>
        </w:rPr>
        <w:t xml:space="preserve">  Wymagania techniczne dla sieci SN</w:t>
      </w:r>
      <w:bookmarkEnd w:id="26"/>
      <w:bookmarkEnd w:id="27"/>
      <w:bookmarkEnd w:id="28"/>
    </w:p>
    <w:p w14:paraId="3C8DECBD" w14:textId="63D82093" w:rsidR="00C671DC" w:rsidRPr="00AE3F1B" w:rsidRDefault="00B612FD" w:rsidP="00175586">
      <w:pPr>
        <w:keepNext/>
        <w:keepLines/>
        <w:tabs>
          <w:tab w:val="center" w:pos="2194"/>
        </w:tabs>
        <w:spacing w:after="190" w:line="259" w:lineRule="auto"/>
        <w:ind w:left="567" w:right="-3" w:hanging="567"/>
        <w:jc w:val="left"/>
        <w:outlineLvl w:val="3"/>
        <w:rPr>
          <w:rFonts w:ascii="Garamond" w:hAnsi="Garamond"/>
          <w:sz w:val="24"/>
          <w:szCs w:val="24"/>
          <w:u w:val="single" w:color="000000"/>
        </w:rPr>
      </w:pPr>
      <w:bookmarkStart w:id="29" w:name="_Toc171860225"/>
      <w:r>
        <w:rPr>
          <w:rFonts w:ascii="Garamond" w:hAnsi="Garamond"/>
          <w:sz w:val="24"/>
          <w:szCs w:val="24"/>
          <w:u w:color="000000"/>
        </w:rPr>
        <w:t>II</w:t>
      </w:r>
      <w:r w:rsidR="00C671DC" w:rsidRPr="00AE3F1B">
        <w:rPr>
          <w:rFonts w:ascii="Garamond" w:hAnsi="Garamond"/>
          <w:sz w:val="24"/>
          <w:szCs w:val="24"/>
          <w:u w:color="000000"/>
        </w:rPr>
        <w:t>.</w:t>
      </w:r>
      <w:r w:rsidR="0072158E">
        <w:rPr>
          <w:rFonts w:ascii="Garamond" w:hAnsi="Garamond"/>
          <w:sz w:val="24"/>
          <w:szCs w:val="24"/>
          <w:u w:color="000000"/>
        </w:rPr>
        <w:t>5</w:t>
      </w:r>
      <w:r w:rsidR="00C671DC" w:rsidRPr="00AE3F1B">
        <w:rPr>
          <w:rFonts w:ascii="Garamond" w:hAnsi="Garamond"/>
          <w:sz w:val="24"/>
          <w:szCs w:val="24"/>
          <w:u w:color="000000"/>
        </w:rPr>
        <w:t>.5.3.1.</w:t>
      </w:r>
      <w:r w:rsidR="002557C6">
        <w:rPr>
          <w:rFonts w:ascii="Garamond" w:hAnsi="Garamond"/>
          <w:sz w:val="24"/>
          <w:szCs w:val="24"/>
          <w:u w:color="000000"/>
        </w:rPr>
        <w:t>Wymagania ogólne</w:t>
      </w:r>
      <w:bookmarkEnd w:id="29"/>
    </w:p>
    <w:p w14:paraId="2BBFF5D7" w14:textId="6388E656" w:rsidR="00C671DC" w:rsidRPr="00AE3F1B" w:rsidRDefault="00B612FD" w:rsidP="00175586">
      <w:pPr>
        <w:spacing w:after="168" w:line="253" w:lineRule="auto"/>
        <w:ind w:left="567" w:right="-3" w:hanging="567"/>
        <w:jc w:val="left"/>
        <w:rPr>
          <w:rFonts w:ascii="Garamond" w:hAnsi="Garamond"/>
          <w:sz w:val="24"/>
          <w:szCs w:val="24"/>
        </w:rPr>
      </w:pPr>
      <w:r>
        <w:rPr>
          <w:rFonts w:ascii="Garamond" w:hAnsi="Garamond"/>
          <w:sz w:val="24"/>
          <w:szCs w:val="24"/>
        </w:rPr>
        <w:t>II</w:t>
      </w:r>
      <w:r w:rsidR="00C671DC" w:rsidRPr="00AE3F1B">
        <w:rPr>
          <w:rFonts w:ascii="Garamond" w:hAnsi="Garamond"/>
          <w:sz w:val="24"/>
          <w:szCs w:val="24"/>
        </w:rPr>
        <w:t>.</w:t>
      </w:r>
      <w:r w:rsidR="0072158E">
        <w:rPr>
          <w:rFonts w:ascii="Garamond" w:hAnsi="Garamond"/>
          <w:sz w:val="24"/>
          <w:szCs w:val="24"/>
        </w:rPr>
        <w:t>5</w:t>
      </w:r>
      <w:r w:rsidR="00C671DC" w:rsidRPr="00AE3F1B">
        <w:rPr>
          <w:rFonts w:ascii="Garamond" w:hAnsi="Garamond"/>
          <w:sz w:val="24"/>
          <w:szCs w:val="24"/>
        </w:rPr>
        <w:t xml:space="preserve">.5.3.1.1. Jeśli w </w:t>
      </w:r>
      <w:r w:rsidR="00DA5AD6" w:rsidRPr="00DA5AD6">
        <w:rPr>
          <w:rFonts w:ascii="Garamond" w:hAnsi="Garamond"/>
          <w:sz w:val="24"/>
          <w:szCs w:val="24"/>
        </w:rPr>
        <w:t xml:space="preserve">IRiESDn </w:t>
      </w:r>
      <w:r w:rsidR="00C671DC" w:rsidRPr="00AE3F1B">
        <w:rPr>
          <w:rFonts w:ascii="Garamond" w:hAnsi="Garamond"/>
          <w:sz w:val="24"/>
          <w:szCs w:val="24"/>
        </w:rPr>
        <w:t>nie określono inaczej, zabezpieczenia w sieci SN działają na wyłączenie. Działanie na sygnalizację jest możliwe tylko dla zabezpieczeń ziemnozwarciowych w określonych sytuacjach oraz zabezpieczeń napięciowych w polu pomiaru napięcia.</w:t>
      </w:r>
    </w:p>
    <w:p w14:paraId="7E46F126" w14:textId="027C7F29" w:rsidR="00C671DC" w:rsidRPr="00AE3F1B" w:rsidRDefault="00B612FD" w:rsidP="00175586">
      <w:pPr>
        <w:spacing w:after="171" w:line="226" w:lineRule="auto"/>
        <w:ind w:left="567" w:right="-3" w:hanging="567"/>
        <w:jc w:val="left"/>
        <w:rPr>
          <w:rFonts w:ascii="Garamond" w:hAnsi="Garamond"/>
          <w:sz w:val="24"/>
          <w:szCs w:val="24"/>
        </w:rPr>
      </w:pPr>
      <w:r>
        <w:rPr>
          <w:rFonts w:ascii="Garamond" w:hAnsi="Garamond"/>
          <w:sz w:val="24"/>
          <w:szCs w:val="24"/>
        </w:rPr>
        <w:t>II</w:t>
      </w:r>
      <w:r w:rsidR="00C671DC" w:rsidRPr="00AE3F1B">
        <w:rPr>
          <w:rFonts w:ascii="Garamond" w:hAnsi="Garamond"/>
          <w:sz w:val="24"/>
          <w:szCs w:val="24"/>
        </w:rPr>
        <w:t>.</w:t>
      </w:r>
      <w:r w:rsidR="0072158E">
        <w:rPr>
          <w:rFonts w:ascii="Garamond" w:hAnsi="Garamond"/>
          <w:sz w:val="24"/>
          <w:szCs w:val="24"/>
        </w:rPr>
        <w:t>5</w:t>
      </w:r>
      <w:r w:rsidR="00C671DC" w:rsidRPr="00AE3F1B">
        <w:rPr>
          <w:rFonts w:ascii="Garamond" w:hAnsi="Garamond"/>
          <w:sz w:val="24"/>
          <w:szCs w:val="24"/>
        </w:rPr>
        <w:t>.5.3.1.2. Dopuszcza się stosowanie blokady zabezpieczeń nadprądowych zwłocznych od pewnych zjawisk w liniach, np. pojawienia się drugiej harmonicznej, wzrostu prądu po zamknięciu wyłącznika. Zabrania się stosowania blokad do zabezpieczenia nadprądowego zwarciowego, z wyjątkiem blokady kierunkowej.</w:t>
      </w:r>
    </w:p>
    <w:p w14:paraId="029E39EA" w14:textId="5DCDC2EE" w:rsidR="00C671DC" w:rsidRPr="00AE3F1B" w:rsidRDefault="00B612FD" w:rsidP="00175586">
      <w:pPr>
        <w:spacing w:after="182" w:line="253" w:lineRule="auto"/>
        <w:ind w:left="567" w:right="-3" w:hanging="567"/>
        <w:jc w:val="left"/>
        <w:rPr>
          <w:rFonts w:ascii="Garamond" w:hAnsi="Garamond"/>
          <w:sz w:val="24"/>
          <w:szCs w:val="24"/>
        </w:rPr>
      </w:pPr>
      <w:r>
        <w:rPr>
          <w:rFonts w:ascii="Garamond" w:hAnsi="Garamond"/>
          <w:sz w:val="24"/>
          <w:szCs w:val="24"/>
        </w:rPr>
        <w:t>II</w:t>
      </w:r>
      <w:r w:rsidR="00C671DC" w:rsidRPr="00AE3F1B">
        <w:rPr>
          <w:rFonts w:ascii="Garamond" w:hAnsi="Garamond"/>
          <w:sz w:val="24"/>
          <w:szCs w:val="24"/>
        </w:rPr>
        <w:t>.</w:t>
      </w:r>
      <w:r w:rsidR="0072158E">
        <w:rPr>
          <w:rFonts w:ascii="Garamond" w:hAnsi="Garamond"/>
          <w:sz w:val="24"/>
          <w:szCs w:val="24"/>
        </w:rPr>
        <w:t>5</w:t>
      </w:r>
      <w:r w:rsidR="00C671DC" w:rsidRPr="00AE3F1B">
        <w:rPr>
          <w:rFonts w:ascii="Garamond" w:hAnsi="Garamond"/>
          <w:sz w:val="24"/>
          <w:szCs w:val="24"/>
        </w:rPr>
        <w:t>.5.3.1.3. Zaleca się stosowanie dla zabezpieczeń nadprądowych zwłocznych od skutków zwarć międzyfazowych następujących wartości współczynników czułości:</w:t>
      </w:r>
    </w:p>
    <w:p w14:paraId="37328346" w14:textId="391A150F" w:rsidR="007B460D" w:rsidRPr="0072158E" w:rsidRDefault="00C671DC">
      <w:pPr>
        <w:pStyle w:val="Akapitzlist"/>
        <w:numPr>
          <w:ilvl w:val="0"/>
          <w:numId w:val="71"/>
        </w:numPr>
        <w:spacing w:after="107" w:line="253" w:lineRule="auto"/>
        <w:ind w:right="-3"/>
        <w:jc w:val="left"/>
        <w:rPr>
          <w:rFonts w:ascii="Garamond" w:hAnsi="Garamond"/>
          <w:sz w:val="24"/>
          <w:szCs w:val="24"/>
        </w:rPr>
      </w:pPr>
      <w:r w:rsidRPr="0072158E">
        <w:rPr>
          <w:rFonts w:ascii="Garamond" w:hAnsi="Garamond"/>
          <w:sz w:val="24"/>
          <w:szCs w:val="24"/>
        </w:rPr>
        <w:t>1,5 dla zabezpieczeń podstawowych</w:t>
      </w:r>
    </w:p>
    <w:p w14:paraId="0B208A45" w14:textId="2D1F86AF" w:rsidR="00C671DC" w:rsidRPr="0072158E" w:rsidRDefault="00C671DC">
      <w:pPr>
        <w:pStyle w:val="Akapitzlist"/>
        <w:numPr>
          <w:ilvl w:val="0"/>
          <w:numId w:val="71"/>
        </w:numPr>
        <w:spacing w:after="107" w:line="253" w:lineRule="auto"/>
        <w:ind w:right="-3"/>
        <w:jc w:val="left"/>
        <w:rPr>
          <w:rFonts w:ascii="Garamond" w:hAnsi="Garamond"/>
          <w:sz w:val="24"/>
          <w:szCs w:val="24"/>
        </w:rPr>
      </w:pPr>
      <w:r w:rsidRPr="0072158E">
        <w:rPr>
          <w:rFonts w:ascii="Garamond" w:hAnsi="Garamond"/>
          <w:sz w:val="24"/>
          <w:szCs w:val="24"/>
        </w:rPr>
        <w:t>1,2 dla zabezpieczeń rezerwowych.</w:t>
      </w:r>
    </w:p>
    <w:p w14:paraId="7A653EC0" w14:textId="6F1184A3" w:rsidR="00C671DC" w:rsidRPr="00AE3F1B" w:rsidRDefault="00B612FD" w:rsidP="00175586">
      <w:pPr>
        <w:spacing w:after="164" w:line="253" w:lineRule="auto"/>
        <w:ind w:left="567" w:right="-3" w:hanging="567"/>
        <w:jc w:val="left"/>
        <w:rPr>
          <w:rFonts w:ascii="Garamond" w:hAnsi="Garamond"/>
          <w:sz w:val="24"/>
          <w:szCs w:val="24"/>
        </w:rPr>
      </w:pPr>
      <w:r>
        <w:rPr>
          <w:rFonts w:ascii="Garamond" w:hAnsi="Garamond"/>
          <w:sz w:val="24"/>
          <w:szCs w:val="24"/>
        </w:rPr>
        <w:t>II</w:t>
      </w:r>
      <w:r w:rsidR="00C671DC" w:rsidRPr="00AE3F1B">
        <w:rPr>
          <w:rFonts w:ascii="Garamond" w:hAnsi="Garamond"/>
          <w:sz w:val="24"/>
          <w:szCs w:val="24"/>
        </w:rPr>
        <w:t>.</w:t>
      </w:r>
      <w:r w:rsidR="0072158E">
        <w:rPr>
          <w:rFonts w:ascii="Garamond" w:hAnsi="Garamond"/>
          <w:sz w:val="24"/>
          <w:szCs w:val="24"/>
        </w:rPr>
        <w:t>5</w:t>
      </w:r>
      <w:r w:rsidR="00C671DC" w:rsidRPr="00AE3F1B">
        <w:rPr>
          <w:rFonts w:ascii="Garamond" w:hAnsi="Garamond"/>
          <w:sz w:val="24"/>
          <w:szCs w:val="24"/>
        </w:rPr>
        <w:t>.5.3.1.4. Zaleca się następujące wartości współczynników czułości dla zabezpieczeń ziemnozwarciowych w liniach SN:</w:t>
      </w:r>
    </w:p>
    <w:p w14:paraId="192539BD" w14:textId="77777777" w:rsidR="00C671DC" w:rsidRPr="0044241B" w:rsidRDefault="00C671DC">
      <w:pPr>
        <w:pStyle w:val="Akapitzlist"/>
        <w:numPr>
          <w:ilvl w:val="0"/>
          <w:numId w:val="73"/>
        </w:numPr>
        <w:spacing w:line="253" w:lineRule="auto"/>
        <w:ind w:right="-3"/>
        <w:jc w:val="left"/>
        <w:rPr>
          <w:rFonts w:ascii="Garamond" w:hAnsi="Garamond"/>
          <w:sz w:val="24"/>
          <w:szCs w:val="24"/>
        </w:rPr>
      </w:pPr>
      <w:r w:rsidRPr="0044241B">
        <w:rPr>
          <w:rFonts w:ascii="Garamond" w:hAnsi="Garamond"/>
          <w:sz w:val="24"/>
          <w:szCs w:val="24"/>
        </w:rPr>
        <w:t>1,5 dla zabezpieczeń zerowo prądowych podczas zwarć bez oporowych, czyli jeśli składowa zerowo-napięcia jest równa napięciu fazowemu sieci,</w:t>
      </w:r>
    </w:p>
    <w:p w14:paraId="4424C4E0" w14:textId="77777777" w:rsidR="00C671DC" w:rsidRPr="0044241B" w:rsidRDefault="00C671DC">
      <w:pPr>
        <w:pStyle w:val="Akapitzlist"/>
        <w:numPr>
          <w:ilvl w:val="0"/>
          <w:numId w:val="73"/>
        </w:numPr>
        <w:spacing w:line="253" w:lineRule="auto"/>
        <w:ind w:right="-3"/>
        <w:jc w:val="left"/>
        <w:rPr>
          <w:rFonts w:ascii="Garamond" w:hAnsi="Garamond"/>
          <w:sz w:val="24"/>
          <w:szCs w:val="24"/>
        </w:rPr>
      </w:pPr>
      <w:r w:rsidRPr="0044241B">
        <w:rPr>
          <w:rFonts w:ascii="Garamond" w:hAnsi="Garamond"/>
          <w:sz w:val="24"/>
          <w:szCs w:val="24"/>
        </w:rPr>
        <w:t>1,2 dla zabezpieczeń zerowo prądowych podczas zwarć oporowych, czyli jeśli składowa zerowo napięcia wynosi 50 % napięcia fazowego,</w:t>
      </w:r>
    </w:p>
    <w:p w14:paraId="51A1AE93" w14:textId="77777777" w:rsidR="00C671DC" w:rsidRPr="0044241B" w:rsidRDefault="00C671DC">
      <w:pPr>
        <w:pStyle w:val="Akapitzlist"/>
        <w:numPr>
          <w:ilvl w:val="0"/>
          <w:numId w:val="73"/>
        </w:numPr>
        <w:spacing w:line="253" w:lineRule="auto"/>
        <w:ind w:right="-3"/>
        <w:jc w:val="left"/>
        <w:rPr>
          <w:rFonts w:ascii="Garamond" w:hAnsi="Garamond"/>
          <w:sz w:val="24"/>
          <w:szCs w:val="24"/>
        </w:rPr>
      </w:pPr>
      <w:r w:rsidRPr="0044241B">
        <w:rPr>
          <w:rFonts w:ascii="Garamond" w:hAnsi="Garamond"/>
          <w:sz w:val="24"/>
          <w:szCs w:val="24"/>
        </w:rPr>
        <w:t xml:space="preserve">2,0 dla zabezpieczeń </w:t>
      </w:r>
      <w:proofErr w:type="spellStart"/>
      <w:r w:rsidRPr="0044241B">
        <w:rPr>
          <w:rFonts w:ascii="Garamond" w:hAnsi="Garamond"/>
          <w:sz w:val="24"/>
          <w:szCs w:val="24"/>
        </w:rPr>
        <w:t>admitancyjnych</w:t>
      </w:r>
      <w:proofErr w:type="spellEnd"/>
      <w:r w:rsidRPr="0044241B">
        <w:rPr>
          <w:rFonts w:ascii="Garamond" w:hAnsi="Garamond"/>
          <w:sz w:val="24"/>
          <w:szCs w:val="24"/>
        </w:rPr>
        <w:t xml:space="preserve"> i </w:t>
      </w:r>
      <w:proofErr w:type="spellStart"/>
      <w:r w:rsidRPr="0044241B">
        <w:rPr>
          <w:rFonts w:ascii="Garamond" w:hAnsi="Garamond"/>
          <w:sz w:val="24"/>
          <w:szCs w:val="24"/>
        </w:rPr>
        <w:t>konduktancyjnych</w:t>
      </w:r>
      <w:proofErr w:type="spellEnd"/>
      <w:r w:rsidRPr="0044241B">
        <w:rPr>
          <w:rFonts w:ascii="Garamond" w:hAnsi="Garamond"/>
          <w:sz w:val="24"/>
          <w:szCs w:val="24"/>
        </w:rPr>
        <w:t xml:space="preserve"> w sieciach o punkcie neutralnym uziemionym przez rezystor,</w:t>
      </w:r>
    </w:p>
    <w:p w14:paraId="42B31824" w14:textId="77777777" w:rsidR="00C671DC" w:rsidRPr="0044241B" w:rsidRDefault="00C671DC">
      <w:pPr>
        <w:pStyle w:val="Akapitzlist"/>
        <w:numPr>
          <w:ilvl w:val="0"/>
          <w:numId w:val="73"/>
        </w:numPr>
        <w:spacing w:line="253" w:lineRule="auto"/>
        <w:ind w:right="-3"/>
        <w:jc w:val="left"/>
        <w:rPr>
          <w:rFonts w:ascii="Garamond" w:hAnsi="Garamond"/>
          <w:sz w:val="24"/>
          <w:szCs w:val="24"/>
        </w:rPr>
      </w:pPr>
      <w:r w:rsidRPr="0044241B">
        <w:rPr>
          <w:rFonts w:ascii="Garamond" w:hAnsi="Garamond"/>
          <w:sz w:val="24"/>
          <w:szCs w:val="24"/>
        </w:rPr>
        <w:t xml:space="preserve">1,5 dla zabezpieczeń </w:t>
      </w:r>
      <w:proofErr w:type="spellStart"/>
      <w:r w:rsidRPr="0044241B">
        <w:rPr>
          <w:rFonts w:ascii="Garamond" w:hAnsi="Garamond"/>
          <w:sz w:val="24"/>
          <w:szCs w:val="24"/>
        </w:rPr>
        <w:t>konduktancyjnych</w:t>
      </w:r>
      <w:proofErr w:type="spellEnd"/>
      <w:r w:rsidRPr="0044241B">
        <w:rPr>
          <w:rFonts w:ascii="Garamond" w:hAnsi="Garamond"/>
          <w:sz w:val="24"/>
          <w:szCs w:val="24"/>
        </w:rPr>
        <w:t xml:space="preserve"> w sieciach skompensowany z </w:t>
      </w:r>
      <w:proofErr w:type="spellStart"/>
      <w:r w:rsidRPr="0044241B">
        <w:rPr>
          <w:rFonts w:ascii="Garamond" w:hAnsi="Garamond"/>
          <w:sz w:val="24"/>
          <w:szCs w:val="24"/>
        </w:rPr>
        <w:t>AWSCz</w:t>
      </w:r>
      <w:proofErr w:type="spellEnd"/>
      <w:r w:rsidRPr="0044241B">
        <w:rPr>
          <w:rFonts w:ascii="Garamond" w:hAnsi="Garamond"/>
          <w:sz w:val="24"/>
          <w:szCs w:val="24"/>
        </w:rPr>
        <w:t xml:space="preserve">, </w:t>
      </w:r>
    </w:p>
    <w:p w14:paraId="6BB1F5A4" w14:textId="207E568C" w:rsidR="00C671DC" w:rsidRPr="0044241B" w:rsidRDefault="00C671DC">
      <w:pPr>
        <w:pStyle w:val="Akapitzlist"/>
        <w:numPr>
          <w:ilvl w:val="0"/>
          <w:numId w:val="73"/>
        </w:numPr>
        <w:spacing w:line="253" w:lineRule="auto"/>
        <w:ind w:right="-3"/>
        <w:jc w:val="left"/>
        <w:rPr>
          <w:rFonts w:ascii="Garamond" w:hAnsi="Garamond"/>
          <w:sz w:val="24"/>
          <w:szCs w:val="24"/>
        </w:rPr>
      </w:pPr>
      <w:r w:rsidRPr="0044241B">
        <w:rPr>
          <w:rFonts w:ascii="Garamond" w:hAnsi="Garamond"/>
          <w:sz w:val="24"/>
          <w:szCs w:val="24"/>
        </w:rPr>
        <w:t xml:space="preserve">1,2 dla zabezpieczeń </w:t>
      </w:r>
      <w:proofErr w:type="spellStart"/>
      <w:r w:rsidRPr="0044241B">
        <w:rPr>
          <w:rFonts w:ascii="Garamond" w:hAnsi="Garamond"/>
          <w:sz w:val="24"/>
          <w:szCs w:val="24"/>
        </w:rPr>
        <w:t>admitancyjnych</w:t>
      </w:r>
      <w:proofErr w:type="spellEnd"/>
      <w:r w:rsidRPr="0044241B">
        <w:rPr>
          <w:rFonts w:ascii="Garamond" w:hAnsi="Garamond"/>
          <w:sz w:val="24"/>
          <w:szCs w:val="24"/>
        </w:rPr>
        <w:t xml:space="preserve"> i </w:t>
      </w:r>
      <w:proofErr w:type="spellStart"/>
      <w:r w:rsidRPr="0044241B">
        <w:rPr>
          <w:rFonts w:ascii="Garamond" w:hAnsi="Garamond"/>
          <w:sz w:val="24"/>
          <w:szCs w:val="24"/>
        </w:rPr>
        <w:t>susceptancyjnych</w:t>
      </w:r>
      <w:proofErr w:type="spellEnd"/>
      <w:r w:rsidRPr="0044241B">
        <w:rPr>
          <w:rFonts w:ascii="Garamond" w:hAnsi="Garamond"/>
          <w:sz w:val="24"/>
          <w:szCs w:val="24"/>
        </w:rPr>
        <w:t xml:space="preserve"> w </w:t>
      </w:r>
      <w:r w:rsidR="0044241B" w:rsidRPr="0044241B">
        <w:rPr>
          <w:rFonts w:ascii="Garamond" w:hAnsi="Garamond"/>
          <w:sz w:val="24"/>
          <w:szCs w:val="24"/>
        </w:rPr>
        <w:t>pozostałych przypadkach</w:t>
      </w:r>
      <w:r w:rsidRPr="0044241B">
        <w:rPr>
          <w:rFonts w:ascii="Garamond" w:hAnsi="Garamond"/>
          <w:sz w:val="24"/>
          <w:szCs w:val="24"/>
        </w:rPr>
        <w:t>.</w:t>
      </w:r>
    </w:p>
    <w:p w14:paraId="2529893E" w14:textId="03CB1340" w:rsidR="00C671DC" w:rsidRPr="00AE3F1B" w:rsidRDefault="00444DC7" w:rsidP="001B0C60">
      <w:pPr>
        <w:spacing w:after="4" w:line="269" w:lineRule="auto"/>
        <w:ind w:left="567" w:right="-3" w:hanging="567"/>
        <w:jc w:val="left"/>
        <w:rPr>
          <w:rFonts w:ascii="Garamond" w:hAnsi="Garamond"/>
          <w:sz w:val="24"/>
          <w:szCs w:val="24"/>
        </w:rPr>
      </w:pPr>
      <w:r>
        <w:rPr>
          <w:rFonts w:ascii="Garamond" w:hAnsi="Garamond"/>
          <w:sz w:val="24"/>
          <w:szCs w:val="24"/>
        </w:rPr>
        <w:t>II.</w:t>
      </w:r>
      <w:r w:rsidR="0072158E">
        <w:rPr>
          <w:rFonts w:ascii="Garamond" w:hAnsi="Garamond"/>
          <w:sz w:val="24"/>
          <w:szCs w:val="24"/>
        </w:rPr>
        <w:t>5</w:t>
      </w:r>
      <w:r w:rsidR="00C671DC" w:rsidRPr="00AE3F1B">
        <w:rPr>
          <w:rFonts w:ascii="Garamond" w:hAnsi="Garamond"/>
          <w:sz w:val="24"/>
          <w:szCs w:val="24"/>
        </w:rPr>
        <w:t>.5.3.1.5. Zaleca się stosowanie następujących wartości nastawczych zabezpieczeń zerowo napięciowych działających samodzielnie lub jako człony rozruchowe innych</w:t>
      </w:r>
      <w:r w:rsidR="00D356CE">
        <w:rPr>
          <w:rFonts w:ascii="Garamond" w:hAnsi="Garamond"/>
          <w:sz w:val="24"/>
          <w:szCs w:val="24"/>
        </w:rPr>
        <w:t xml:space="preserve"> </w:t>
      </w:r>
      <w:r w:rsidR="00C671DC" w:rsidRPr="00AE3F1B">
        <w:rPr>
          <w:rFonts w:ascii="Garamond" w:hAnsi="Garamond"/>
          <w:sz w:val="24"/>
          <w:szCs w:val="24"/>
        </w:rPr>
        <w:t>kryteriów</w:t>
      </w:r>
      <w:r w:rsidR="001B0C60">
        <w:rPr>
          <w:rFonts w:ascii="Garamond" w:hAnsi="Garamond"/>
          <w:sz w:val="24"/>
          <w:szCs w:val="24"/>
        </w:rPr>
        <w:br/>
      </w:r>
      <w:r w:rsidR="00C671DC" w:rsidRPr="00AE3F1B">
        <w:rPr>
          <w:rFonts w:ascii="Garamond" w:hAnsi="Garamond"/>
          <w:sz w:val="24"/>
          <w:szCs w:val="24"/>
        </w:rPr>
        <w:t xml:space="preserve"> i automatyk wyrażonych w stosunku do składowej zerowej napięcia podczas zwarcia </w:t>
      </w:r>
      <w:r w:rsidR="001B0C60">
        <w:rPr>
          <w:rFonts w:ascii="Garamond" w:hAnsi="Garamond"/>
          <w:sz w:val="24"/>
          <w:szCs w:val="24"/>
        </w:rPr>
        <w:br/>
      </w:r>
      <w:r w:rsidR="00C671DC" w:rsidRPr="00AE3F1B">
        <w:rPr>
          <w:rFonts w:ascii="Garamond" w:hAnsi="Garamond"/>
          <w:sz w:val="24"/>
          <w:szCs w:val="24"/>
        </w:rPr>
        <w:t>bez-oporowego:</w:t>
      </w:r>
    </w:p>
    <w:p w14:paraId="4582E252" w14:textId="166FF884" w:rsidR="00C671DC" w:rsidRPr="0044241B" w:rsidRDefault="00C671DC">
      <w:pPr>
        <w:pStyle w:val="Akapitzlist"/>
        <w:numPr>
          <w:ilvl w:val="0"/>
          <w:numId w:val="74"/>
        </w:numPr>
        <w:spacing w:line="253" w:lineRule="auto"/>
        <w:ind w:right="-3"/>
        <w:jc w:val="left"/>
        <w:rPr>
          <w:rFonts w:ascii="Garamond" w:hAnsi="Garamond"/>
          <w:sz w:val="24"/>
          <w:szCs w:val="24"/>
        </w:rPr>
      </w:pPr>
      <w:r w:rsidRPr="0044241B">
        <w:rPr>
          <w:rFonts w:ascii="Garamond" w:hAnsi="Garamond"/>
          <w:sz w:val="24"/>
          <w:szCs w:val="24"/>
        </w:rPr>
        <w:t xml:space="preserve">5 -10 % w sieciach o punkcie neutralnym uziemionym przez rezystor, </w:t>
      </w:r>
    </w:p>
    <w:p w14:paraId="4931329D" w14:textId="6AC96391" w:rsidR="00C671DC" w:rsidRPr="0044241B" w:rsidRDefault="00C671DC">
      <w:pPr>
        <w:pStyle w:val="Akapitzlist"/>
        <w:numPr>
          <w:ilvl w:val="0"/>
          <w:numId w:val="74"/>
        </w:numPr>
        <w:spacing w:line="253" w:lineRule="auto"/>
        <w:ind w:right="-3"/>
        <w:jc w:val="left"/>
        <w:rPr>
          <w:rFonts w:ascii="Garamond" w:hAnsi="Garamond"/>
          <w:sz w:val="24"/>
          <w:szCs w:val="24"/>
        </w:rPr>
      </w:pPr>
      <w:r w:rsidRPr="0044241B">
        <w:rPr>
          <w:rFonts w:ascii="Garamond" w:hAnsi="Garamond"/>
          <w:sz w:val="24"/>
          <w:szCs w:val="24"/>
        </w:rPr>
        <w:t xml:space="preserve">5 -15 % w sieciach o punkcie neutralnym izolowanym, </w:t>
      </w:r>
    </w:p>
    <w:p w14:paraId="7F6F8E2B" w14:textId="7C520D2D" w:rsidR="00C671DC" w:rsidRPr="0044241B" w:rsidRDefault="001B0C60">
      <w:pPr>
        <w:pStyle w:val="Akapitzlist"/>
        <w:numPr>
          <w:ilvl w:val="0"/>
          <w:numId w:val="74"/>
        </w:numPr>
        <w:spacing w:line="253" w:lineRule="auto"/>
        <w:ind w:right="-3"/>
        <w:jc w:val="left"/>
        <w:rPr>
          <w:rFonts w:ascii="Garamond" w:hAnsi="Garamond"/>
          <w:sz w:val="24"/>
          <w:szCs w:val="24"/>
        </w:rPr>
      </w:pPr>
      <w:r w:rsidRPr="0044241B">
        <w:rPr>
          <w:rFonts w:ascii="Garamond" w:hAnsi="Garamond"/>
          <w:sz w:val="24"/>
          <w:szCs w:val="24"/>
        </w:rPr>
        <w:t>10</w:t>
      </w:r>
      <w:r w:rsidR="00C671DC" w:rsidRPr="0044241B">
        <w:rPr>
          <w:rFonts w:ascii="Garamond" w:hAnsi="Garamond"/>
          <w:sz w:val="24"/>
          <w:szCs w:val="24"/>
        </w:rPr>
        <w:t xml:space="preserve"> -20 % w sieciach skompensowanych.</w:t>
      </w:r>
    </w:p>
    <w:p w14:paraId="75ADFF5B" w14:textId="77777777" w:rsidR="00C671DC" w:rsidRPr="00AE3F1B" w:rsidRDefault="00C671DC" w:rsidP="00175586">
      <w:pPr>
        <w:spacing w:after="94" w:line="253" w:lineRule="auto"/>
        <w:ind w:left="567" w:right="-3" w:hanging="567"/>
        <w:jc w:val="left"/>
        <w:rPr>
          <w:rFonts w:ascii="Garamond" w:hAnsi="Garamond"/>
          <w:sz w:val="24"/>
          <w:szCs w:val="24"/>
        </w:rPr>
      </w:pPr>
      <w:r w:rsidRPr="00AE3F1B">
        <w:rPr>
          <w:rFonts w:ascii="Garamond" w:hAnsi="Garamond"/>
          <w:sz w:val="24"/>
          <w:szCs w:val="24"/>
        </w:rPr>
        <w:t>Mniejsze wartości zaleca się stosować w sieciach z dużym udziałem linii kablowych.</w:t>
      </w:r>
    </w:p>
    <w:p w14:paraId="2F2A2A17" w14:textId="52C822EC" w:rsidR="00C671DC" w:rsidRPr="00AE3F1B" w:rsidRDefault="00444DC7" w:rsidP="00175586">
      <w:pPr>
        <w:spacing w:after="68" w:line="253" w:lineRule="auto"/>
        <w:ind w:left="567" w:right="-3" w:hanging="567"/>
        <w:jc w:val="left"/>
        <w:rPr>
          <w:rFonts w:ascii="Garamond" w:hAnsi="Garamond"/>
          <w:sz w:val="24"/>
          <w:szCs w:val="24"/>
        </w:rPr>
      </w:pPr>
      <w:r>
        <w:rPr>
          <w:rFonts w:ascii="Garamond" w:hAnsi="Garamond"/>
          <w:sz w:val="24"/>
          <w:szCs w:val="24"/>
        </w:rPr>
        <w:lastRenderedPageBreak/>
        <w:t>II</w:t>
      </w:r>
      <w:r w:rsidR="00C671DC" w:rsidRPr="00AE3F1B">
        <w:rPr>
          <w:rFonts w:ascii="Garamond" w:hAnsi="Garamond"/>
          <w:sz w:val="24"/>
          <w:szCs w:val="24"/>
        </w:rPr>
        <w:t>.</w:t>
      </w:r>
      <w:r w:rsidR="0072158E">
        <w:rPr>
          <w:rFonts w:ascii="Garamond" w:hAnsi="Garamond"/>
          <w:sz w:val="24"/>
          <w:szCs w:val="24"/>
        </w:rPr>
        <w:t>5</w:t>
      </w:r>
      <w:r w:rsidR="00C671DC" w:rsidRPr="00AE3F1B">
        <w:rPr>
          <w:rFonts w:ascii="Garamond" w:hAnsi="Garamond"/>
          <w:sz w:val="24"/>
          <w:szCs w:val="24"/>
        </w:rPr>
        <w:t xml:space="preserve">.5.3.1.6. Przyłączenie źródeł wytwórczych do sieci SN wymaga dostosowania automatyki LRW, </w:t>
      </w:r>
      <w:r w:rsidR="001B0C60">
        <w:rPr>
          <w:rFonts w:ascii="Garamond" w:hAnsi="Garamond"/>
          <w:sz w:val="24"/>
          <w:szCs w:val="24"/>
        </w:rPr>
        <w:br/>
      </w:r>
      <w:r w:rsidR="00C671DC" w:rsidRPr="00AE3F1B">
        <w:rPr>
          <w:rFonts w:ascii="Garamond" w:hAnsi="Garamond"/>
          <w:sz w:val="24"/>
          <w:szCs w:val="24"/>
        </w:rPr>
        <w:t>SZR i zabezpieczenia szyn rozdzielni SN zasilającą tę sieć SN do nowych warunków pracy.</w:t>
      </w:r>
    </w:p>
    <w:p w14:paraId="7F9D7AB6" w14:textId="78C4F233" w:rsidR="00C671DC" w:rsidRPr="001B0C60" w:rsidRDefault="00444DC7" w:rsidP="00175586">
      <w:pPr>
        <w:tabs>
          <w:tab w:val="center" w:pos="2389"/>
        </w:tabs>
        <w:spacing w:after="191" w:line="259" w:lineRule="auto"/>
        <w:ind w:left="567" w:right="-3" w:hanging="567"/>
        <w:jc w:val="left"/>
        <w:rPr>
          <w:rFonts w:ascii="Garamond" w:hAnsi="Garamond"/>
          <w:sz w:val="24"/>
          <w:szCs w:val="24"/>
        </w:rPr>
      </w:pPr>
      <w:r>
        <w:rPr>
          <w:rFonts w:ascii="Garamond" w:hAnsi="Garamond"/>
          <w:sz w:val="24"/>
          <w:szCs w:val="24"/>
        </w:rPr>
        <w:t>II</w:t>
      </w:r>
      <w:r w:rsidR="00C671DC" w:rsidRPr="00AE3F1B">
        <w:rPr>
          <w:rFonts w:ascii="Garamond" w:hAnsi="Garamond"/>
          <w:sz w:val="24"/>
          <w:szCs w:val="24"/>
        </w:rPr>
        <w:t>.</w:t>
      </w:r>
      <w:r w:rsidR="0072158E">
        <w:rPr>
          <w:rFonts w:ascii="Garamond" w:hAnsi="Garamond"/>
          <w:sz w:val="24"/>
          <w:szCs w:val="24"/>
        </w:rPr>
        <w:t>5</w:t>
      </w:r>
      <w:r w:rsidR="00C671DC" w:rsidRPr="00AE3F1B">
        <w:rPr>
          <w:rFonts w:ascii="Garamond" w:hAnsi="Garamond"/>
          <w:sz w:val="24"/>
          <w:szCs w:val="24"/>
        </w:rPr>
        <w:t>.5.3.2.</w:t>
      </w:r>
      <w:r w:rsidR="0044241B">
        <w:rPr>
          <w:rFonts w:ascii="Garamond" w:hAnsi="Garamond"/>
          <w:sz w:val="24"/>
          <w:szCs w:val="24"/>
        </w:rPr>
        <w:t xml:space="preserve"> </w:t>
      </w:r>
      <w:r w:rsidR="00C671DC" w:rsidRPr="001B0C60">
        <w:rPr>
          <w:rFonts w:ascii="Garamond" w:hAnsi="Garamond"/>
          <w:sz w:val="24"/>
          <w:szCs w:val="24"/>
        </w:rPr>
        <w:t>Wymagania dla linii SN</w:t>
      </w:r>
    </w:p>
    <w:p w14:paraId="57798776" w14:textId="393B5FB2" w:rsidR="00C671DC" w:rsidRPr="00AE3F1B" w:rsidRDefault="00444DC7" w:rsidP="001B0C60">
      <w:pPr>
        <w:spacing w:after="100" w:afterAutospacing="1" w:line="252" w:lineRule="auto"/>
        <w:ind w:left="567" w:right="-6" w:hanging="567"/>
        <w:jc w:val="left"/>
        <w:rPr>
          <w:rFonts w:ascii="Garamond" w:hAnsi="Garamond"/>
          <w:sz w:val="24"/>
          <w:szCs w:val="24"/>
        </w:rPr>
      </w:pPr>
      <w:r>
        <w:rPr>
          <w:rFonts w:ascii="Garamond" w:hAnsi="Garamond"/>
          <w:sz w:val="24"/>
          <w:szCs w:val="24"/>
        </w:rPr>
        <w:t>II</w:t>
      </w:r>
      <w:r w:rsidR="00C671DC" w:rsidRPr="00AE3F1B">
        <w:rPr>
          <w:rFonts w:ascii="Garamond" w:hAnsi="Garamond"/>
          <w:sz w:val="24"/>
          <w:szCs w:val="24"/>
        </w:rPr>
        <w:t>.</w:t>
      </w:r>
      <w:r w:rsidR="0072158E">
        <w:rPr>
          <w:rFonts w:ascii="Garamond" w:hAnsi="Garamond"/>
          <w:sz w:val="24"/>
          <w:szCs w:val="24"/>
        </w:rPr>
        <w:t>5</w:t>
      </w:r>
      <w:r w:rsidR="00C671DC" w:rsidRPr="00AE3F1B">
        <w:rPr>
          <w:rFonts w:ascii="Garamond" w:hAnsi="Garamond"/>
          <w:sz w:val="24"/>
          <w:szCs w:val="24"/>
        </w:rPr>
        <w:t>.5.3.2.1.</w:t>
      </w:r>
      <w:r w:rsidR="0044241B">
        <w:rPr>
          <w:rFonts w:ascii="Garamond" w:hAnsi="Garamond"/>
          <w:sz w:val="24"/>
          <w:szCs w:val="24"/>
        </w:rPr>
        <w:t xml:space="preserve"> </w:t>
      </w:r>
      <w:r w:rsidR="00C671DC" w:rsidRPr="00AE3F1B">
        <w:rPr>
          <w:rFonts w:ascii="Garamond" w:hAnsi="Garamond"/>
          <w:sz w:val="24"/>
          <w:szCs w:val="24"/>
        </w:rPr>
        <w:t>Pola linii SN, do których nie są przyłączone jednostki wytwórcze powinny być wyposażone w automatykę i zabezpieczenia:</w:t>
      </w:r>
    </w:p>
    <w:p w14:paraId="6C4E90B5" w14:textId="77777777" w:rsidR="00C671DC" w:rsidRPr="00AE3F1B" w:rsidRDefault="00C671DC">
      <w:pPr>
        <w:numPr>
          <w:ilvl w:val="0"/>
          <w:numId w:val="32"/>
        </w:numPr>
        <w:spacing w:line="253" w:lineRule="auto"/>
        <w:ind w:left="993" w:right="-3" w:hanging="426"/>
        <w:jc w:val="left"/>
        <w:rPr>
          <w:rFonts w:ascii="Garamond" w:hAnsi="Garamond"/>
          <w:sz w:val="24"/>
          <w:szCs w:val="24"/>
        </w:rPr>
      </w:pPr>
      <w:r w:rsidRPr="00AE3F1B">
        <w:rPr>
          <w:rFonts w:ascii="Garamond" w:hAnsi="Garamond"/>
          <w:sz w:val="24"/>
          <w:szCs w:val="24"/>
        </w:rPr>
        <w:t xml:space="preserve">od skutków zwarć międzyfazowych, zalecane są zabezpieczenia </w:t>
      </w:r>
      <w:proofErr w:type="spellStart"/>
      <w:r w:rsidRPr="00AE3F1B">
        <w:rPr>
          <w:rFonts w:ascii="Garamond" w:hAnsi="Garamond"/>
          <w:sz w:val="24"/>
          <w:szCs w:val="24"/>
        </w:rPr>
        <w:t>nadprądowo</w:t>
      </w:r>
      <w:proofErr w:type="spellEnd"/>
      <w:r w:rsidRPr="00AE3F1B">
        <w:rPr>
          <w:rFonts w:ascii="Garamond" w:hAnsi="Garamond"/>
          <w:sz w:val="24"/>
          <w:szCs w:val="24"/>
        </w:rPr>
        <w:t xml:space="preserve"> zwłoczne i zwarciowe,</w:t>
      </w:r>
    </w:p>
    <w:p w14:paraId="1D125D9A" w14:textId="610C9252" w:rsidR="00C671DC" w:rsidRPr="00444DC7" w:rsidRDefault="00C671DC">
      <w:pPr>
        <w:numPr>
          <w:ilvl w:val="0"/>
          <w:numId w:val="32"/>
        </w:numPr>
        <w:spacing w:after="111" w:line="253" w:lineRule="auto"/>
        <w:ind w:left="993" w:right="-3" w:hanging="426"/>
        <w:jc w:val="left"/>
        <w:rPr>
          <w:rFonts w:ascii="Garamond" w:hAnsi="Garamond"/>
          <w:sz w:val="24"/>
          <w:szCs w:val="24"/>
        </w:rPr>
      </w:pPr>
      <w:r w:rsidRPr="00444DC7">
        <w:rPr>
          <w:rFonts w:ascii="Garamond" w:hAnsi="Garamond"/>
          <w:sz w:val="24"/>
          <w:szCs w:val="24"/>
        </w:rPr>
        <w:t xml:space="preserve">od skutków zwarć doziemnych działające na wyłączenie lub na </w:t>
      </w:r>
      <w:r w:rsidR="00BD127A" w:rsidRPr="00444DC7">
        <w:rPr>
          <w:rFonts w:ascii="Garamond" w:hAnsi="Garamond"/>
          <w:sz w:val="24"/>
          <w:szCs w:val="24"/>
        </w:rPr>
        <w:t>sygnalizację. Działanie</w:t>
      </w:r>
      <w:r w:rsidRPr="00444DC7">
        <w:rPr>
          <w:rFonts w:ascii="Garamond" w:hAnsi="Garamond"/>
          <w:sz w:val="24"/>
          <w:szCs w:val="24"/>
        </w:rPr>
        <w:t xml:space="preserve"> zabezpieczeń ziemnozwarciowych na sygnalizację jest dopuszczalne (z wyjątkiem sieci </w:t>
      </w:r>
      <w:r w:rsidR="00444DC7">
        <w:rPr>
          <w:rFonts w:ascii="Garamond" w:hAnsi="Garamond"/>
          <w:sz w:val="24"/>
          <w:szCs w:val="24"/>
        </w:rPr>
        <w:br/>
      </w:r>
      <w:r w:rsidRPr="00444DC7">
        <w:rPr>
          <w:rFonts w:ascii="Garamond" w:hAnsi="Garamond"/>
          <w:sz w:val="24"/>
          <w:szCs w:val="24"/>
        </w:rPr>
        <w:t>z punktem neutralnym uziemionym przez rezystor) tylko w wypadku braku technicznej możliwości zapewnienia selektywnego wyłączania pod warunkiem zachowania wymogów ochrony przeciwporażeniowej w zasilanej sieci,</w:t>
      </w:r>
    </w:p>
    <w:p w14:paraId="649D9B82" w14:textId="3FC9D1CB" w:rsidR="00C671DC" w:rsidRPr="00AE3F1B" w:rsidRDefault="00C671DC">
      <w:pPr>
        <w:numPr>
          <w:ilvl w:val="0"/>
          <w:numId w:val="32"/>
        </w:numPr>
        <w:spacing w:line="253" w:lineRule="auto"/>
        <w:ind w:left="993" w:right="-3" w:hanging="426"/>
        <w:jc w:val="left"/>
        <w:rPr>
          <w:rFonts w:ascii="Garamond" w:hAnsi="Garamond"/>
          <w:sz w:val="24"/>
          <w:szCs w:val="24"/>
        </w:rPr>
      </w:pPr>
      <w:r w:rsidRPr="00AE3F1B">
        <w:rPr>
          <w:rFonts w:ascii="Garamond" w:hAnsi="Garamond"/>
          <w:sz w:val="24"/>
          <w:szCs w:val="24"/>
        </w:rPr>
        <w:t>wielokrotnego SPZ z możliwością jej programowania i blokowania, jeśli przyłączona linia jest napowietrzna lub napowietrzno</w:t>
      </w:r>
      <w:r w:rsidR="007B460D">
        <w:rPr>
          <w:rFonts w:ascii="Garamond" w:hAnsi="Garamond"/>
          <w:sz w:val="24"/>
          <w:szCs w:val="24"/>
        </w:rPr>
        <w:t>-</w:t>
      </w:r>
      <w:r w:rsidRPr="00AE3F1B">
        <w:rPr>
          <w:rFonts w:ascii="Garamond" w:hAnsi="Garamond"/>
          <w:sz w:val="24"/>
          <w:szCs w:val="24"/>
        </w:rPr>
        <w:t>kablowa,</w:t>
      </w:r>
    </w:p>
    <w:p w14:paraId="0D63BDC5" w14:textId="77777777" w:rsidR="00C671DC" w:rsidRPr="00AE3F1B" w:rsidRDefault="00C671DC">
      <w:pPr>
        <w:numPr>
          <w:ilvl w:val="0"/>
          <w:numId w:val="32"/>
        </w:numPr>
        <w:spacing w:line="253" w:lineRule="auto"/>
        <w:ind w:left="993" w:right="-3" w:hanging="426"/>
        <w:jc w:val="left"/>
        <w:rPr>
          <w:rFonts w:ascii="Garamond" w:hAnsi="Garamond"/>
          <w:sz w:val="24"/>
          <w:szCs w:val="24"/>
        </w:rPr>
      </w:pPr>
      <w:r w:rsidRPr="00AE3F1B">
        <w:rPr>
          <w:rFonts w:ascii="Garamond" w:hAnsi="Garamond"/>
          <w:sz w:val="24"/>
          <w:szCs w:val="24"/>
        </w:rPr>
        <w:t>umożliwiające współpracę z zabezpieczeniem szyn zbiorczych i układem lokalnej rezerwy wyłącznikowej (LRW),</w:t>
      </w:r>
    </w:p>
    <w:p w14:paraId="4673E57D" w14:textId="4CA21E96" w:rsidR="00C671DC" w:rsidRPr="00AE3F1B" w:rsidRDefault="00C671DC">
      <w:pPr>
        <w:numPr>
          <w:ilvl w:val="0"/>
          <w:numId w:val="32"/>
        </w:numPr>
        <w:spacing w:line="253" w:lineRule="auto"/>
        <w:ind w:left="993" w:right="-3" w:hanging="426"/>
        <w:jc w:val="left"/>
        <w:rPr>
          <w:rFonts w:ascii="Garamond" w:hAnsi="Garamond"/>
          <w:sz w:val="24"/>
          <w:szCs w:val="24"/>
        </w:rPr>
      </w:pPr>
      <w:r w:rsidRPr="00AE3F1B">
        <w:rPr>
          <w:rFonts w:ascii="Garamond" w:hAnsi="Garamond"/>
          <w:sz w:val="24"/>
          <w:szCs w:val="24"/>
        </w:rPr>
        <w:t xml:space="preserve">umożliwiające współpracę ze stacyjną automatyką SCO lub być wyposażone </w:t>
      </w:r>
      <w:r w:rsidR="00444DC7">
        <w:rPr>
          <w:rFonts w:ascii="Garamond" w:hAnsi="Garamond"/>
          <w:sz w:val="24"/>
          <w:szCs w:val="24"/>
        </w:rPr>
        <w:br/>
      </w:r>
      <w:r w:rsidRPr="00AE3F1B">
        <w:rPr>
          <w:rFonts w:ascii="Garamond" w:hAnsi="Garamond"/>
          <w:sz w:val="24"/>
          <w:szCs w:val="24"/>
        </w:rPr>
        <w:t xml:space="preserve">w zabezpieczenie </w:t>
      </w:r>
      <w:proofErr w:type="spellStart"/>
      <w:r w:rsidR="00BD127A" w:rsidRPr="00AE3F1B">
        <w:rPr>
          <w:rFonts w:ascii="Garamond" w:hAnsi="Garamond"/>
          <w:sz w:val="24"/>
          <w:szCs w:val="24"/>
        </w:rPr>
        <w:t>podczęstotliwościowe</w:t>
      </w:r>
      <w:proofErr w:type="spellEnd"/>
      <w:r w:rsidRPr="00AE3F1B">
        <w:rPr>
          <w:rFonts w:ascii="Garamond" w:hAnsi="Garamond"/>
          <w:sz w:val="24"/>
          <w:szCs w:val="24"/>
        </w:rPr>
        <w:t>,</w:t>
      </w:r>
    </w:p>
    <w:p w14:paraId="6737CBB8" w14:textId="77777777" w:rsidR="00C671DC" w:rsidRPr="00AE3F1B" w:rsidRDefault="00C671DC">
      <w:pPr>
        <w:numPr>
          <w:ilvl w:val="0"/>
          <w:numId w:val="32"/>
        </w:numPr>
        <w:spacing w:after="149" w:line="253" w:lineRule="auto"/>
        <w:ind w:left="993" w:right="-3" w:hanging="426"/>
        <w:jc w:val="left"/>
        <w:rPr>
          <w:rFonts w:ascii="Garamond" w:hAnsi="Garamond"/>
          <w:sz w:val="24"/>
          <w:szCs w:val="24"/>
        </w:rPr>
      </w:pPr>
      <w:r w:rsidRPr="00AE3F1B">
        <w:rPr>
          <w:rFonts w:ascii="Garamond" w:hAnsi="Garamond"/>
          <w:sz w:val="24"/>
          <w:szCs w:val="24"/>
        </w:rPr>
        <w:t>SPZ/SCO lub posiadać inny układ realizujący tę funkcję, jeśli ID sp. z o.o. tego wymaga.</w:t>
      </w:r>
    </w:p>
    <w:p w14:paraId="628F2D7B" w14:textId="742F7D19" w:rsidR="00C671DC" w:rsidRPr="00AE3F1B" w:rsidRDefault="00444DC7" w:rsidP="0044241B">
      <w:pPr>
        <w:spacing w:after="152" w:line="253" w:lineRule="auto"/>
        <w:ind w:right="-3"/>
        <w:jc w:val="left"/>
        <w:rPr>
          <w:rFonts w:ascii="Garamond" w:hAnsi="Garamond"/>
          <w:sz w:val="24"/>
          <w:szCs w:val="24"/>
        </w:rPr>
      </w:pPr>
      <w:r>
        <w:rPr>
          <w:rFonts w:ascii="Garamond" w:hAnsi="Garamond"/>
          <w:sz w:val="24"/>
          <w:szCs w:val="24"/>
        </w:rPr>
        <w:t>II</w:t>
      </w:r>
      <w:r w:rsidR="00C671DC" w:rsidRPr="00AE3F1B">
        <w:rPr>
          <w:rFonts w:ascii="Garamond" w:hAnsi="Garamond"/>
          <w:sz w:val="24"/>
          <w:szCs w:val="24"/>
        </w:rPr>
        <w:t>.</w:t>
      </w:r>
      <w:r w:rsidR="0044241B">
        <w:rPr>
          <w:rFonts w:ascii="Garamond" w:hAnsi="Garamond"/>
          <w:sz w:val="24"/>
          <w:szCs w:val="24"/>
        </w:rPr>
        <w:t>5</w:t>
      </w:r>
      <w:r w:rsidR="00C671DC" w:rsidRPr="00AE3F1B">
        <w:rPr>
          <w:rFonts w:ascii="Garamond" w:hAnsi="Garamond"/>
          <w:sz w:val="24"/>
          <w:szCs w:val="24"/>
        </w:rPr>
        <w:t>.5.3.2.2. Pola linii SN, w których przyłączone są jednocześnie jednostki wytwórcze i odbiorcy powinny być wyposażone w:</w:t>
      </w:r>
    </w:p>
    <w:p w14:paraId="29D0A725" w14:textId="77777777" w:rsidR="00C671DC" w:rsidRPr="0044241B" w:rsidRDefault="00C671DC">
      <w:pPr>
        <w:pStyle w:val="Akapitzlist"/>
        <w:numPr>
          <w:ilvl w:val="0"/>
          <w:numId w:val="75"/>
        </w:numPr>
        <w:spacing w:line="253" w:lineRule="auto"/>
        <w:ind w:right="-3"/>
        <w:jc w:val="left"/>
        <w:rPr>
          <w:rFonts w:ascii="Garamond" w:hAnsi="Garamond"/>
          <w:sz w:val="24"/>
          <w:szCs w:val="24"/>
        </w:rPr>
      </w:pPr>
      <w:r w:rsidRPr="0044241B">
        <w:rPr>
          <w:rFonts w:ascii="Garamond" w:hAnsi="Garamond"/>
          <w:sz w:val="24"/>
          <w:szCs w:val="24"/>
        </w:rPr>
        <w:t>zabezpieczenia od skutków zwarć międzyfazowych, zalecane są zabezpieczenia nadprądowe zwłoczne i zwarciowe o charakterystykach niezależnych, każde z nich ma mieć możliwość wprowadzenia blokady kierunkowej. Zaleca się taki dobór nastaw, aby blokada kierunkowa konieczna była tylko dla zabezpieczenia nadprądowego zwłocznego,</w:t>
      </w:r>
    </w:p>
    <w:p w14:paraId="44A8F9A7" w14:textId="77777777" w:rsidR="00C671DC" w:rsidRPr="0044241B" w:rsidRDefault="00C671DC">
      <w:pPr>
        <w:pStyle w:val="Akapitzlist"/>
        <w:numPr>
          <w:ilvl w:val="0"/>
          <w:numId w:val="75"/>
        </w:numPr>
        <w:spacing w:after="126" w:line="253" w:lineRule="auto"/>
        <w:ind w:right="-3"/>
        <w:jc w:val="left"/>
        <w:rPr>
          <w:rFonts w:ascii="Garamond" w:hAnsi="Garamond"/>
          <w:sz w:val="24"/>
          <w:szCs w:val="24"/>
        </w:rPr>
      </w:pPr>
      <w:r w:rsidRPr="0044241B">
        <w:rPr>
          <w:rFonts w:ascii="Garamond" w:hAnsi="Garamond"/>
          <w:sz w:val="24"/>
          <w:szCs w:val="24"/>
        </w:rPr>
        <w:t>zabezpieczenia od skutków zwarć doziemnych działające na wyłączenie lub na sygnalizację.</w:t>
      </w:r>
    </w:p>
    <w:p w14:paraId="217E52E3" w14:textId="586C5CC9" w:rsidR="00C671DC" w:rsidRPr="00AE3F1B" w:rsidRDefault="00C671DC" w:rsidP="0044241B">
      <w:pPr>
        <w:spacing w:line="253" w:lineRule="auto"/>
        <w:ind w:right="-3"/>
        <w:jc w:val="left"/>
        <w:rPr>
          <w:rFonts w:ascii="Garamond" w:hAnsi="Garamond"/>
          <w:sz w:val="24"/>
          <w:szCs w:val="24"/>
        </w:rPr>
      </w:pPr>
      <w:r w:rsidRPr="00AE3F1B">
        <w:rPr>
          <w:rFonts w:ascii="Garamond" w:hAnsi="Garamond"/>
          <w:sz w:val="24"/>
          <w:szCs w:val="24"/>
        </w:rPr>
        <w:t>Działanie zabezpieczeń ziemnozwarciowych na sygnalizację jest dopuszczalne (z wyjątkiem sieci</w:t>
      </w:r>
      <w:r w:rsidR="0044241B">
        <w:rPr>
          <w:rFonts w:ascii="Garamond" w:hAnsi="Garamond"/>
          <w:sz w:val="24"/>
          <w:szCs w:val="24"/>
        </w:rPr>
        <w:t xml:space="preserve"> </w:t>
      </w:r>
      <w:r w:rsidRPr="00AE3F1B">
        <w:rPr>
          <w:rFonts w:ascii="Garamond" w:hAnsi="Garamond"/>
          <w:sz w:val="24"/>
          <w:szCs w:val="24"/>
        </w:rPr>
        <w:t>z punktem neutralnym uziemionym przez rezystor) w wypadku braku technicznej możliwości zapewnienia selektywnego wyłączania pod warunkiem zachowania wymogów ochrony przeciwporażeniowej w zasilanej sieci,</w:t>
      </w:r>
    </w:p>
    <w:p w14:paraId="063E926E" w14:textId="188F4323" w:rsidR="00C671DC" w:rsidRPr="0044241B" w:rsidRDefault="00C671DC">
      <w:pPr>
        <w:pStyle w:val="Akapitzlist"/>
        <w:numPr>
          <w:ilvl w:val="0"/>
          <w:numId w:val="75"/>
        </w:numPr>
        <w:spacing w:line="253" w:lineRule="auto"/>
        <w:ind w:right="-3"/>
        <w:jc w:val="left"/>
        <w:rPr>
          <w:rFonts w:ascii="Garamond" w:hAnsi="Garamond"/>
          <w:sz w:val="24"/>
          <w:szCs w:val="24"/>
        </w:rPr>
      </w:pPr>
      <w:r w:rsidRPr="0044241B">
        <w:rPr>
          <w:rFonts w:ascii="Garamond" w:hAnsi="Garamond"/>
          <w:sz w:val="24"/>
          <w:szCs w:val="24"/>
        </w:rPr>
        <w:t>układy automatyki wielokrotnego SPZ z możliwością jej programowania i blokowania, jeśli przyłączona linia jest napowietrzna lub napowietrzno</w:t>
      </w:r>
      <w:r w:rsidR="007B460D" w:rsidRPr="0044241B">
        <w:rPr>
          <w:rFonts w:ascii="Garamond" w:hAnsi="Garamond"/>
          <w:sz w:val="24"/>
          <w:szCs w:val="24"/>
        </w:rPr>
        <w:t>-</w:t>
      </w:r>
      <w:r w:rsidRPr="0044241B">
        <w:rPr>
          <w:rFonts w:ascii="Garamond" w:hAnsi="Garamond"/>
          <w:sz w:val="24"/>
          <w:szCs w:val="24"/>
        </w:rPr>
        <w:t>kablowa,</w:t>
      </w:r>
    </w:p>
    <w:p w14:paraId="29842FC6" w14:textId="77777777" w:rsidR="00C671DC" w:rsidRPr="0044241B" w:rsidRDefault="00C671DC">
      <w:pPr>
        <w:pStyle w:val="Akapitzlist"/>
        <w:numPr>
          <w:ilvl w:val="0"/>
          <w:numId w:val="75"/>
        </w:numPr>
        <w:spacing w:line="253" w:lineRule="auto"/>
        <w:ind w:right="-3"/>
        <w:jc w:val="left"/>
        <w:rPr>
          <w:rFonts w:ascii="Garamond" w:hAnsi="Garamond"/>
          <w:sz w:val="24"/>
          <w:szCs w:val="24"/>
        </w:rPr>
      </w:pPr>
      <w:r w:rsidRPr="0044241B">
        <w:rPr>
          <w:rFonts w:ascii="Garamond" w:hAnsi="Garamond"/>
          <w:sz w:val="24"/>
          <w:szCs w:val="24"/>
        </w:rPr>
        <w:t xml:space="preserve">zabezpieczenia </w:t>
      </w:r>
      <w:proofErr w:type="spellStart"/>
      <w:r w:rsidRPr="0044241B">
        <w:rPr>
          <w:rFonts w:ascii="Garamond" w:hAnsi="Garamond"/>
          <w:sz w:val="24"/>
          <w:szCs w:val="24"/>
        </w:rPr>
        <w:t>nadi</w:t>
      </w:r>
      <w:proofErr w:type="spellEnd"/>
      <w:r w:rsidRPr="0044241B">
        <w:rPr>
          <w:rFonts w:ascii="Garamond" w:hAnsi="Garamond"/>
          <w:sz w:val="24"/>
          <w:szCs w:val="24"/>
        </w:rPr>
        <w:t xml:space="preserve"> pod-częstotliwościowe, zalecane są zabezpieczenia wyposażone w kryterium </w:t>
      </w:r>
      <w:proofErr w:type="spellStart"/>
      <w:r w:rsidRPr="0044241B">
        <w:rPr>
          <w:rFonts w:ascii="Garamond" w:hAnsi="Garamond"/>
          <w:sz w:val="24"/>
          <w:szCs w:val="24"/>
        </w:rPr>
        <w:t>df</w:t>
      </w:r>
      <w:proofErr w:type="spellEnd"/>
      <w:r w:rsidRPr="0044241B">
        <w:rPr>
          <w:rFonts w:ascii="Garamond" w:hAnsi="Garamond"/>
          <w:sz w:val="24"/>
          <w:szCs w:val="24"/>
        </w:rPr>
        <w:t>/</w:t>
      </w:r>
      <w:proofErr w:type="spellStart"/>
      <w:r w:rsidRPr="0044241B">
        <w:rPr>
          <w:rFonts w:ascii="Garamond" w:hAnsi="Garamond"/>
          <w:sz w:val="24"/>
          <w:szCs w:val="24"/>
        </w:rPr>
        <w:t>dt</w:t>
      </w:r>
      <w:proofErr w:type="spellEnd"/>
      <w:r w:rsidRPr="0044241B">
        <w:rPr>
          <w:rFonts w:ascii="Garamond" w:hAnsi="Garamond"/>
          <w:sz w:val="24"/>
          <w:szCs w:val="24"/>
        </w:rPr>
        <w:t>,</w:t>
      </w:r>
    </w:p>
    <w:p w14:paraId="4F29800B" w14:textId="77777777" w:rsidR="00C671DC" w:rsidRPr="0044241B" w:rsidRDefault="00C671DC">
      <w:pPr>
        <w:pStyle w:val="Akapitzlist"/>
        <w:numPr>
          <w:ilvl w:val="0"/>
          <w:numId w:val="75"/>
        </w:numPr>
        <w:spacing w:line="253" w:lineRule="auto"/>
        <w:ind w:right="-3"/>
        <w:jc w:val="left"/>
        <w:rPr>
          <w:rFonts w:ascii="Garamond" w:hAnsi="Garamond"/>
          <w:sz w:val="24"/>
          <w:szCs w:val="24"/>
        </w:rPr>
      </w:pPr>
      <w:r w:rsidRPr="0044241B">
        <w:rPr>
          <w:rFonts w:ascii="Garamond" w:hAnsi="Garamond"/>
          <w:sz w:val="24"/>
          <w:szCs w:val="24"/>
        </w:rPr>
        <w:t>zabezpieczenia nadnapięciowe i podnapięciowe zasilane z przekładników napięciowych umieszczonych za wyłącznikiem,</w:t>
      </w:r>
    </w:p>
    <w:p w14:paraId="0621F9EB" w14:textId="77777777" w:rsidR="00C671DC" w:rsidRPr="0044241B" w:rsidRDefault="00C671DC">
      <w:pPr>
        <w:pStyle w:val="Akapitzlist"/>
        <w:numPr>
          <w:ilvl w:val="0"/>
          <w:numId w:val="75"/>
        </w:numPr>
        <w:spacing w:line="253" w:lineRule="auto"/>
        <w:ind w:right="-3"/>
        <w:jc w:val="left"/>
        <w:rPr>
          <w:rFonts w:ascii="Garamond" w:hAnsi="Garamond"/>
          <w:sz w:val="24"/>
          <w:szCs w:val="24"/>
        </w:rPr>
      </w:pPr>
      <w:r w:rsidRPr="0044241B">
        <w:rPr>
          <w:rFonts w:ascii="Garamond" w:hAnsi="Garamond"/>
          <w:sz w:val="24"/>
          <w:szCs w:val="24"/>
        </w:rPr>
        <w:t xml:space="preserve">blokadę załączenia w przypadku obecności napięcia w linii, jeśli istnieje prawdopodobieństwo utrzymania się elektrowni lokalnej w pracy wyspowej, każde ręczne, zdalne i automatyczne załączenie linii powinno być poprzedzone kontrolą napięcia i ewentualną blokadą w przypadku istnienia napięcia w linii, zabezpieczenie wymaga zainstalowania przekładników napięciowych </w:t>
      </w:r>
      <w:r w:rsidRPr="0044241B">
        <w:rPr>
          <w:rFonts w:ascii="Garamond" w:hAnsi="Garamond"/>
          <w:sz w:val="24"/>
          <w:szCs w:val="24"/>
        </w:rPr>
        <w:lastRenderedPageBreak/>
        <w:t>za wyłącznikiem pola oraz powinny mieć możliwość współpracy z zabezpieczeniem szyn zbiorczych i układem lokalnej rezerwy wyłącznikowej.</w:t>
      </w:r>
    </w:p>
    <w:p w14:paraId="607D70A1" w14:textId="28D3DA77" w:rsidR="00C671DC" w:rsidRPr="00AE3F1B" w:rsidRDefault="00444DC7" w:rsidP="00175586">
      <w:pPr>
        <w:spacing w:after="155" w:line="253" w:lineRule="auto"/>
        <w:ind w:left="567" w:right="-3" w:hanging="567"/>
        <w:jc w:val="left"/>
        <w:rPr>
          <w:rFonts w:ascii="Garamond" w:hAnsi="Garamond"/>
          <w:sz w:val="24"/>
          <w:szCs w:val="24"/>
        </w:rPr>
      </w:pPr>
      <w:r>
        <w:rPr>
          <w:rFonts w:ascii="Garamond" w:hAnsi="Garamond"/>
          <w:sz w:val="24"/>
          <w:szCs w:val="24"/>
        </w:rPr>
        <w:t>II</w:t>
      </w:r>
      <w:r w:rsidR="00C671DC" w:rsidRPr="00AE3F1B">
        <w:rPr>
          <w:rFonts w:ascii="Garamond" w:hAnsi="Garamond"/>
          <w:sz w:val="24"/>
          <w:szCs w:val="24"/>
        </w:rPr>
        <w:t>.</w:t>
      </w:r>
      <w:r w:rsidR="0044241B">
        <w:rPr>
          <w:rFonts w:ascii="Garamond" w:hAnsi="Garamond"/>
          <w:sz w:val="24"/>
          <w:szCs w:val="24"/>
        </w:rPr>
        <w:t>5</w:t>
      </w:r>
      <w:r w:rsidR="00C671DC" w:rsidRPr="00AE3F1B">
        <w:rPr>
          <w:rFonts w:ascii="Garamond" w:hAnsi="Garamond"/>
          <w:sz w:val="24"/>
          <w:szCs w:val="24"/>
        </w:rPr>
        <w:t>.5.3.2.3.</w:t>
      </w:r>
      <w:r w:rsidR="0044241B">
        <w:rPr>
          <w:rFonts w:ascii="Garamond" w:hAnsi="Garamond"/>
          <w:sz w:val="24"/>
          <w:szCs w:val="24"/>
        </w:rPr>
        <w:t xml:space="preserve"> </w:t>
      </w:r>
      <w:r w:rsidR="00C671DC" w:rsidRPr="00AE3F1B">
        <w:rPr>
          <w:rFonts w:ascii="Garamond" w:hAnsi="Garamond"/>
          <w:sz w:val="24"/>
          <w:szCs w:val="24"/>
        </w:rPr>
        <w:t>Pola linii współpracujące wyłącznie z jednostkami wytwórczymi powinny być wyposażone:</w:t>
      </w:r>
    </w:p>
    <w:p w14:paraId="4756BC89" w14:textId="1B0D940A" w:rsidR="00C671DC" w:rsidRPr="0044241B" w:rsidRDefault="0044241B">
      <w:pPr>
        <w:pStyle w:val="Akapitzlist"/>
        <w:numPr>
          <w:ilvl w:val="0"/>
          <w:numId w:val="76"/>
        </w:numPr>
        <w:spacing w:line="253" w:lineRule="auto"/>
        <w:ind w:right="-3"/>
        <w:jc w:val="left"/>
        <w:rPr>
          <w:rFonts w:ascii="Garamond" w:hAnsi="Garamond"/>
          <w:sz w:val="24"/>
          <w:szCs w:val="24"/>
        </w:rPr>
      </w:pPr>
      <w:r w:rsidRPr="0044241B">
        <w:rPr>
          <w:rFonts w:ascii="Garamond" w:hAnsi="Garamond"/>
          <w:sz w:val="24"/>
          <w:szCs w:val="24"/>
        </w:rPr>
        <w:t xml:space="preserve">w </w:t>
      </w:r>
      <w:r w:rsidR="00C671DC" w:rsidRPr="0044241B">
        <w:rPr>
          <w:rFonts w:ascii="Garamond" w:hAnsi="Garamond"/>
          <w:sz w:val="24"/>
          <w:szCs w:val="24"/>
        </w:rPr>
        <w:t>zabezpieczenia od skutków zwarć międzyfazowych, zalecane są zabezpieczenia nadprądowe zwłoczne i zwarciowe o charakterystykach niezależnych, każde z nich ma mieć możliwość wprowadzenia blokady kierunkowej, zaleca się taki dobór nastaw, aby blokada kierunkowa konieczna była tylko dla zabezpieczenia nadprądowego zwłocznego,</w:t>
      </w:r>
    </w:p>
    <w:p w14:paraId="658BAAC2" w14:textId="75E30B4D" w:rsidR="00C671DC" w:rsidRPr="0044241B" w:rsidRDefault="0044241B">
      <w:pPr>
        <w:pStyle w:val="Akapitzlist"/>
        <w:numPr>
          <w:ilvl w:val="0"/>
          <w:numId w:val="76"/>
        </w:numPr>
        <w:spacing w:after="115" w:line="253" w:lineRule="auto"/>
        <w:ind w:right="-3"/>
        <w:jc w:val="left"/>
        <w:rPr>
          <w:rFonts w:ascii="Garamond" w:hAnsi="Garamond"/>
          <w:sz w:val="24"/>
          <w:szCs w:val="24"/>
        </w:rPr>
      </w:pPr>
      <w:r w:rsidRPr="0044241B">
        <w:rPr>
          <w:rFonts w:ascii="Garamond" w:hAnsi="Garamond"/>
          <w:sz w:val="24"/>
          <w:szCs w:val="24"/>
        </w:rPr>
        <w:t xml:space="preserve">w </w:t>
      </w:r>
      <w:r w:rsidR="00C671DC" w:rsidRPr="0044241B">
        <w:rPr>
          <w:rFonts w:ascii="Garamond" w:hAnsi="Garamond"/>
          <w:sz w:val="24"/>
          <w:szCs w:val="24"/>
        </w:rPr>
        <w:t>zabezpieczenia od skutków zwarć doziemnych działające na wyłączenie lub na sygnalizację.</w:t>
      </w:r>
    </w:p>
    <w:p w14:paraId="3A22D042" w14:textId="77777777" w:rsidR="00C671DC" w:rsidRPr="00AE3F1B" w:rsidRDefault="00C671DC" w:rsidP="0044241B">
      <w:pPr>
        <w:spacing w:after="109" w:line="253" w:lineRule="auto"/>
        <w:ind w:right="-3"/>
        <w:jc w:val="left"/>
        <w:rPr>
          <w:rFonts w:ascii="Garamond" w:hAnsi="Garamond"/>
          <w:sz w:val="24"/>
          <w:szCs w:val="24"/>
        </w:rPr>
      </w:pPr>
      <w:r w:rsidRPr="00AE3F1B">
        <w:rPr>
          <w:rFonts w:ascii="Garamond" w:hAnsi="Garamond"/>
          <w:sz w:val="24"/>
          <w:szCs w:val="24"/>
        </w:rPr>
        <w:t>Działanie zabezpieczeń ziemnozwarciowych na sygnalizację jest dopuszczalne (z wyjątkiem sieci z punktem neutralnym uziemionym przez rezystor) w wypadku braku technicznej możliwości zapewnienia selektywnego wyłączania pod warunkiem zachowania wymagań ochrony przeciwporażeniowej w zasilanej sieci.</w:t>
      </w:r>
    </w:p>
    <w:p w14:paraId="649C5083" w14:textId="4B0F4405" w:rsidR="00C671DC" w:rsidRPr="0044241B" w:rsidRDefault="00C671DC">
      <w:pPr>
        <w:pStyle w:val="Akapitzlist"/>
        <w:numPr>
          <w:ilvl w:val="0"/>
          <w:numId w:val="76"/>
        </w:numPr>
        <w:spacing w:line="253" w:lineRule="auto"/>
        <w:ind w:right="-3"/>
        <w:jc w:val="left"/>
        <w:rPr>
          <w:rFonts w:ascii="Garamond" w:hAnsi="Garamond"/>
          <w:sz w:val="24"/>
          <w:szCs w:val="24"/>
        </w:rPr>
      </w:pPr>
      <w:r w:rsidRPr="0044241B">
        <w:rPr>
          <w:rFonts w:ascii="Garamond" w:hAnsi="Garamond"/>
          <w:sz w:val="24"/>
          <w:szCs w:val="24"/>
        </w:rPr>
        <w:t xml:space="preserve">zabezpieczenia </w:t>
      </w:r>
      <w:proofErr w:type="spellStart"/>
      <w:r w:rsidRPr="0044241B">
        <w:rPr>
          <w:rFonts w:ascii="Garamond" w:hAnsi="Garamond"/>
          <w:sz w:val="24"/>
          <w:szCs w:val="24"/>
        </w:rPr>
        <w:t>nadi</w:t>
      </w:r>
      <w:proofErr w:type="spellEnd"/>
      <w:r w:rsidRPr="0044241B">
        <w:rPr>
          <w:rFonts w:ascii="Garamond" w:hAnsi="Garamond"/>
          <w:sz w:val="24"/>
          <w:szCs w:val="24"/>
        </w:rPr>
        <w:t xml:space="preserve"> </w:t>
      </w:r>
      <w:proofErr w:type="spellStart"/>
      <w:r w:rsidRPr="0044241B">
        <w:rPr>
          <w:rFonts w:ascii="Garamond" w:hAnsi="Garamond"/>
          <w:sz w:val="24"/>
          <w:szCs w:val="24"/>
        </w:rPr>
        <w:t>podczęstotliwościowe</w:t>
      </w:r>
      <w:proofErr w:type="spellEnd"/>
      <w:r w:rsidRPr="0044241B">
        <w:rPr>
          <w:rFonts w:ascii="Garamond" w:hAnsi="Garamond"/>
          <w:sz w:val="24"/>
          <w:szCs w:val="24"/>
        </w:rPr>
        <w:t xml:space="preserve">, zalecane są zabezpieczenia wyposażone </w:t>
      </w:r>
      <w:r w:rsidR="007B460D" w:rsidRPr="0044241B">
        <w:rPr>
          <w:rFonts w:ascii="Garamond" w:hAnsi="Garamond"/>
          <w:sz w:val="24"/>
          <w:szCs w:val="24"/>
        </w:rPr>
        <w:br/>
      </w:r>
      <w:r w:rsidRPr="0044241B">
        <w:rPr>
          <w:rFonts w:ascii="Garamond" w:hAnsi="Garamond"/>
          <w:sz w:val="24"/>
          <w:szCs w:val="24"/>
        </w:rPr>
        <w:t xml:space="preserve">w kryterium </w:t>
      </w:r>
      <w:proofErr w:type="spellStart"/>
      <w:r w:rsidRPr="0044241B">
        <w:rPr>
          <w:rFonts w:ascii="Garamond" w:hAnsi="Garamond"/>
          <w:sz w:val="24"/>
          <w:szCs w:val="24"/>
        </w:rPr>
        <w:t>df</w:t>
      </w:r>
      <w:proofErr w:type="spellEnd"/>
      <w:r w:rsidRPr="0044241B">
        <w:rPr>
          <w:rFonts w:ascii="Garamond" w:hAnsi="Garamond"/>
          <w:sz w:val="24"/>
          <w:szCs w:val="24"/>
        </w:rPr>
        <w:t>/</w:t>
      </w:r>
      <w:proofErr w:type="spellStart"/>
      <w:r w:rsidRPr="0044241B">
        <w:rPr>
          <w:rFonts w:ascii="Garamond" w:hAnsi="Garamond"/>
          <w:sz w:val="24"/>
          <w:szCs w:val="24"/>
        </w:rPr>
        <w:t>dt</w:t>
      </w:r>
      <w:proofErr w:type="spellEnd"/>
      <w:r w:rsidRPr="0044241B">
        <w:rPr>
          <w:rFonts w:ascii="Garamond" w:hAnsi="Garamond"/>
          <w:sz w:val="24"/>
          <w:szCs w:val="24"/>
        </w:rPr>
        <w:t>,</w:t>
      </w:r>
    </w:p>
    <w:p w14:paraId="5BC997F1" w14:textId="77777777" w:rsidR="00C671DC" w:rsidRPr="0044241B" w:rsidRDefault="00C671DC">
      <w:pPr>
        <w:pStyle w:val="Akapitzlist"/>
        <w:numPr>
          <w:ilvl w:val="0"/>
          <w:numId w:val="76"/>
        </w:numPr>
        <w:spacing w:after="136" w:line="253" w:lineRule="auto"/>
        <w:ind w:right="-3"/>
        <w:jc w:val="left"/>
        <w:rPr>
          <w:rFonts w:ascii="Garamond" w:hAnsi="Garamond"/>
          <w:sz w:val="24"/>
          <w:szCs w:val="24"/>
        </w:rPr>
      </w:pPr>
      <w:r w:rsidRPr="0044241B">
        <w:rPr>
          <w:rFonts w:ascii="Garamond" w:hAnsi="Garamond"/>
          <w:sz w:val="24"/>
          <w:szCs w:val="24"/>
        </w:rPr>
        <w:t>blokadę załączenia w przypadku obecności napięcia w linii, jeśli istnieje możliwość utrzymania się elektrowni lokalnej w pracy wyspowej, każde ręczne, zdalne i automatyczne załączenie linii powinno być poprzedzone kontrolą napięcia i ewentualną blokadą w przypadku istnienia napięcia w linii, zabezpieczenie wymaga zainstalowania przekładników napięciowych za wyłącznikiem pola, oraz powinny mieć możliwość współpracy z zabezpieczeniem szyn zbiorczych i układem lokalnej rezerwy wyłącznikowej.</w:t>
      </w:r>
    </w:p>
    <w:p w14:paraId="5FD6D709" w14:textId="527E4385" w:rsidR="00C671DC" w:rsidRPr="00140798" w:rsidRDefault="00444DC7" w:rsidP="00987991">
      <w:pPr>
        <w:keepNext/>
        <w:keepLines/>
        <w:tabs>
          <w:tab w:val="center" w:pos="4410"/>
        </w:tabs>
        <w:spacing w:after="0" w:line="259" w:lineRule="auto"/>
        <w:ind w:left="567" w:hanging="567"/>
        <w:jc w:val="left"/>
        <w:outlineLvl w:val="3"/>
        <w:rPr>
          <w:rFonts w:ascii="Garamond" w:hAnsi="Garamond"/>
          <w:sz w:val="24"/>
          <w:szCs w:val="24"/>
        </w:rPr>
      </w:pPr>
      <w:bookmarkStart w:id="30" w:name="_Toc171860226"/>
      <w:r w:rsidRPr="00140798">
        <w:rPr>
          <w:rFonts w:ascii="Garamond" w:hAnsi="Garamond"/>
          <w:sz w:val="24"/>
          <w:szCs w:val="24"/>
        </w:rPr>
        <w:t>II</w:t>
      </w:r>
      <w:r w:rsidR="00C671DC" w:rsidRPr="00140798">
        <w:rPr>
          <w:rFonts w:ascii="Garamond" w:hAnsi="Garamond"/>
          <w:sz w:val="24"/>
          <w:szCs w:val="24"/>
        </w:rPr>
        <w:t>.</w:t>
      </w:r>
      <w:r w:rsidR="0037712B">
        <w:rPr>
          <w:rFonts w:ascii="Garamond" w:hAnsi="Garamond"/>
          <w:sz w:val="24"/>
          <w:szCs w:val="24"/>
        </w:rPr>
        <w:t>5</w:t>
      </w:r>
      <w:r w:rsidR="00C671DC" w:rsidRPr="00140798">
        <w:rPr>
          <w:rFonts w:ascii="Garamond" w:hAnsi="Garamond"/>
          <w:sz w:val="24"/>
          <w:szCs w:val="24"/>
        </w:rPr>
        <w:t>.5.3.3. Wymagania dla transformatorów potrzeb własnych i uziemiających</w:t>
      </w:r>
      <w:bookmarkEnd w:id="30"/>
    </w:p>
    <w:p w14:paraId="50044FFB" w14:textId="4FE894D0" w:rsidR="00C671DC" w:rsidRPr="00AE3F1B" w:rsidRDefault="00444DC7" w:rsidP="00175586">
      <w:pPr>
        <w:spacing w:after="156" w:line="253" w:lineRule="auto"/>
        <w:ind w:left="567" w:right="-3" w:hanging="567"/>
        <w:jc w:val="left"/>
        <w:rPr>
          <w:rFonts w:ascii="Garamond" w:hAnsi="Garamond"/>
          <w:sz w:val="24"/>
          <w:szCs w:val="24"/>
        </w:rPr>
      </w:pPr>
      <w:r>
        <w:rPr>
          <w:rFonts w:ascii="Garamond" w:hAnsi="Garamond"/>
          <w:sz w:val="24"/>
          <w:szCs w:val="24"/>
        </w:rPr>
        <w:t>II</w:t>
      </w:r>
      <w:r w:rsidR="00C671DC" w:rsidRPr="00AE3F1B">
        <w:rPr>
          <w:rFonts w:ascii="Garamond" w:hAnsi="Garamond"/>
          <w:sz w:val="24"/>
          <w:szCs w:val="24"/>
        </w:rPr>
        <w:t>.</w:t>
      </w:r>
      <w:r w:rsidR="0037712B">
        <w:rPr>
          <w:rFonts w:ascii="Garamond" w:hAnsi="Garamond"/>
          <w:sz w:val="24"/>
          <w:szCs w:val="24"/>
        </w:rPr>
        <w:t>5</w:t>
      </w:r>
      <w:r w:rsidR="00C671DC" w:rsidRPr="00AE3F1B">
        <w:rPr>
          <w:rFonts w:ascii="Garamond" w:hAnsi="Garamond"/>
          <w:sz w:val="24"/>
          <w:szCs w:val="24"/>
        </w:rPr>
        <w:t>.5.3.3.1. Pola potrzeb własnych powinny być wyposażone w następujące układy EAZ:</w:t>
      </w:r>
    </w:p>
    <w:p w14:paraId="507D369C" w14:textId="176B7DC3" w:rsidR="00C671DC" w:rsidRPr="0044241B" w:rsidRDefault="00C671DC">
      <w:pPr>
        <w:pStyle w:val="Akapitzlist"/>
        <w:numPr>
          <w:ilvl w:val="0"/>
          <w:numId w:val="77"/>
        </w:numPr>
        <w:spacing w:line="253" w:lineRule="auto"/>
        <w:ind w:right="-3"/>
        <w:jc w:val="left"/>
        <w:rPr>
          <w:rFonts w:ascii="Garamond" w:hAnsi="Garamond"/>
          <w:sz w:val="24"/>
          <w:szCs w:val="24"/>
        </w:rPr>
      </w:pPr>
      <w:r w:rsidRPr="0044241B">
        <w:rPr>
          <w:rFonts w:ascii="Garamond" w:hAnsi="Garamond"/>
          <w:sz w:val="24"/>
          <w:szCs w:val="24"/>
        </w:rPr>
        <w:t>zabezpieczenie reagujące na zwarcia wewnętrzne w transformatorze i na wyprowadzeniach</w:t>
      </w:r>
    </w:p>
    <w:p w14:paraId="6EA4E41F" w14:textId="1FB163CD" w:rsidR="004C77E0" w:rsidRPr="0044241B" w:rsidRDefault="00C671DC">
      <w:pPr>
        <w:pStyle w:val="Akapitzlist"/>
        <w:numPr>
          <w:ilvl w:val="0"/>
          <w:numId w:val="77"/>
        </w:numPr>
        <w:spacing w:line="253" w:lineRule="auto"/>
        <w:ind w:right="-3"/>
        <w:jc w:val="left"/>
        <w:rPr>
          <w:rFonts w:ascii="Garamond" w:hAnsi="Garamond"/>
          <w:sz w:val="24"/>
          <w:szCs w:val="24"/>
        </w:rPr>
      </w:pPr>
      <w:r w:rsidRPr="0044241B">
        <w:rPr>
          <w:rFonts w:ascii="Garamond" w:hAnsi="Garamond"/>
          <w:sz w:val="24"/>
          <w:szCs w:val="24"/>
        </w:rPr>
        <w:t xml:space="preserve">zabezpieczenie nadprądowe zwłoczne od skutków zwarć zewnętrznych, </w:t>
      </w:r>
    </w:p>
    <w:p w14:paraId="534FEC46" w14:textId="349CD322" w:rsidR="0044241B" w:rsidRDefault="00C671DC">
      <w:pPr>
        <w:pStyle w:val="Akapitzlist"/>
        <w:numPr>
          <w:ilvl w:val="0"/>
          <w:numId w:val="77"/>
        </w:numPr>
        <w:spacing w:line="360" w:lineRule="auto"/>
        <w:ind w:right="-3"/>
        <w:jc w:val="left"/>
        <w:rPr>
          <w:rFonts w:ascii="Garamond" w:hAnsi="Garamond"/>
          <w:sz w:val="24"/>
          <w:szCs w:val="24"/>
        </w:rPr>
      </w:pPr>
      <w:r w:rsidRPr="0044241B">
        <w:rPr>
          <w:rFonts w:ascii="Garamond" w:hAnsi="Garamond"/>
          <w:sz w:val="24"/>
          <w:szCs w:val="24"/>
        </w:rPr>
        <w:t>zabezpieczenia fabryczne transformatora.</w:t>
      </w:r>
    </w:p>
    <w:p w14:paraId="2179F9D1" w14:textId="7CD375BE" w:rsidR="000E7344" w:rsidRDefault="000E7344" w:rsidP="000E7344">
      <w:pPr>
        <w:ind w:left="360" w:right="-3" w:hanging="360"/>
        <w:jc w:val="left"/>
        <w:rPr>
          <w:rFonts w:ascii="Garamond" w:hAnsi="Garamond"/>
          <w:sz w:val="24"/>
          <w:szCs w:val="24"/>
        </w:rPr>
      </w:pPr>
      <w:r>
        <w:rPr>
          <w:rFonts w:ascii="Garamond" w:hAnsi="Garamond"/>
          <w:sz w:val="24"/>
          <w:szCs w:val="24"/>
        </w:rPr>
        <w:t>II</w:t>
      </w:r>
      <w:r w:rsidRPr="00AE3F1B">
        <w:rPr>
          <w:rFonts w:ascii="Garamond" w:hAnsi="Garamond"/>
          <w:sz w:val="24"/>
          <w:szCs w:val="24"/>
        </w:rPr>
        <w:t>.</w:t>
      </w:r>
      <w:r w:rsidR="0037712B">
        <w:rPr>
          <w:rFonts w:ascii="Garamond" w:hAnsi="Garamond"/>
          <w:sz w:val="24"/>
          <w:szCs w:val="24"/>
        </w:rPr>
        <w:t>5</w:t>
      </w:r>
      <w:r w:rsidRPr="00AE3F1B">
        <w:rPr>
          <w:rFonts w:ascii="Garamond" w:hAnsi="Garamond"/>
          <w:sz w:val="24"/>
          <w:szCs w:val="24"/>
        </w:rPr>
        <w:t>.5.3.3.2.</w:t>
      </w:r>
      <w:r>
        <w:rPr>
          <w:rFonts w:ascii="Garamond" w:hAnsi="Garamond"/>
          <w:sz w:val="24"/>
          <w:szCs w:val="24"/>
        </w:rPr>
        <w:t xml:space="preserve"> W sieciach skompe</w:t>
      </w:r>
      <w:r w:rsidR="006E34EA">
        <w:rPr>
          <w:rFonts w:ascii="Garamond" w:hAnsi="Garamond"/>
          <w:sz w:val="24"/>
          <w:szCs w:val="24"/>
        </w:rPr>
        <w:t>n</w:t>
      </w:r>
      <w:r>
        <w:rPr>
          <w:rFonts w:ascii="Garamond" w:hAnsi="Garamond"/>
          <w:sz w:val="24"/>
          <w:szCs w:val="24"/>
        </w:rPr>
        <w:t>sowanych zaleca się dla prawidłowego działania zabezpieczeń ziemnozwarciowych</w:t>
      </w:r>
      <w:r w:rsidRPr="00AE3F1B">
        <w:rPr>
          <w:rFonts w:ascii="Garamond" w:hAnsi="Garamond"/>
          <w:sz w:val="24"/>
          <w:szCs w:val="24"/>
        </w:rPr>
        <w:t xml:space="preserve"> w polach liniowych wprowadzenie dodatkowego prądu doziemnego. Wartość i charakter tego prądu powinny być dostosowane do zastosowanych zabezpieczeń</w:t>
      </w:r>
      <w:r w:rsidR="006B044F">
        <w:rPr>
          <w:rFonts w:ascii="Garamond" w:hAnsi="Garamond"/>
          <w:sz w:val="24"/>
          <w:szCs w:val="24"/>
        </w:rPr>
        <w:t>.</w:t>
      </w:r>
    </w:p>
    <w:p w14:paraId="32A7FB52" w14:textId="31A67175" w:rsidR="000E7344" w:rsidRPr="000E7344" w:rsidRDefault="000E7344" w:rsidP="000E7344">
      <w:pPr>
        <w:ind w:left="360" w:right="-3" w:hanging="360"/>
        <w:jc w:val="left"/>
        <w:rPr>
          <w:rFonts w:ascii="Garamond" w:hAnsi="Garamond"/>
          <w:sz w:val="24"/>
          <w:szCs w:val="24"/>
        </w:rPr>
      </w:pPr>
      <w:r>
        <w:rPr>
          <w:rFonts w:ascii="Garamond" w:hAnsi="Garamond"/>
          <w:sz w:val="24"/>
          <w:szCs w:val="24"/>
        </w:rPr>
        <w:t>II</w:t>
      </w:r>
      <w:r w:rsidRPr="00AE3F1B">
        <w:rPr>
          <w:rFonts w:ascii="Garamond" w:hAnsi="Garamond"/>
          <w:sz w:val="24"/>
          <w:szCs w:val="24"/>
        </w:rPr>
        <w:t>.</w:t>
      </w:r>
      <w:r w:rsidR="0037712B">
        <w:rPr>
          <w:rFonts w:ascii="Garamond" w:hAnsi="Garamond"/>
          <w:sz w:val="24"/>
          <w:szCs w:val="24"/>
        </w:rPr>
        <w:t>5</w:t>
      </w:r>
      <w:r w:rsidRPr="00AE3F1B">
        <w:rPr>
          <w:rFonts w:ascii="Garamond" w:hAnsi="Garamond"/>
          <w:sz w:val="24"/>
          <w:szCs w:val="24"/>
        </w:rPr>
        <w:t>.5.3.3.</w:t>
      </w:r>
      <w:r>
        <w:rPr>
          <w:rFonts w:ascii="Garamond" w:hAnsi="Garamond"/>
          <w:sz w:val="24"/>
          <w:szCs w:val="24"/>
        </w:rPr>
        <w:t xml:space="preserve">3. </w:t>
      </w:r>
      <w:r w:rsidRPr="00AE3F1B">
        <w:rPr>
          <w:rFonts w:ascii="Garamond" w:hAnsi="Garamond"/>
          <w:sz w:val="24"/>
          <w:szCs w:val="24"/>
        </w:rPr>
        <w:t>Jeśli w polu potrzeb własnych jest zainstalowany rezystor uziemiający, to zabezpieczenie</w:t>
      </w:r>
      <w:r>
        <w:rPr>
          <w:rFonts w:ascii="Garamond" w:hAnsi="Garamond"/>
          <w:sz w:val="24"/>
          <w:szCs w:val="24"/>
        </w:rPr>
        <w:t xml:space="preserve"> </w:t>
      </w:r>
      <w:r w:rsidRPr="00AE3F1B">
        <w:rPr>
          <w:rFonts w:ascii="Garamond" w:hAnsi="Garamond"/>
          <w:sz w:val="24"/>
          <w:szCs w:val="24"/>
        </w:rPr>
        <w:t>nadprądowe w punkcie neutralnym powinno mieć możliwość blokady zabezpieczenia nadprądowego zwłocznego oraz chronić rezystor przed skutkami zbyt długiego przepływu prądu w czasie zwarcia doziemnego niewyłączonego przez zabezpieczenia</w:t>
      </w:r>
      <w:r w:rsidR="00D356CE">
        <w:rPr>
          <w:rFonts w:ascii="Garamond" w:hAnsi="Garamond"/>
          <w:sz w:val="24"/>
          <w:szCs w:val="24"/>
        </w:rPr>
        <w:t xml:space="preserve"> w</w:t>
      </w:r>
      <w:r w:rsidRPr="00AE3F1B">
        <w:rPr>
          <w:rFonts w:ascii="Garamond" w:hAnsi="Garamond"/>
          <w:sz w:val="24"/>
          <w:szCs w:val="24"/>
        </w:rPr>
        <w:t xml:space="preserve"> innych polach. Sposób oddziaływania tego zabezpieczenia na wyłączniki w stacji określa ID Sp. z o.o.</w:t>
      </w:r>
      <w:r w:rsidR="000F131C">
        <w:rPr>
          <w:rFonts w:ascii="Garamond" w:hAnsi="Garamond"/>
          <w:sz w:val="24"/>
          <w:szCs w:val="24"/>
        </w:rPr>
        <w:t>:</w:t>
      </w:r>
    </w:p>
    <w:p w14:paraId="538E96BB" w14:textId="77777777" w:rsidR="004C77E0" w:rsidRPr="0044241B" w:rsidRDefault="00C671DC">
      <w:pPr>
        <w:pStyle w:val="Akapitzlist"/>
        <w:numPr>
          <w:ilvl w:val="0"/>
          <w:numId w:val="79"/>
        </w:numPr>
        <w:tabs>
          <w:tab w:val="center" w:pos="4605"/>
        </w:tabs>
        <w:spacing w:line="253" w:lineRule="auto"/>
        <w:ind w:right="-3"/>
        <w:jc w:val="left"/>
        <w:rPr>
          <w:rFonts w:ascii="Garamond" w:eastAsia="Times New Roman" w:hAnsi="Garamond" w:cs="Times New Roman"/>
          <w:sz w:val="24"/>
          <w:szCs w:val="24"/>
          <w:u w:color="000000"/>
        </w:rPr>
      </w:pPr>
      <w:r w:rsidRPr="0044241B">
        <w:rPr>
          <w:rFonts w:ascii="Garamond" w:hAnsi="Garamond"/>
          <w:sz w:val="24"/>
          <w:szCs w:val="24"/>
        </w:rPr>
        <w:t>dla transformatorów dwu-</w:t>
      </w:r>
      <w:proofErr w:type="spellStart"/>
      <w:r w:rsidRPr="0044241B">
        <w:rPr>
          <w:rFonts w:ascii="Garamond" w:hAnsi="Garamond"/>
          <w:sz w:val="24"/>
          <w:szCs w:val="24"/>
        </w:rPr>
        <w:t>uzwojeniowych</w:t>
      </w:r>
      <w:proofErr w:type="spellEnd"/>
      <w:r w:rsidRPr="0044241B">
        <w:rPr>
          <w:rFonts w:ascii="Garamond" w:hAnsi="Garamond"/>
          <w:sz w:val="24"/>
          <w:szCs w:val="24"/>
        </w:rPr>
        <w:t xml:space="preserve"> wyłączenie dwustronne (zalecane) lub tylko po stronie SN,</w:t>
      </w:r>
    </w:p>
    <w:p w14:paraId="20396CFC" w14:textId="77777777" w:rsidR="00BB15A1" w:rsidRPr="0044241B" w:rsidRDefault="00C671DC">
      <w:pPr>
        <w:pStyle w:val="Akapitzlist"/>
        <w:numPr>
          <w:ilvl w:val="0"/>
          <w:numId w:val="79"/>
        </w:numPr>
        <w:tabs>
          <w:tab w:val="center" w:pos="4605"/>
        </w:tabs>
        <w:spacing w:line="253" w:lineRule="auto"/>
        <w:ind w:right="-3"/>
        <w:jc w:val="left"/>
        <w:rPr>
          <w:rFonts w:ascii="Garamond" w:eastAsia="Times New Roman" w:hAnsi="Garamond" w:cs="Times New Roman"/>
          <w:sz w:val="24"/>
          <w:szCs w:val="24"/>
          <w:u w:color="000000"/>
        </w:rPr>
      </w:pPr>
      <w:r w:rsidRPr="0044241B">
        <w:rPr>
          <w:rFonts w:ascii="Garamond" w:hAnsi="Garamond"/>
          <w:sz w:val="24"/>
          <w:szCs w:val="24"/>
        </w:rPr>
        <w:t>dla transformatorów trójuzwojeniowych wyłączenie tylko po stronie SN dotkniętej zakłóceniem lub ze wszystkich stron.</w:t>
      </w:r>
      <w:r w:rsidR="00BB15A1" w:rsidRPr="0044241B">
        <w:rPr>
          <w:rFonts w:ascii="Garamond" w:hAnsi="Garamond"/>
          <w:sz w:val="24"/>
          <w:szCs w:val="24"/>
        </w:rPr>
        <w:br/>
      </w:r>
      <w:r w:rsidR="00BB15A1" w:rsidRPr="0044241B">
        <w:rPr>
          <w:rFonts w:ascii="Garamond" w:eastAsia="Times New Roman" w:hAnsi="Garamond" w:cs="Times New Roman"/>
          <w:sz w:val="24"/>
          <w:szCs w:val="24"/>
          <w:u w:color="000000"/>
        </w:rPr>
        <w:tab/>
      </w:r>
    </w:p>
    <w:p w14:paraId="5616CC59" w14:textId="49B8D09E" w:rsidR="00BB15A1" w:rsidRPr="00F470E3" w:rsidRDefault="00F470E3" w:rsidP="00175586">
      <w:pPr>
        <w:pStyle w:val="Nagwek4"/>
        <w:tabs>
          <w:tab w:val="center" w:pos="704"/>
          <w:tab w:val="center" w:pos="4605"/>
        </w:tabs>
        <w:ind w:left="567" w:right="-3" w:hanging="567"/>
        <w:rPr>
          <w:rFonts w:ascii="Garamond" w:eastAsia="Times New Roman" w:hAnsi="Garamond" w:cs="Times New Roman"/>
          <w:i w:val="0"/>
          <w:iCs w:val="0"/>
          <w:sz w:val="24"/>
          <w:szCs w:val="24"/>
        </w:rPr>
      </w:pPr>
      <w:bookmarkStart w:id="31" w:name="_Toc171860227"/>
      <w:r w:rsidRPr="00F470E3">
        <w:rPr>
          <w:rFonts w:ascii="Garamond" w:eastAsia="Times New Roman" w:hAnsi="Garamond" w:cs="Times New Roman"/>
          <w:i w:val="0"/>
          <w:iCs w:val="0"/>
          <w:sz w:val="24"/>
          <w:szCs w:val="24"/>
        </w:rPr>
        <w:t>II</w:t>
      </w:r>
      <w:r w:rsidR="00BB15A1" w:rsidRPr="00F470E3">
        <w:rPr>
          <w:rFonts w:ascii="Garamond" w:eastAsia="Times New Roman" w:hAnsi="Garamond" w:cs="Times New Roman"/>
          <w:i w:val="0"/>
          <w:iCs w:val="0"/>
          <w:sz w:val="24"/>
          <w:szCs w:val="24"/>
        </w:rPr>
        <w:t>.</w:t>
      </w:r>
      <w:r w:rsidR="0037712B">
        <w:rPr>
          <w:rFonts w:ascii="Garamond" w:eastAsia="Times New Roman" w:hAnsi="Garamond" w:cs="Times New Roman"/>
          <w:i w:val="0"/>
          <w:iCs w:val="0"/>
          <w:sz w:val="24"/>
          <w:szCs w:val="24"/>
        </w:rPr>
        <w:t>5</w:t>
      </w:r>
      <w:r w:rsidR="00BB15A1" w:rsidRPr="00F470E3">
        <w:rPr>
          <w:rFonts w:ascii="Garamond" w:eastAsia="Times New Roman" w:hAnsi="Garamond" w:cs="Times New Roman"/>
          <w:i w:val="0"/>
          <w:iCs w:val="0"/>
          <w:sz w:val="24"/>
          <w:szCs w:val="24"/>
        </w:rPr>
        <w:t>.</w:t>
      </w:r>
      <w:r w:rsidR="00140798">
        <w:rPr>
          <w:rFonts w:ascii="Garamond" w:eastAsia="Times New Roman" w:hAnsi="Garamond" w:cs="Times New Roman"/>
          <w:i w:val="0"/>
          <w:iCs w:val="0"/>
          <w:sz w:val="24"/>
          <w:szCs w:val="24"/>
        </w:rPr>
        <w:t>5.3.4.</w:t>
      </w:r>
      <w:r w:rsidR="00BB15A1" w:rsidRPr="00F470E3">
        <w:rPr>
          <w:rFonts w:ascii="Garamond" w:eastAsia="Times New Roman" w:hAnsi="Garamond" w:cs="Times New Roman"/>
          <w:i w:val="0"/>
          <w:iCs w:val="0"/>
          <w:sz w:val="24"/>
          <w:szCs w:val="24"/>
        </w:rPr>
        <w:tab/>
      </w:r>
      <w:r w:rsidR="00BB15A1" w:rsidRPr="00140798">
        <w:rPr>
          <w:rFonts w:asciiTheme="majorHAnsi" w:eastAsia="Times New Roman" w:hAnsiTheme="majorHAnsi" w:cs="Times New Roman"/>
          <w:i w:val="0"/>
          <w:iCs w:val="0"/>
          <w:sz w:val="24"/>
          <w:szCs w:val="24"/>
        </w:rPr>
        <w:t>W</w:t>
      </w:r>
      <w:r w:rsidR="00DF5EA6" w:rsidRPr="00140798">
        <w:rPr>
          <w:rFonts w:asciiTheme="majorHAnsi" w:eastAsia="Times New Roman" w:hAnsiTheme="majorHAnsi" w:cs="Times New Roman"/>
          <w:i w:val="0"/>
          <w:iCs w:val="0"/>
          <w:sz w:val="24"/>
          <w:szCs w:val="24"/>
        </w:rPr>
        <w:t>y</w:t>
      </w:r>
      <w:r w:rsidR="00BB15A1" w:rsidRPr="00140798">
        <w:rPr>
          <w:rFonts w:asciiTheme="majorHAnsi" w:eastAsia="Times New Roman" w:hAnsiTheme="majorHAnsi" w:cs="Times New Roman"/>
          <w:i w:val="0"/>
          <w:iCs w:val="0"/>
          <w:sz w:val="24"/>
          <w:szCs w:val="24"/>
        </w:rPr>
        <w:t>magania</w:t>
      </w:r>
      <w:r w:rsidR="00BB15A1" w:rsidRPr="00F470E3">
        <w:rPr>
          <w:rFonts w:ascii="Garamond" w:eastAsia="Times New Roman" w:hAnsi="Garamond" w:cs="Times New Roman"/>
          <w:i w:val="0"/>
          <w:iCs w:val="0"/>
          <w:sz w:val="24"/>
          <w:szCs w:val="24"/>
        </w:rPr>
        <w:t xml:space="preserve"> dla baterii kondensatorów do </w:t>
      </w:r>
      <w:r w:rsidR="00DF5EA6" w:rsidRPr="00F470E3">
        <w:rPr>
          <w:rFonts w:ascii="Garamond" w:eastAsia="Times New Roman" w:hAnsi="Garamond" w:cs="Times New Roman"/>
          <w:i w:val="0"/>
          <w:iCs w:val="0"/>
          <w:sz w:val="24"/>
          <w:szCs w:val="24"/>
        </w:rPr>
        <w:t>kompensacji</w:t>
      </w:r>
      <w:r w:rsidR="00BB15A1" w:rsidRPr="00F470E3">
        <w:rPr>
          <w:rFonts w:ascii="Garamond" w:eastAsia="Times New Roman" w:hAnsi="Garamond" w:cs="Times New Roman"/>
          <w:i w:val="0"/>
          <w:iCs w:val="0"/>
          <w:sz w:val="24"/>
          <w:szCs w:val="24"/>
        </w:rPr>
        <w:t xml:space="preserve"> moc</w:t>
      </w:r>
      <w:r w:rsidR="00DF5EA6" w:rsidRPr="00F470E3">
        <w:rPr>
          <w:rFonts w:ascii="Garamond" w:eastAsia="Times New Roman" w:hAnsi="Garamond" w:cs="Times New Roman"/>
          <w:i w:val="0"/>
          <w:iCs w:val="0"/>
          <w:sz w:val="24"/>
          <w:szCs w:val="24"/>
        </w:rPr>
        <w:t>y</w:t>
      </w:r>
      <w:r w:rsidR="007B460D">
        <w:rPr>
          <w:rFonts w:ascii="Garamond" w:eastAsia="Times New Roman" w:hAnsi="Garamond" w:cs="Times New Roman"/>
          <w:i w:val="0"/>
          <w:iCs w:val="0"/>
          <w:sz w:val="24"/>
          <w:szCs w:val="24"/>
        </w:rPr>
        <w:t xml:space="preserve"> </w:t>
      </w:r>
      <w:r w:rsidR="00DF5EA6" w:rsidRPr="00F470E3">
        <w:rPr>
          <w:rFonts w:ascii="Garamond" w:eastAsia="Times New Roman" w:hAnsi="Garamond" w:cs="Times New Roman"/>
          <w:i w:val="0"/>
          <w:iCs w:val="0"/>
          <w:sz w:val="24"/>
          <w:szCs w:val="24"/>
        </w:rPr>
        <w:t>biernej</w:t>
      </w:r>
      <w:bookmarkEnd w:id="31"/>
    </w:p>
    <w:p w14:paraId="43AA5324" w14:textId="65D6FEED" w:rsidR="00BB15A1" w:rsidRPr="00AE3F1B" w:rsidRDefault="0004445C" w:rsidP="00175586">
      <w:pPr>
        <w:spacing w:after="185" w:line="253" w:lineRule="auto"/>
        <w:ind w:left="567" w:right="-3" w:hanging="567"/>
        <w:jc w:val="left"/>
        <w:rPr>
          <w:rFonts w:ascii="Garamond" w:hAnsi="Garamond"/>
          <w:sz w:val="24"/>
          <w:szCs w:val="24"/>
        </w:rPr>
      </w:pPr>
      <w:r>
        <w:rPr>
          <w:rFonts w:ascii="Garamond" w:hAnsi="Garamond"/>
          <w:sz w:val="24"/>
          <w:szCs w:val="24"/>
        </w:rPr>
        <w:t>II</w:t>
      </w:r>
      <w:r w:rsidR="00BB15A1" w:rsidRPr="00AE3F1B">
        <w:rPr>
          <w:rFonts w:ascii="Garamond" w:hAnsi="Garamond"/>
          <w:sz w:val="24"/>
          <w:szCs w:val="24"/>
        </w:rPr>
        <w:t>.</w:t>
      </w:r>
      <w:r w:rsidR="0037712B">
        <w:rPr>
          <w:rFonts w:ascii="Garamond" w:hAnsi="Garamond"/>
          <w:sz w:val="24"/>
          <w:szCs w:val="24"/>
        </w:rPr>
        <w:t>5</w:t>
      </w:r>
      <w:r w:rsidR="00BB15A1" w:rsidRPr="00AE3F1B">
        <w:rPr>
          <w:rFonts w:ascii="Garamond" w:hAnsi="Garamond"/>
          <w:sz w:val="24"/>
          <w:szCs w:val="24"/>
        </w:rPr>
        <w:t>.5.3.4.1. Pola baterii kondensatorów wyposaża się w:</w:t>
      </w:r>
    </w:p>
    <w:p w14:paraId="784459A0" w14:textId="77777777" w:rsidR="00BB15A1" w:rsidRPr="0044241B" w:rsidRDefault="00BB15A1">
      <w:pPr>
        <w:pStyle w:val="Akapitzlist"/>
        <w:numPr>
          <w:ilvl w:val="0"/>
          <w:numId w:val="78"/>
        </w:numPr>
        <w:spacing w:line="253" w:lineRule="auto"/>
        <w:ind w:right="-3"/>
        <w:jc w:val="left"/>
        <w:rPr>
          <w:rFonts w:ascii="Garamond" w:hAnsi="Garamond"/>
          <w:sz w:val="24"/>
          <w:szCs w:val="24"/>
        </w:rPr>
      </w:pPr>
      <w:r w:rsidRPr="0044241B">
        <w:rPr>
          <w:rFonts w:ascii="Garamond" w:hAnsi="Garamond"/>
          <w:sz w:val="24"/>
          <w:szCs w:val="24"/>
        </w:rPr>
        <w:t>zabezpieczenia nadprądowe zwłoczne od skutków przeciążeń, zabezpieczenie musi w kryterium działania korzystać z wartości skutecznej prądu lub w inny sposób uwzględniać wpływ wyższych harmonicznych,</w:t>
      </w:r>
    </w:p>
    <w:p w14:paraId="712F4F40" w14:textId="77777777" w:rsidR="00BB15A1" w:rsidRPr="0044241B" w:rsidRDefault="00BB15A1">
      <w:pPr>
        <w:pStyle w:val="Akapitzlist"/>
        <w:numPr>
          <w:ilvl w:val="0"/>
          <w:numId w:val="78"/>
        </w:numPr>
        <w:spacing w:after="170" w:line="226" w:lineRule="auto"/>
        <w:ind w:right="-3"/>
        <w:jc w:val="left"/>
        <w:rPr>
          <w:rFonts w:ascii="Garamond" w:hAnsi="Garamond"/>
          <w:sz w:val="24"/>
          <w:szCs w:val="24"/>
        </w:rPr>
      </w:pPr>
      <w:r w:rsidRPr="0044241B">
        <w:rPr>
          <w:rFonts w:ascii="Garamond" w:hAnsi="Garamond"/>
          <w:sz w:val="24"/>
          <w:szCs w:val="24"/>
        </w:rPr>
        <w:lastRenderedPageBreak/>
        <w:t xml:space="preserve">zabezpieczenie nadprądowe bezzwłoczne, </w:t>
      </w:r>
    </w:p>
    <w:p w14:paraId="3F003B78" w14:textId="77777777" w:rsidR="00BB15A1" w:rsidRPr="0044241B" w:rsidRDefault="00BB15A1">
      <w:pPr>
        <w:pStyle w:val="Akapitzlist"/>
        <w:numPr>
          <w:ilvl w:val="0"/>
          <w:numId w:val="78"/>
        </w:numPr>
        <w:spacing w:after="170" w:line="226" w:lineRule="auto"/>
        <w:ind w:right="-3"/>
        <w:jc w:val="left"/>
        <w:rPr>
          <w:rFonts w:ascii="Garamond" w:hAnsi="Garamond"/>
          <w:sz w:val="24"/>
          <w:szCs w:val="24"/>
        </w:rPr>
      </w:pPr>
      <w:r w:rsidRPr="0044241B">
        <w:rPr>
          <w:rFonts w:ascii="Garamond" w:hAnsi="Garamond"/>
          <w:sz w:val="24"/>
          <w:szCs w:val="24"/>
        </w:rPr>
        <w:t xml:space="preserve">zabezpieczenie od skutków zwarć wewnętrznych, </w:t>
      </w:r>
    </w:p>
    <w:p w14:paraId="06F62FC2" w14:textId="77777777" w:rsidR="00BB15A1" w:rsidRPr="0044241B" w:rsidRDefault="00BB15A1">
      <w:pPr>
        <w:pStyle w:val="Akapitzlist"/>
        <w:numPr>
          <w:ilvl w:val="0"/>
          <w:numId w:val="78"/>
        </w:numPr>
        <w:spacing w:after="170" w:line="226" w:lineRule="auto"/>
        <w:ind w:right="-3"/>
        <w:jc w:val="left"/>
        <w:rPr>
          <w:rFonts w:ascii="Garamond" w:hAnsi="Garamond"/>
          <w:sz w:val="24"/>
          <w:szCs w:val="24"/>
        </w:rPr>
      </w:pPr>
      <w:r w:rsidRPr="0044241B">
        <w:rPr>
          <w:rFonts w:ascii="Garamond" w:hAnsi="Garamond"/>
          <w:sz w:val="24"/>
          <w:szCs w:val="24"/>
        </w:rPr>
        <w:t>zabezpieczenie nadnapięciowe.</w:t>
      </w:r>
    </w:p>
    <w:p w14:paraId="2D92CBB1" w14:textId="5EE631B0" w:rsidR="00BB15A1" w:rsidRPr="00AE3F1B" w:rsidRDefault="0004445C" w:rsidP="00175586">
      <w:pPr>
        <w:spacing w:after="198" w:line="253" w:lineRule="auto"/>
        <w:ind w:left="567" w:right="-3" w:hanging="567"/>
        <w:jc w:val="left"/>
        <w:rPr>
          <w:rFonts w:ascii="Garamond" w:hAnsi="Garamond"/>
          <w:sz w:val="24"/>
          <w:szCs w:val="24"/>
        </w:rPr>
      </w:pPr>
      <w:r>
        <w:rPr>
          <w:rFonts w:ascii="Garamond" w:hAnsi="Garamond"/>
          <w:sz w:val="24"/>
          <w:szCs w:val="24"/>
        </w:rPr>
        <w:t>II</w:t>
      </w:r>
      <w:r w:rsidR="00BB15A1" w:rsidRPr="00AE3F1B">
        <w:rPr>
          <w:rFonts w:ascii="Garamond" w:hAnsi="Garamond"/>
          <w:sz w:val="24"/>
          <w:szCs w:val="24"/>
        </w:rPr>
        <w:t>.</w:t>
      </w:r>
      <w:r w:rsidR="0037712B">
        <w:rPr>
          <w:rFonts w:ascii="Garamond" w:hAnsi="Garamond"/>
          <w:sz w:val="24"/>
          <w:szCs w:val="24"/>
        </w:rPr>
        <w:t>5</w:t>
      </w:r>
      <w:r w:rsidR="00BB15A1" w:rsidRPr="00AE3F1B">
        <w:rPr>
          <w:rFonts w:ascii="Garamond" w:hAnsi="Garamond"/>
          <w:sz w:val="24"/>
          <w:szCs w:val="24"/>
        </w:rPr>
        <w:t>.5.3.4.2. Każde wyłączenie pola SN transformatora 110kV/SN musi skutkować wyłączeniem wyłącznika pola baterii kondensatorów.</w:t>
      </w:r>
    </w:p>
    <w:p w14:paraId="739D1133" w14:textId="5275C7AD" w:rsidR="00BB15A1" w:rsidRPr="00AE3F1B" w:rsidRDefault="0004445C" w:rsidP="00175586">
      <w:pPr>
        <w:keepNext/>
        <w:keepLines/>
        <w:tabs>
          <w:tab w:val="center" w:pos="2741"/>
        </w:tabs>
        <w:spacing w:after="190" w:line="259" w:lineRule="auto"/>
        <w:ind w:left="567" w:right="-3" w:hanging="567"/>
        <w:jc w:val="left"/>
        <w:outlineLvl w:val="3"/>
        <w:rPr>
          <w:rFonts w:ascii="Garamond" w:hAnsi="Garamond"/>
          <w:sz w:val="24"/>
          <w:szCs w:val="24"/>
          <w:u w:val="single" w:color="000000"/>
        </w:rPr>
      </w:pPr>
      <w:bookmarkStart w:id="32" w:name="_Toc171860228"/>
      <w:r>
        <w:rPr>
          <w:rFonts w:ascii="Garamond" w:hAnsi="Garamond"/>
          <w:sz w:val="24"/>
          <w:szCs w:val="24"/>
          <w:u w:color="000000"/>
        </w:rPr>
        <w:t>II</w:t>
      </w:r>
      <w:r w:rsidR="00BB15A1" w:rsidRPr="00AE3F1B">
        <w:rPr>
          <w:rFonts w:ascii="Garamond" w:hAnsi="Garamond"/>
          <w:sz w:val="24"/>
          <w:szCs w:val="24"/>
          <w:u w:color="000000"/>
        </w:rPr>
        <w:t>.</w:t>
      </w:r>
      <w:r w:rsidR="0037712B">
        <w:rPr>
          <w:rFonts w:ascii="Garamond" w:hAnsi="Garamond"/>
          <w:sz w:val="24"/>
          <w:szCs w:val="24"/>
          <w:u w:color="000000"/>
        </w:rPr>
        <w:t>5</w:t>
      </w:r>
      <w:r w:rsidR="00BB15A1" w:rsidRPr="00AE3F1B">
        <w:rPr>
          <w:rFonts w:ascii="Garamond" w:hAnsi="Garamond"/>
          <w:sz w:val="24"/>
          <w:szCs w:val="24"/>
          <w:u w:color="000000"/>
        </w:rPr>
        <w:t>.5.3.5.</w:t>
      </w:r>
      <w:r>
        <w:rPr>
          <w:rFonts w:ascii="Garamond" w:hAnsi="Garamond"/>
          <w:sz w:val="24"/>
          <w:szCs w:val="24"/>
          <w:u w:color="000000"/>
        </w:rPr>
        <w:t xml:space="preserve"> Wymagania dla łączników szyn</w:t>
      </w:r>
      <w:bookmarkEnd w:id="32"/>
    </w:p>
    <w:p w14:paraId="6BA9D1CD" w14:textId="643947CA" w:rsidR="00BB15A1" w:rsidRPr="00AE3F1B" w:rsidRDefault="0004445C" w:rsidP="00175586">
      <w:pPr>
        <w:spacing w:after="178" w:line="253" w:lineRule="auto"/>
        <w:ind w:left="567" w:right="-3" w:hanging="567"/>
        <w:jc w:val="left"/>
        <w:rPr>
          <w:rFonts w:ascii="Garamond" w:hAnsi="Garamond"/>
          <w:sz w:val="24"/>
          <w:szCs w:val="24"/>
        </w:rPr>
      </w:pPr>
      <w:r>
        <w:rPr>
          <w:rFonts w:ascii="Garamond" w:hAnsi="Garamond"/>
          <w:sz w:val="24"/>
          <w:szCs w:val="24"/>
        </w:rPr>
        <w:t>II</w:t>
      </w:r>
      <w:r w:rsidR="00BB15A1" w:rsidRPr="00AE3F1B">
        <w:rPr>
          <w:rFonts w:ascii="Garamond" w:hAnsi="Garamond"/>
          <w:sz w:val="24"/>
          <w:szCs w:val="24"/>
        </w:rPr>
        <w:t>.</w:t>
      </w:r>
      <w:r w:rsidR="0037712B">
        <w:rPr>
          <w:rFonts w:ascii="Garamond" w:hAnsi="Garamond"/>
          <w:sz w:val="24"/>
          <w:szCs w:val="24"/>
        </w:rPr>
        <w:t>5</w:t>
      </w:r>
      <w:r w:rsidR="00BB15A1" w:rsidRPr="00AE3F1B">
        <w:rPr>
          <w:rFonts w:ascii="Garamond" w:hAnsi="Garamond"/>
          <w:sz w:val="24"/>
          <w:szCs w:val="24"/>
        </w:rPr>
        <w:t>.5.3.5.1. Łączniki szyn SN wyposaża się w następujące zabezpieczenia działające na wyłączenie własnego wyłącznika:</w:t>
      </w:r>
    </w:p>
    <w:p w14:paraId="6CE2A479" w14:textId="77777777" w:rsidR="00BB15A1" w:rsidRPr="000E7344" w:rsidRDefault="00BB15A1">
      <w:pPr>
        <w:pStyle w:val="Akapitzlist"/>
        <w:numPr>
          <w:ilvl w:val="0"/>
          <w:numId w:val="80"/>
        </w:numPr>
        <w:spacing w:line="253" w:lineRule="auto"/>
        <w:ind w:right="-3"/>
        <w:jc w:val="left"/>
        <w:rPr>
          <w:rFonts w:ascii="Garamond" w:hAnsi="Garamond"/>
          <w:sz w:val="24"/>
          <w:szCs w:val="24"/>
        </w:rPr>
      </w:pPr>
      <w:r w:rsidRPr="000E7344">
        <w:rPr>
          <w:rFonts w:ascii="Garamond" w:hAnsi="Garamond"/>
          <w:sz w:val="24"/>
          <w:szCs w:val="24"/>
        </w:rPr>
        <w:t>zabezpieczenie nadprądowe zwłoczne,</w:t>
      </w:r>
    </w:p>
    <w:p w14:paraId="4DCCB1AA" w14:textId="77777777" w:rsidR="00BB15A1" w:rsidRPr="000E7344" w:rsidRDefault="00BB15A1">
      <w:pPr>
        <w:pStyle w:val="Akapitzlist"/>
        <w:numPr>
          <w:ilvl w:val="0"/>
          <w:numId w:val="80"/>
        </w:numPr>
        <w:spacing w:line="253" w:lineRule="auto"/>
        <w:ind w:right="-3"/>
        <w:jc w:val="left"/>
        <w:rPr>
          <w:rFonts w:ascii="Garamond" w:hAnsi="Garamond"/>
          <w:sz w:val="24"/>
          <w:szCs w:val="24"/>
        </w:rPr>
      </w:pPr>
      <w:r w:rsidRPr="000E7344">
        <w:rPr>
          <w:rFonts w:ascii="Garamond" w:hAnsi="Garamond"/>
          <w:sz w:val="24"/>
          <w:szCs w:val="24"/>
        </w:rPr>
        <w:t xml:space="preserve">zabezpieczenie nadprądowe zwarciowe działające przy załączeniu pola łącznika szyn na zwarcie (zabezpieczenie ma być aktywne do 10 s po załączeniu wyłącznika), </w:t>
      </w:r>
    </w:p>
    <w:p w14:paraId="40C89C67" w14:textId="77777777" w:rsidR="00BB15A1" w:rsidRPr="000E7344" w:rsidRDefault="00BB15A1">
      <w:pPr>
        <w:pStyle w:val="Akapitzlist"/>
        <w:numPr>
          <w:ilvl w:val="0"/>
          <w:numId w:val="80"/>
        </w:numPr>
        <w:spacing w:line="253" w:lineRule="auto"/>
        <w:ind w:right="-3"/>
        <w:jc w:val="left"/>
        <w:rPr>
          <w:rFonts w:ascii="Garamond" w:hAnsi="Garamond"/>
          <w:sz w:val="24"/>
          <w:szCs w:val="24"/>
        </w:rPr>
      </w:pPr>
      <w:r w:rsidRPr="000E7344">
        <w:rPr>
          <w:rFonts w:ascii="Garamond" w:hAnsi="Garamond"/>
          <w:sz w:val="24"/>
          <w:szCs w:val="24"/>
        </w:rPr>
        <w:t>w sieci z punktem neutralnym uziemionym przez rezystor wymagane jest zabezpieczenie ziemnozwarciowe lub odpowiednie powiązanie z zabezpieczeniem nadprądowym w punkcie neutralnym transformatora uziemiającego.</w:t>
      </w:r>
    </w:p>
    <w:p w14:paraId="6B24E67E" w14:textId="5746D5A4" w:rsidR="00BB15A1" w:rsidRPr="00AE3F1B" w:rsidRDefault="0004445C" w:rsidP="00175586">
      <w:pPr>
        <w:tabs>
          <w:tab w:val="center" w:pos="2946"/>
        </w:tabs>
        <w:spacing w:after="226" w:line="259" w:lineRule="auto"/>
        <w:ind w:left="567" w:right="-3" w:hanging="567"/>
        <w:jc w:val="left"/>
        <w:rPr>
          <w:rFonts w:ascii="Garamond" w:hAnsi="Garamond"/>
          <w:sz w:val="24"/>
          <w:szCs w:val="24"/>
        </w:rPr>
      </w:pPr>
      <w:r>
        <w:rPr>
          <w:rFonts w:ascii="Garamond" w:hAnsi="Garamond"/>
          <w:sz w:val="24"/>
          <w:szCs w:val="24"/>
        </w:rPr>
        <w:t>II</w:t>
      </w:r>
      <w:r w:rsidR="00BB15A1" w:rsidRPr="00AE3F1B">
        <w:rPr>
          <w:rFonts w:ascii="Garamond" w:hAnsi="Garamond"/>
          <w:sz w:val="24"/>
          <w:szCs w:val="24"/>
        </w:rPr>
        <w:t>.</w:t>
      </w:r>
      <w:r w:rsidR="0037712B">
        <w:rPr>
          <w:rFonts w:ascii="Garamond" w:hAnsi="Garamond"/>
          <w:sz w:val="24"/>
          <w:szCs w:val="24"/>
        </w:rPr>
        <w:t>5</w:t>
      </w:r>
      <w:r w:rsidR="00BB15A1" w:rsidRPr="00AE3F1B">
        <w:rPr>
          <w:rFonts w:ascii="Garamond" w:hAnsi="Garamond"/>
          <w:sz w:val="24"/>
          <w:szCs w:val="24"/>
        </w:rPr>
        <w:t>.5.3.6.</w:t>
      </w:r>
      <w:r w:rsidR="00BB15A1" w:rsidRPr="0004445C">
        <w:rPr>
          <w:rFonts w:ascii="Garamond" w:hAnsi="Garamond"/>
          <w:sz w:val="24"/>
          <w:szCs w:val="24"/>
        </w:rPr>
        <w:t>Wymagania dla pomiaru napięcia</w:t>
      </w:r>
    </w:p>
    <w:p w14:paraId="01AB7021" w14:textId="439F0696" w:rsidR="00BB15A1" w:rsidRPr="00AE3F1B" w:rsidRDefault="0004445C" w:rsidP="00175586">
      <w:pPr>
        <w:spacing w:after="207" w:line="253" w:lineRule="auto"/>
        <w:ind w:left="567" w:right="-3" w:hanging="567"/>
        <w:jc w:val="left"/>
        <w:rPr>
          <w:rFonts w:ascii="Garamond" w:hAnsi="Garamond"/>
          <w:sz w:val="24"/>
          <w:szCs w:val="24"/>
        </w:rPr>
      </w:pPr>
      <w:r>
        <w:rPr>
          <w:rFonts w:ascii="Garamond" w:hAnsi="Garamond"/>
          <w:sz w:val="24"/>
          <w:szCs w:val="24"/>
        </w:rPr>
        <w:t>II</w:t>
      </w:r>
      <w:r w:rsidR="00BB15A1" w:rsidRPr="00AE3F1B">
        <w:rPr>
          <w:rFonts w:ascii="Garamond" w:hAnsi="Garamond"/>
          <w:sz w:val="24"/>
          <w:szCs w:val="24"/>
        </w:rPr>
        <w:t>.</w:t>
      </w:r>
      <w:r w:rsidR="0037712B">
        <w:rPr>
          <w:rFonts w:ascii="Garamond" w:hAnsi="Garamond"/>
          <w:sz w:val="24"/>
          <w:szCs w:val="24"/>
        </w:rPr>
        <w:t>5</w:t>
      </w:r>
      <w:r w:rsidR="00BB15A1" w:rsidRPr="00AE3F1B">
        <w:rPr>
          <w:rFonts w:ascii="Garamond" w:hAnsi="Garamond"/>
          <w:sz w:val="24"/>
          <w:szCs w:val="24"/>
        </w:rPr>
        <w:t xml:space="preserve">.5.3.6.1. Pola pomiaru napięcia w rozdzielniach SN w stacjach 110 </w:t>
      </w:r>
      <w:proofErr w:type="spellStart"/>
      <w:r w:rsidR="00BB15A1" w:rsidRPr="00AE3F1B">
        <w:rPr>
          <w:rFonts w:ascii="Garamond" w:hAnsi="Garamond"/>
          <w:sz w:val="24"/>
          <w:szCs w:val="24"/>
        </w:rPr>
        <w:t>kV</w:t>
      </w:r>
      <w:proofErr w:type="spellEnd"/>
      <w:r w:rsidR="00BB15A1" w:rsidRPr="00AE3F1B">
        <w:rPr>
          <w:rFonts w:ascii="Garamond" w:hAnsi="Garamond"/>
          <w:sz w:val="24"/>
          <w:szCs w:val="24"/>
        </w:rPr>
        <w:t>/SN powinny być wyposażone w działające na sygnalizację zabezpieczenia reagujące na:</w:t>
      </w:r>
    </w:p>
    <w:p w14:paraId="28F95B4F" w14:textId="77777777" w:rsidR="00BB15A1" w:rsidRPr="000E7344" w:rsidRDefault="00BB15A1">
      <w:pPr>
        <w:pStyle w:val="Akapitzlist"/>
        <w:numPr>
          <w:ilvl w:val="0"/>
          <w:numId w:val="81"/>
        </w:numPr>
        <w:spacing w:after="27" w:line="253" w:lineRule="auto"/>
        <w:ind w:right="-3"/>
        <w:jc w:val="left"/>
        <w:rPr>
          <w:rFonts w:ascii="Garamond" w:hAnsi="Garamond"/>
          <w:sz w:val="24"/>
          <w:szCs w:val="24"/>
        </w:rPr>
      </w:pPr>
      <w:r w:rsidRPr="000E7344">
        <w:rPr>
          <w:rFonts w:ascii="Garamond" w:hAnsi="Garamond"/>
          <w:sz w:val="24"/>
          <w:szCs w:val="24"/>
        </w:rPr>
        <w:t>zanik, obniżenie lub wzrost napięcia na szynach SN, kontrolowane mają być napięcia przewodowe, a zabezpieczenie ma zadziałać, gdy nastąpi wzrost lub obniżenie jednego z nich,</w:t>
      </w:r>
    </w:p>
    <w:p w14:paraId="0130BDD2" w14:textId="027C4C78" w:rsidR="00BB15A1" w:rsidRPr="000E7344" w:rsidRDefault="00BB15A1">
      <w:pPr>
        <w:pStyle w:val="Akapitzlist"/>
        <w:numPr>
          <w:ilvl w:val="0"/>
          <w:numId w:val="81"/>
        </w:numPr>
        <w:spacing w:line="253" w:lineRule="auto"/>
        <w:ind w:right="-3"/>
        <w:jc w:val="left"/>
        <w:rPr>
          <w:rFonts w:ascii="Garamond" w:hAnsi="Garamond"/>
          <w:sz w:val="24"/>
          <w:szCs w:val="24"/>
        </w:rPr>
      </w:pPr>
      <w:r w:rsidRPr="000E7344">
        <w:rPr>
          <w:rFonts w:ascii="Garamond" w:hAnsi="Garamond"/>
          <w:sz w:val="24"/>
          <w:szCs w:val="24"/>
        </w:rPr>
        <w:t xml:space="preserve">zwarcia doziemne w przyłączonej sieci SN, jeśli z tego pola wyprowadzane są sygnały SCO i SPZ/SCO, to należy je wyposażyć w przynajmniej dwustopniowe zabezpieczenie </w:t>
      </w:r>
      <w:proofErr w:type="spellStart"/>
      <w:r w:rsidR="00C42DAF" w:rsidRPr="000E7344">
        <w:rPr>
          <w:rFonts w:ascii="Garamond" w:hAnsi="Garamond"/>
          <w:sz w:val="24"/>
          <w:szCs w:val="24"/>
        </w:rPr>
        <w:t>podczęstotliwościowe</w:t>
      </w:r>
      <w:proofErr w:type="spellEnd"/>
      <w:r w:rsidRPr="000E7344">
        <w:rPr>
          <w:rFonts w:ascii="Garamond" w:hAnsi="Garamond"/>
          <w:sz w:val="24"/>
          <w:szCs w:val="24"/>
        </w:rPr>
        <w:t xml:space="preserve"> i zabezpieczenie </w:t>
      </w:r>
      <w:r w:rsidR="00C42DAF" w:rsidRPr="000E7344">
        <w:rPr>
          <w:rFonts w:ascii="Garamond" w:hAnsi="Garamond"/>
          <w:sz w:val="24"/>
          <w:szCs w:val="24"/>
        </w:rPr>
        <w:t>nad częstotliwościowe</w:t>
      </w:r>
      <w:r w:rsidRPr="000E7344">
        <w:rPr>
          <w:rFonts w:ascii="Garamond" w:hAnsi="Garamond"/>
          <w:sz w:val="24"/>
          <w:szCs w:val="24"/>
        </w:rPr>
        <w:t>.</w:t>
      </w:r>
    </w:p>
    <w:p w14:paraId="45EEDCC8" w14:textId="2D0FFB4E" w:rsidR="00BB15A1" w:rsidRPr="0004445C" w:rsidRDefault="0004445C" w:rsidP="00175586">
      <w:pPr>
        <w:keepNext/>
        <w:keepLines/>
        <w:tabs>
          <w:tab w:val="center" w:pos="4230"/>
        </w:tabs>
        <w:spacing w:after="190" w:line="259" w:lineRule="auto"/>
        <w:ind w:left="567" w:right="-3" w:hanging="567"/>
        <w:jc w:val="left"/>
        <w:outlineLvl w:val="3"/>
        <w:rPr>
          <w:rFonts w:ascii="Garamond" w:hAnsi="Garamond"/>
          <w:sz w:val="24"/>
          <w:szCs w:val="24"/>
        </w:rPr>
      </w:pPr>
      <w:bookmarkStart w:id="33" w:name="_Toc171860229"/>
      <w:r>
        <w:rPr>
          <w:rFonts w:ascii="Garamond" w:hAnsi="Garamond"/>
          <w:sz w:val="24"/>
          <w:szCs w:val="24"/>
          <w:u w:color="000000"/>
        </w:rPr>
        <w:t>II</w:t>
      </w:r>
      <w:r w:rsidR="00BB15A1" w:rsidRPr="00AE3F1B">
        <w:rPr>
          <w:rFonts w:ascii="Garamond" w:hAnsi="Garamond"/>
          <w:sz w:val="24"/>
          <w:szCs w:val="24"/>
          <w:u w:color="000000"/>
        </w:rPr>
        <w:t>.</w:t>
      </w:r>
      <w:r w:rsidR="0037712B">
        <w:rPr>
          <w:rFonts w:ascii="Garamond" w:hAnsi="Garamond"/>
          <w:sz w:val="24"/>
          <w:szCs w:val="24"/>
          <w:u w:color="000000"/>
        </w:rPr>
        <w:t>5</w:t>
      </w:r>
      <w:r w:rsidR="00BB15A1" w:rsidRPr="00AE3F1B">
        <w:rPr>
          <w:rFonts w:ascii="Garamond" w:hAnsi="Garamond"/>
          <w:sz w:val="24"/>
          <w:szCs w:val="24"/>
          <w:u w:color="000000"/>
        </w:rPr>
        <w:t>.5.3.7.</w:t>
      </w:r>
      <w:r w:rsidR="00BB15A1" w:rsidRPr="0004445C">
        <w:rPr>
          <w:rFonts w:ascii="Garamond" w:hAnsi="Garamond"/>
          <w:sz w:val="24"/>
          <w:szCs w:val="24"/>
        </w:rPr>
        <w:t>Wymagania dla automatyk zabezpieczeniowych rozdzielni SN</w:t>
      </w:r>
      <w:bookmarkEnd w:id="33"/>
    </w:p>
    <w:p w14:paraId="7798C709" w14:textId="07D3C1DD" w:rsidR="00BB15A1" w:rsidRPr="00AE3F1B" w:rsidRDefault="0004445C" w:rsidP="00175586">
      <w:pPr>
        <w:spacing w:after="224" w:line="253" w:lineRule="auto"/>
        <w:ind w:left="567" w:right="-3" w:hanging="567"/>
        <w:jc w:val="left"/>
        <w:rPr>
          <w:rFonts w:ascii="Garamond" w:hAnsi="Garamond"/>
          <w:sz w:val="24"/>
          <w:szCs w:val="24"/>
        </w:rPr>
      </w:pPr>
      <w:r>
        <w:rPr>
          <w:rFonts w:ascii="Garamond" w:hAnsi="Garamond"/>
          <w:sz w:val="24"/>
          <w:szCs w:val="24"/>
        </w:rPr>
        <w:t>II</w:t>
      </w:r>
      <w:r w:rsidR="00BB15A1" w:rsidRPr="00AE3F1B">
        <w:rPr>
          <w:rFonts w:ascii="Garamond" w:hAnsi="Garamond"/>
          <w:sz w:val="24"/>
          <w:szCs w:val="24"/>
        </w:rPr>
        <w:t>.</w:t>
      </w:r>
      <w:r w:rsidR="0037712B">
        <w:rPr>
          <w:rFonts w:ascii="Garamond" w:hAnsi="Garamond"/>
          <w:sz w:val="24"/>
          <w:szCs w:val="24"/>
        </w:rPr>
        <w:t>5</w:t>
      </w:r>
      <w:r w:rsidR="00BB15A1" w:rsidRPr="00AE3F1B">
        <w:rPr>
          <w:rFonts w:ascii="Garamond" w:hAnsi="Garamond"/>
          <w:sz w:val="24"/>
          <w:szCs w:val="24"/>
        </w:rPr>
        <w:t>.5.3.7.1. Rozdzielnie SN powinny być wyposażone w:</w:t>
      </w:r>
    </w:p>
    <w:p w14:paraId="3B189C88" w14:textId="634CDDC0" w:rsidR="00BB15A1" w:rsidRPr="000E7344" w:rsidRDefault="00BB15A1">
      <w:pPr>
        <w:pStyle w:val="Akapitzlist"/>
        <w:numPr>
          <w:ilvl w:val="0"/>
          <w:numId w:val="82"/>
        </w:numPr>
        <w:spacing w:line="253" w:lineRule="auto"/>
        <w:ind w:right="-3"/>
        <w:jc w:val="left"/>
        <w:rPr>
          <w:rFonts w:ascii="Garamond" w:hAnsi="Garamond"/>
          <w:sz w:val="24"/>
          <w:szCs w:val="24"/>
        </w:rPr>
      </w:pPr>
      <w:r w:rsidRPr="000E7344">
        <w:rPr>
          <w:rFonts w:ascii="Garamond" w:hAnsi="Garamond"/>
          <w:sz w:val="24"/>
          <w:szCs w:val="24"/>
        </w:rPr>
        <w:t xml:space="preserve">SCO umożliwiające realizację przynajmniej dwóch stopni w każdej </w:t>
      </w:r>
      <w:r w:rsidR="00ED138E" w:rsidRPr="000E7344">
        <w:rPr>
          <w:rFonts w:ascii="Garamond" w:hAnsi="Garamond"/>
          <w:sz w:val="24"/>
          <w:szCs w:val="24"/>
        </w:rPr>
        <w:t>sekcji,</w:t>
      </w:r>
      <w:r w:rsidRPr="000E7344">
        <w:rPr>
          <w:rFonts w:ascii="Garamond" w:hAnsi="Garamond"/>
          <w:sz w:val="24"/>
          <w:szCs w:val="24"/>
        </w:rPr>
        <w:t xml:space="preserve"> przy czym automatyka może być zrealizowana w polu pomiaru napięcia z rozprowadzeniem sygnału do pól odpływowych lub jako rozproszona w postaci zabezpieczeń </w:t>
      </w:r>
      <w:r w:rsidR="00C42DAF" w:rsidRPr="000E7344">
        <w:rPr>
          <w:rFonts w:ascii="Garamond" w:hAnsi="Garamond"/>
          <w:sz w:val="24"/>
          <w:szCs w:val="24"/>
        </w:rPr>
        <w:t>pod częstotliwościowych</w:t>
      </w:r>
      <w:r w:rsidRPr="000E7344">
        <w:rPr>
          <w:rFonts w:ascii="Garamond" w:hAnsi="Garamond"/>
          <w:sz w:val="24"/>
          <w:szCs w:val="24"/>
        </w:rPr>
        <w:t xml:space="preserve"> w poszczególnych polach automatyki tej nie należy uruchamiać w liniach, do których przyłączone są jednostki wytwórcze.</w:t>
      </w:r>
    </w:p>
    <w:p w14:paraId="3A39D56A" w14:textId="77777777" w:rsidR="00BB15A1" w:rsidRPr="000E7344" w:rsidRDefault="00BB15A1">
      <w:pPr>
        <w:pStyle w:val="Akapitzlist"/>
        <w:numPr>
          <w:ilvl w:val="0"/>
          <w:numId w:val="82"/>
        </w:numPr>
        <w:spacing w:line="253" w:lineRule="auto"/>
        <w:ind w:right="-3"/>
        <w:jc w:val="left"/>
        <w:rPr>
          <w:rFonts w:ascii="Garamond" w:hAnsi="Garamond"/>
          <w:sz w:val="24"/>
          <w:szCs w:val="24"/>
        </w:rPr>
      </w:pPr>
      <w:r w:rsidRPr="000E7344">
        <w:rPr>
          <w:rFonts w:ascii="Garamond" w:hAnsi="Garamond"/>
          <w:sz w:val="24"/>
          <w:szCs w:val="24"/>
        </w:rPr>
        <w:t>SPZ/SCO należy stosować w uzgodnieniu z ID Sp. z o.o.,</w:t>
      </w:r>
    </w:p>
    <w:p w14:paraId="57BD0C56" w14:textId="77777777" w:rsidR="00BB15A1" w:rsidRPr="000E7344" w:rsidRDefault="00BB15A1">
      <w:pPr>
        <w:pStyle w:val="Akapitzlist"/>
        <w:numPr>
          <w:ilvl w:val="0"/>
          <w:numId w:val="82"/>
        </w:numPr>
        <w:spacing w:line="253" w:lineRule="auto"/>
        <w:ind w:right="-3"/>
        <w:jc w:val="left"/>
        <w:rPr>
          <w:rFonts w:ascii="Garamond" w:hAnsi="Garamond"/>
          <w:sz w:val="24"/>
          <w:szCs w:val="24"/>
        </w:rPr>
      </w:pPr>
      <w:r w:rsidRPr="000E7344">
        <w:rPr>
          <w:rFonts w:ascii="Garamond" w:hAnsi="Garamond"/>
          <w:sz w:val="24"/>
          <w:szCs w:val="24"/>
        </w:rPr>
        <w:t>LRW w celu rezerwowania wyłączników w polach liniowych, potrzeb własnych i baterii kondensatorów, automatyka ta ma odłączać zasilanie zwarcia ze wszystkich stron, czyli również wyłączać linie z przyłączonymi elektrowniami lokalnymi,</w:t>
      </w:r>
    </w:p>
    <w:p w14:paraId="0A8F2E5D" w14:textId="77777777" w:rsidR="00BB15A1" w:rsidRPr="000E7344" w:rsidRDefault="00BB15A1">
      <w:pPr>
        <w:pStyle w:val="Akapitzlist"/>
        <w:numPr>
          <w:ilvl w:val="0"/>
          <w:numId w:val="82"/>
        </w:numPr>
        <w:spacing w:line="253" w:lineRule="auto"/>
        <w:ind w:right="-3"/>
        <w:jc w:val="left"/>
        <w:rPr>
          <w:rFonts w:ascii="Garamond" w:hAnsi="Garamond"/>
          <w:sz w:val="24"/>
          <w:szCs w:val="24"/>
        </w:rPr>
      </w:pPr>
      <w:r w:rsidRPr="000E7344">
        <w:rPr>
          <w:rFonts w:ascii="Garamond" w:hAnsi="Garamond"/>
          <w:sz w:val="24"/>
          <w:szCs w:val="24"/>
        </w:rPr>
        <w:t>zabezpieczenie szyn zbiorczych, które może być w wykonaniu różnicowym poprzecznym lub nadprądowo-logicznym, automatyka ta ma odłączać zasilanie zwarcia ze wszystkich stron, czyli również wyłączać linie z przyłączonymi elektrowniami lokalnymi, zabezpieczenie to powinno działać z czasem nie dłuższym niż 0,3 s,</w:t>
      </w:r>
    </w:p>
    <w:p w14:paraId="31F26793" w14:textId="77777777" w:rsidR="00BB15A1" w:rsidRPr="000E7344" w:rsidRDefault="00BB15A1">
      <w:pPr>
        <w:pStyle w:val="Akapitzlist"/>
        <w:numPr>
          <w:ilvl w:val="0"/>
          <w:numId w:val="82"/>
        </w:numPr>
        <w:spacing w:after="135" w:line="253" w:lineRule="auto"/>
        <w:ind w:right="-3"/>
        <w:jc w:val="left"/>
        <w:rPr>
          <w:rFonts w:ascii="Garamond" w:hAnsi="Garamond"/>
          <w:sz w:val="24"/>
          <w:szCs w:val="24"/>
        </w:rPr>
      </w:pPr>
      <w:r w:rsidRPr="000E7344">
        <w:rPr>
          <w:rFonts w:ascii="Garamond" w:hAnsi="Garamond"/>
          <w:sz w:val="24"/>
          <w:szCs w:val="24"/>
        </w:rPr>
        <w:t xml:space="preserve">SZR, jeśli rozdzielnia SN w stacji 110 </w:t>
      </w:r>
      <w:proofErr w:type="spellStart"/>
      <w:r w:rsidRPr="000E7344">
        <w:rPr>
          <w:rFonts w:ascii="Garamond" w:hAnsi="Garamond"/>
          <w:sz w:val="24"/>
          <w:szCs w:val="24"/>
        </w:rPr>
        <w:t>kV</w:t>
      </w:r>
      <w:proofErr w:type="spellEnd"/>
      <w:r w:rsidRPr="000E7344">
        <w:rPr>
          <w:rFonts w:ascii="Garamond" w:hAnsi="Garamond"/>
          <w:sz w:val="24"/>
          <w:szCs w:val="24"/>
        </w:rPr>
        <w:t>/SN posiada przynajmniej dwa zasilania,</w:t>
      </w:r>
    </w:p>
    <w:p w14:paraId="3B7C3850" w14:textId="41412443" w:rsidR="00BB15A1" w:rsidRPr="00AE3F1B" w:rsidRDefault="0004445C" w:rsidP="00674FC6">
      <w:pPr>
        <w:spacing w:after="183" w:line="253" w:lineRule="auto"/>
        <w:ind w:left="1134" w:right="-3" w:hanging="1134"/>
        <w:jc w:val="left"/>
        <w:rPr>
          <w:rFonts w:ascii="Garamond" w:hAnsi="Garamond"/>
          <w:sz w:val="24"/>
          <w:szCs w:val="24"/>
        </w:rPr>
      </w:pPr>
      <w:r>
        <w:rPr>
          <w:rFonts w:ascii="Garamond" w:hAnsi="Garamond"/>
          <w:sz w:val="24"/>
          <w:szCs w:val="24"/>
        </w:rPr>
        <w:t>II</w:t>
      </w:r>
      <w:r w:rsidR="00BB15A1" w:rsidRPr="00AE3F1B">
        <w:rPr>
          <w:rFonts w:ascii="Garamond" w:hAnsi="Garamond"/>
          <w:sz w:val="24"/>
          <w:szCs w:val="24"/>
        </w:rPr>
        <w:t>.</w:t>
      </w:r>
      <w:r w:rsidR="0037712B">
        <w:rPr>
          <w:rFonts w:ascii="Garamond" w:hAnsi="Garamond"/>
          <w:sz w:val="24"/>
          <w:szCs w:val="24"/>
        </w:rPr>
        <w:t>5</w:t>
      </w:r>
      <w:r w:rsidR="00BB15A1" w:rsidRPr="00AE3F1B">
        <w:rPr>
          <w:rFonts w:ascii="Garamond" w:hAnsi="Garamond"/>
          <w:sz w:val="24"/>
          <w:szCs w:val="24"/>
        </w:rPr>
        <w:t>.5.3.7.2. W rozdzielniach SN wyposażonych w automatykę SZR, do których przyłączone są jednostki wytwórcze, należy zastosować jedno z rozwiązań:</w:t>
      </w:r>
    </w:p>
    <w:p w14:paraId="27891A99" w14:textId="77777777" w:rsidR="00BB15A1" w:rsidRPr="000E7344" w:rsidRDefault="00BB15A1">
      <w:pPr>
        <w:pStyle w:val="Akapitzlist"/>
        <w:numPr>
          <w:ilvl w:val="0"/>
          <w:numId w:val="83"/>
        </w:numPr>
        <w:spacing w:line="253" w:lineRule="auto"/>
        <w:ind w:right="-3"/>
        <w:jc w:val="left"/>
        <w:rPr>
          <w:rFonts w:ascii="Garamond" w:hAnsi="Garamond"/>
          <w:sz w:val="24"/>
          <w:szCs w:val="24"/>
        </w:rPr>
      </w:pPr>
      <w:r w:rsidRPr="000E7344">
        <w:rPr>
          <w:rFonts w:ascii="Garamond" w:hAnsi="Garamond"/>
          <w:sz w:val="24"/>
          <w:szCs w:val="24"/>
        </w:rPr>
        <w:lastRenderedPageBreak/>
        <w:t>urządzenia SZR z funkcją kontroli napięcia szczątkowego (zalecane),</w:t>
      </w:r>
    </w:p>
    <w:p w14:paraId="51CE28A3" w14:textId="77777777" w:rsidR="00BB15A1" w:rsidRPr="000E7344" w:rsidRDefault="00BB15A1">
      <w:pPr>
        <w:pStyle w:val="Akapitzlist"/>
        <w:numPr>
          <w:ilvl w:val="0"/>
          <w:numId w:val="83"/>
        </w:numPr>
        <w:spacing w:after="100" w:afterAutospacing="1" w:line="252" w:lineRule="auto"/>
        <w:ind w:right="-3"/>
        <w:jc w:val="left"/>
        <w:rPr>
          <w:rFonts w:ascii="Garamond" w:hAnsi="Garamond"/>
          <w:sz w:val="24"/>
          <w:szCs w:val="24"/>
        </w:rPr>
      </w:pPr>
      <w:r w:rsidRPr="000E7344">
        <w:rPr>
          <w:rFonts w:ascii="Garamond" w:hAnsi="Garamond"/>
          <w:sz w:val="24"/>
          <w:szCs w:val="24"/>
        </w:rPr>
        <w:t xml:space="preserve">przed załączeniem zasilania rezerwowego wyłączać linie, do których przyłączone </w:t>
      </w:r>
      <w:r w:rsidR="007D0BC8" w:rsidRPr="000E7344">
        <w:rPr>
          <w:rFonts w:ascii="Garamond" w:hAnsi="Garamond"/>
          <w:sz w:val="24"/>
          <w:szCs w:val="24"/>
        </w:rPr>
        <w:br/>
      </w:r>
      <w:r w:rsidRPr="000E7344">
        <w:rPr>
          <w:rFonts w:ascii="Garamond" w:hAnsi="Garamond"/>
          <w:sz w:val="24"/>
          <w:szCs w:val="24"/>
        </w:rPr>
        <w:t>są jednostki wytwórcze.</w:t>
      </w:r>
    </w:p>
    <w:p w14:paraId="6CF9D2DF" w14:textId="4CEF5C18" w:rsidR="00BB15A1" w:rsidRPr="00843D47" w:rsidRDefault="0004445C" w:rsidP="00175586">
      <w:pPr>
        <w:keepNext/>
        <w:keepLines/>
        <w:tabs>
          <w:tab w:val="center" w:pos="4396"/>
        </w:tabs>
        <w:spacing w:after="150" w:line="248" w:lineRule="auto"/>
        <w:ind w:left="567" w:right="-3" w:hanging="567"/>
        <w:jc w:val="left"/>
        <w:outlineLvl w:val="2"/>
        <w:rPr>
          <w:rFonts w:asciiTheme="majorHAnsi" w:hAnsiTheme="majorHAnsi"/>
          <w:sz w:val="24"/>
          <w:szCs w:val="24"/>
        </w:rPr>
      </w:pPr>
      <w:bookmarkStart w:id="34" w:name="_Toc171860230"/>
      <w:bookmarkStart w:id="35" w:name="_Toc171860319"/>
      <w:bookmarkStart w:id="36" w:name="_Toc171861045"/>
      <w:r w:rsidRPr="00843D47">
        <w:rPr>
          <w:rFonts w:asciiTheme="majorHAnsi" w:hAnsiTheme="majorHAnsi"/>
          <w:sz w:val="24"/>
          <w:szCs w:val="24"/>
        </w:rPr>
        <w:t>II</w:t>
      </w:r>
      <w:r w:rsidR="00BB15A1" w:rsidRPr="00843D47">
        <w:rPr>
          <w:rFonts w:asciiTheme="majorHAnsi" w:hAnsiTheme="majorHAnsi"/>
          <w:sz w:val="24"/>
          <w:szCs w:val="24"/>
        </w:rPr>
        <w:t>.</w:t>
      </w:r>
      <w:r w:rsidR="00934120">
        <w:rPr>
          <w:rFonts w:asciiTheme="majorHAnsi" w:hAnsiTheme="majorHAnsi"/>
          <w:sz w:val="24"/>
          <w:szCs w:val="24"/>
        </w:rPr>
        <w:t>5</w:t>
      </w:r>
      <w:r w:rsidR="00BB15A1" w:rsidRPr="00843D47">
        <w:rPr>
          <w:rFonts w:asciiTheme="majorHAnsi" w:hAnsiTheme="majorHAnsi"/>
          <w:sz w:val="24"/>
          <w:szCs w:val="24"/>
        </w:rPr>
        <w:t>.5.4.</w:t>
      </w:r>
      <w:r w:rsidR="00BB15A1" w:rsidRPr="00843D47">
        <w:rPr>
          <w:rFonts w:asciiTheme="majorHAnsi" w:hAnsiTheme="majorHAnsi"/>
          <w:sz w:val="24"/>
          <w:szCs w:val="24"/>
        </w:rPr>
        <w:tab/>
        <w:t>WYMAGANIA DLA JEDNOSTEK WYTWÓRCZYCH W ZAKRESIE EAZ</w:t>
      </w:r>
      <w:bookmarkEnd w:id="34"/>
      <w:bookmarkEnd w:id="35"/>
      <w:bookmarkEnd w:id="36"/>
    </w:p>
    <w:p w14:paraId="471BB729" w14:textId="4DBFB267" w:rsidR="00BB15A1" w:rsidRPr="00AE3F1B" w:rsidRDefault="0004445C" w:rsidP="00175586">
      <w:pPr>
        <w:spacing w:line="253" w:lineRule="auto"/>
        <w:ind w:left="567" w:right="-3" w:hanging="567"/>
        <w:jc w:val="left"/>
        <w:rPr>
          <w:rFonts w:ascii="Garamond" w:hAnsi="Garamond"/>
          <w:sz w:val="24"/>
          <w:szCs w:val="24"/>
        </w:rPr>
      </w:pPr>
      <w:r>
        <w:rPr>
          <w:rFonts w:ascii="Garamond" w:hAnsi="Garamond"/>
          <w:sz w:val="24"/>
          <w:szCs w:val="24"/>
        </w:rPr>
        <w:t>II</w:t>
      </w:r>
      <w:r w:rsidR="00BB15A1" w:rsidRPr="00AE3F1B">
        <w:rPr>
          <w:rFonts w:ascii="Garamond" w:hAnsi="Garamond"/>
          <w:sz w:val="24"/>
          <w:szCs w:val="24"/>
        </w:rPr>
        <w:t>.</w:t>
      </w:r>
      <w:r w:rsidR="00DD5AB5">
        <w:rPr>
          <w:rFonts w:ascii="Garamond" w:hAnsi="Garamond"/>
          <w:sz w:val="24"/>
          <w:szCs w:val="24"/>
        </w:rPr>
        <w:t>5</w:t>
      </w:r>
      <w:r w:rsidR="00BB15A1" w:rsidRPr="00AE3F1B">
        <w:rPr>
          <w:rFonts w:ascii="Garamond" w:hAnsi="Garamond"/>
          <w:sz w:val="24"/>
          <w:szCs w:val="24"/>
        </w:rPr>
        <w:t>.5.4.1. Zabrania się przyłączania jednostek wytwórczych wyposażonych wyłącznie w aparaty instalacyjne np. bezpieczniki topikowe czy wyłączniki nadmiarowe niezależnie od wartości mocy osiągalnej i miejsca przyłączenia.</w:t>
      </w:r>
    </w:p>
    <w:p w14:paraId="0D4E8D5E" w14:textId="4872EC60" w:rsidR="00BB15A1" w:rsidRPr="00AE3F1B" w:rsidRDefault="0004445C" w:rsidP="00175586">
      <w:pPr>
        <w:spacing w:after="204" w:line="253" w:lineRule="auto"/>
        <w:ind w:left="567" w:right="-3" w:hanging="567"/>
        <w:jc w:val="left"/>
        <w:rPr>
          <w:rFonts w:ascii="Garamond" w:hAnsi="Garamond"/>
          <w:sz w:val="24"/>
          <w:szCs w:val="24"/>
        </w:rPr>
      </w:pPr>
      <w:r>
        <w:rPr>
          <w:rFonts w:ascii="Garamond" w:hAnsi="Garamond"/>
          <w:sz w:val="24"/>
          <w:szCs w:val="24"/>
        </w:rPr>
        <w:t>II</w:t>
      </w:r>
      <w:r w:rsidR="00BB15A1" w:rsidRPr="00AE3F1B">
        <w:rPr>
          <w:rFonts w:ascii="Garamond" w:hAnsi="Garamond"/>
          <w:sz w:val="24"/>
          <w:szCs w:val="24"/>
        </w:rPr>
        <w:t>.</w:t>
      </w:r>
      <w:r w:rsidR="00DD5AB5">
        <w:rPr>
          <w:rFonts w:ascii="Garamond" w:hAnsi="Garamond"/>
          <w:sz w:val="24"/>
          <w:szCs w:val="24"/>
        </w:rPr>
        <w:t>5</w:t>
      </w:r>
      <w:r w:rsidR="00BB15A1" w:rsidRPr="00AE3F1B">
        <w:rPr>
          <w:rFonts w:ascii="Garamond" w:hAnsi="Garamond"/>
          <w:sz w:val="24"/>
          <w:szCs w:val="24"/>
        </w:rPr>
        <w:t>.5.4.2.Wszystkie zabezpieczenia jednostek wytwórczych powinny powodować ich trójfazowe wyłączenie.</w:t>
      </w:r>
    </w:p>
    <w:p w14:paraId="19921117" w14:textId="6772D07B" w:rsidR="00BB15A1" w:rsidRPr="00AE3F1B" w:rsidRDefault="0004445C" w:rsidP="00175586">
      <w:pPr>
        <w:spacing w:after="167" w:line="253" w:lineRule="auto"/>
        <w:ind w:left="567" w:right="-3" w:hanging="567"/>
        <w:jc w:val="left"/>
        <w:rPr>
          <w:rFonts w:ascii="Garamond" w:hAnsi="Garamond"/>
          <w:sz w:val="24"/>
          <w:szCs w:val="24"/>
        </w:rPr>
      </w:pPr>
      <w:r>
        <w:rPr>
          <w:rFonts w:ascii="Garamond" w:hAnsi="Garamond"/>
          <w:sz w:val="24"/>
          <w:szCs w:val="24"/>
        </w:rPr>
        <w:t>II</w:t>
      </w:r>
      <w:r w:rsidR="00BB15A1" w:rsidRPr="00AE3F1B">
        <w:rPr>
          <w:rFonts w:ascii="Garamond" w:hAnsi="Garamond"/>
          <w:sz w:val="24"/>
          <w:szCs w:val="24"/>
        </w:rPr>
        <w:t>.</w:t>
      </w:r>
      <w:r w:rsidR="00DD5AB5">
        <w:rPr>
          <w:rFonts w:ascii="Garamond" w:hAnsi="Garamond"/>
          <w:sz w:val="24"/>
          <w:szCs w:val="24"/>
        </w:rPr>
        <w:t>5</w:t>
      </w:r>
      <w:r w:rsidR="00BB15A1" w:rsidRPr="00AE3F1B">
        <w:rPr>
          <w:rFonts w:ascii="Garamond" w:hAnsi="Garamond"/>
          <w:sz w:val="24"/>
          <w:szCs w:val="24"/>
        </w:rPr>
        <w:t>.5.4.3. Jednostki wytwórcze, dla których miejscem przyłączenia jest sieć nN, powinny być wyposażone w:</w:t>
      </w:r>
    </w:p>
    <w:p w14:paraId="13A64CD7" w14:textId="77777777" w:rsidR="00BB15A1" w:rsidRPr="000E7344" w:rsidRDefault="00BB15A1">
      <w:pPr>
        <w:pStyle w:val="Akapitzlist"/>
        <w:numPr>
          <w:ilvl w:val="0"/>
          <w:numId w:val="84"/>
        </w:numPr>
        <w:ind w:right="-3"/>
        <w:jc w:val="left"/>
        <w:rPr>
          <w:rFonts w:ascii="Garamond" w:hAnsi="Garamond"/>
          <w:sz w:val="24"/>
          <w:szCs w:val="24"/>
        </w:rPr>
      </w:pPr>
      <w:r w:rsidRPr="000E7344">
        <w:rPr>
          <w:rFonts w:ascii="Garamond" w:hAnsi="Garamond"/>
          <w:sz w:val="24"/>
          <w:szCs w:val="24"/>
        </w:rPr>
        <w:t>zabezpieczenia nadprądowe,</w:t>
      </w:r>
    </w:p>
    <w:p w14:paraId="6DDE9165" w14:textId="33904955" w:rsidR="00A23B3F" w:rsidRPr="000E7344" w:rsidRDefault="00BB15A1">
      <w:pPr>
        <w:pStyle w:val="Akapitzlist"/>
        <w:numPr>
          <w:ilvl w:val="0"/>
          <w:numId w:val="84"/>
        </w:numPr>
        <w:spacing w:after="186"/>
        <w:ind w:right="-3"/>
        <w:jc w:val="left"/>
        <w:rPr>
          <w:rFonts w:ascii="Garamond" w:hAnsi="Garamond"/>
          <w:sz w:val="24"/>
          <w:szCs w:val="24"/>
        </w:rPr>
      </w:pPr>
      <w:r w:rsidRPr="000E7344">
        <w:rPr>
          <w:rFonts w:ascii="Garamond" w:hAnsi="Garamond"/>
          <w:sz w:val="24"/>
          <w:szCs w:val="24"/>
        </w:rPr>
        <w:t>zabezpieczenia pod</w:t>
      </w:r>
      <w:r w:rsidR="00674FC6" w:rsidRPr="000E7344">
        <w:rPr>
          <w:rFonts w:ascii="Garamond" w:hAnsi="Garamond"/>
          <w:sz w:val="24"/>
          <w:szCs w:val="24"/>
        </w:rPr>
        <w:t xml:space="preserve"> </w:t>
      </w:r>
      <w:r w:rsidRPr="000E7344">
        <w:rPr>
          <w:rFonts w:ascii="Garamond" w:hAnsi="Garamond"/>
          <w:sz w:val="24"/>
          <w:szCs w:val="24"/>
        </w:rPr>
        <w:t xml:space="preserve">i nadnapięciowe, </w:t>
      </w:r>
    </w:p>
    <w:p w14:paraId="0E7CBFDD" w14:textId="77777777" w:rsidR="00A23B3F" w:rsidRPr="000E7344" w:rsidRDefault="00BB15A1">
      <w:pPr>
        <w:pStyle w:val="Akapitzlist"/>
        <w:numPr>
          <w:ilvl w:val="0"/>
          <w:numId w:val="84"/>
        </w:numPr>
        <w:spacing w:after="186"/>
        <w:ind w:right="-3"/>
        <w:jc w:val="left"/>
        <w:rPr>
          <w:rFonts w:ascii="Garamond" w:hAnsi="Garamond"/>
          <w:sz w:val="24"/>
          <w:szCs w:val="24"/>
        </w:rPr>
      </w:pPr>
      <w:r w:rsidRPr="000E7344">
        <w:rPr>
          <w:rFonts w:ascii="Garamond" w:hAnsi="Garamond"/>
          <w:sz w:val="24"/>
          <w:szCs w:val="24"/>
        </w:rPr>
        <w:t xml:space="preserve">zabezpieczenia pod i </w:t>
      </w:r>
      <w:r w:rsidR="00C42DAF" w:rsidRPr="000E7344">
        <w:rPr>
          <w:rFonts w:ascii="Garamond" w:hAnsi="Garamond"/>
          <w:sz w:val="24"/>
          <w:szCs w:val="24"/>
        </w:rPr>
        <w:t>nad częstotliwościowe</w:t>
      </w:r>
      <w:r w:rsidRPr="000E7344">
        <w:rPr>
          <w:rFonts w:ascii="Garamond" w:hAnsi="Garamond"/>
          <w:sz w:val="24"/>
          <w:szCs w:val="24"/>
        </w:rPr>
        <w:t xml:space="preserve">, </w:t>
      </w:r>
    </w:p>
    <w:p w14:paraId="41680924" w14:textId="586F3999" w:rsidR="000E7344" w:rsidRPr="000E7344" w:rsidRDefault="00BB15A1">
      <w:pPr>
        <w:pStyle w:val="Akapitzlist"/>
        <w:numPr>
          <w:ilvl w:val="0"/>
          <w:numId w:val="84"/>
        </w:numPr>
        <w:spacing w:after="186"/>
        <w:ind w:right="-3"/>
        <w:jc w:val="left"/>
        <w:rPr>
          <w:rFonts w:ascii="Garamond" w:hAnsi="Garamond"/>
          <w:sz w:val="24"/>
          <w:szCs w:val="24"/>
        </w:rPr>
      </w:pPr>
      <w:r w:rsidRPr="000E7344">
        <w:rPr>
          <w:rFonts w:ascii="Garamond" w:hAnsi="Garamond"/>
          <w:sz w:val="24"/>
          <w:szCs w:val="24"/>
        </w:rPr>
        <w:t xml:space="preserve">zabezpieczenie od pracy </w:t>
      </w:r>
      <w:proofErr w:type="spellStart"/>
      <w:r w:rsidR="00C42DAF" w:rsidRPr="000E7344">
        <w:rPr>
          <w:rFonts w:ascii="Garamond" w:hAnsi="Garamond"/>
          <w:sz w:val="24"/>
          <w:szCs w:val="24"/>
        </w:rPr>
        <w:t>niepełnofazowej</w:t>
      </w:r>
      <w:proofErr w:type="spellEnd"/>
      <w:r w:rsidRPr="000E7344">
        <w:rPr>
          <w:rFonts w:ascii="Garamond" w:hAnsi="Garamond"/>
          <w:sz w:val="24"/>
          <w:szCs w:val="24"/>
        </w:rPr>
        <w:t xml:space="preserve">, </w:t>
      </w:r>
    </w:p>
    <w:p w14:paraId="415133F2" w14:textId="5EA37FBB" w:rsidR="00BB15A1" w:rsidRPr="000E7344" w:rsidRDefault="00BB15A1">
      <w:pPr>
        <w:pStyle w:val="Akapitzlist"/>
        <w:numPr>
          <w:ilvl w:val="0"/>
          <w:numId w:val="84"/>
        </w:numPr>
        <w:spacing w:after="186"/>
        <w:ind w:right="-3"/>
        <w:jc w:val="left"/>
        <w:rPr>
          <w:rFonts w:ascii="Garamond" w:hAnsi="Garamond"/>
          <w:sz w:val="24"/>
          <w:szCs w:val="24"/>
        </w:rPr>
      </w:pPr>
      <w:r w:rsidRPr="000E7344">
        <w:rPr>
          <w:rFonts w:ascii="Garamond" w:hAnsi="Garamond"/>
          <w:sz w:val="24"/>
          <w:szCs w:val="24"/>
        </w:rPr>
        <w:t>zabezpieczenie od pracy wyspowej.</w:t>
      </w:r>
    </w:p>
    <w:p w14:paraId="63429192" w14:textId="17334E0D" w:rsidR="00BB15A1" w:rsidRPr="00AE3F1B" w:rsidRDefault="0004445C" w:rsidP="00175586">
      <w:pPr>
        <w:spacing w:after="177" w:line="253" w:lineRule="auto"/>
        <w:ind w:left="567" w:right="-3" w:hanging="567"/>
        <w:jc w:val="left"/>
        <w:rPr>
          <w:rFonts w:ascii="Garamond" w:hAnsi="Garamond"/>
          <w:sz w:val="24"/>
          <w:szCs w:val="24"/>
        </w:rPr>
      </w:pPr>
      <w:r>
        <w:rPr>
          <w:rFonts w:ascii="Garamond" w:hAnsi="Garamond"/>
          <w:sz w:val="24"/>
          <w:szCs w:val="24"/>
        </w:rPr>
        <w:t>II</w:t>
      </w:r>
      <w:r w:rsidR="00BB15A1" w:rsidRPr="00AE3F1B">
        <w:rPr>
          <w:rFonts w:ascii="Garamond" w:hAnsi="Garamond"/>
          <w:sz w:val="24"/>
          <w:szCs w:val="24"/>
        </w:rPr>
        <w:t>.</w:t>
      </w:r>
      <w:r w:rsidR="00DD5AB5">
        <w:rPr>
          <w:rFonts w:ascii="Garamond" w:hAnsi="Garamond"/>
          <w:sz w:val="24"/>
          <w:szCs w:val="24"/>
        </w:rPr>
        <w:t>5</w:t>
      </w:r>
      <w:r w:rsidR="00BB15A1" w:rsidRPr="00AE3F1B">
        <w:rPr>
          <w:rFonts w:ascii="Garamond" w:hAnsi="Garamond"/>
          <w:sz w:val="24"/>
          <w:szCs w:val="24"/>
        </w:rPr>
        <w:t>.5.4.4. ID Sp. z o.o. decyduje o potrzebie wyposażenia jednostek wytwórczych lub linii w inne zabezpieczenia, poprawiające bezpieczeństwo pracy sieci.</w:t>
      </w:r>
    </w:p>
    <w:p w14:paraId="0BD772E5" w14:textId="63E338A8" w:rsidR="00BB15A1" w:rsidRPr="00AE3F1B" w:rsidRDefault="0004445C" w:rsidP="00175586">
      <w:pPr>
        <w:spacing w:after="182" w:line="253" w:lineRule="auto"/>
        <w:ind w:left="567" w:right="-3" w:hanging="567"/>
        <w:jc w:val="left"/>
        <w:rPr>
          <w:rFonts w:ascii="Garamond" w:hAnsi="Garamond"/>
          <w:sz w:val="24"/>
          <w:szCs w:val="24"/>
        </w:rPr>
      </w:pPr>
      <w:r>
        <w:rPr>
          <w:rFonts w:ascii="Garamond" w:hAnsi="Garamond"/>
          <w:sz w:val="24"/>
          <w:szCs w:val="24"/>
        </w:rPr>
        <w:t>II</w:t>
      </w:r>
      <w:r w:rsidR="00BB15A1" w:rsidRPr="00AE3F1B">
        <w:rPr>
          <w:rFonts w:ascii="Garamond" w:hAnsi="Garamond"/>
          <w:sz w:val="24"/>
          <w:szCs w:val="24"/>
        </w:rPr>
        <w:t>.</w:t>
      </w:r>
      <w:r w:rsidR="00DD5AB5">
        <w:rPr>
          <w:rFonts w:ascii="Garamond" w:hAnsi="Garamond"/>
          <w:sz w:val="24"/>
          <w:szCs w:val="24"/>
        </w:rPr>
        <w:t>5</w:t>
      </w:r>
      <w:r w:rsidR="00BB15A1" w:rsidRPr="00AE3F1B">
        <w:rPr>
          <w:rFonts w:ascii="Garamond" w:hAnsi="Garamond"/>
          <w:sz w:val="24"/>
          <w:szCs w:val="24"/>
        </w:rPr>
        <w:t>.5.4.5. Nastawy EAZ jednostek wytwórczych powinny być uzgodnione z ID Sp. z o.o. lub przez nią ustalone.</w:t>
      </w:r>
    </w:p>
    <w:p w14:paraId="635F8166" w14:textId="2746E610" w:rsidR="00BB15A1" w:rsidRPr="00AE3F1B" w:rsidRDefault="0004445C" w:rsidP="00674FC6">
      <w:pPr>
        <w:keepNext/>
        <w:keepLines/>
        <w:tabs>
          <w:tab w:val="left" w:pos="993"/>
          <w:tab w:val="center" w:pos="4432"/>
        </w:tabs>
        <w:spacing w:after="190" w:line="259" w:lineRule="auto"/>
        <w:ind w:left="567" w:right="-3" w:hanging="567"/>
        <w:jc w:val="left"/>
        <w:outlineLvl w:val="3"/>
        <w:rPr>
          <w:rFonts w:ascii="Garamond" w:hAnsi="Garamond"/>
          <w:sz w:val="24"/>
          <w:szCs w:val="24"/>
          <w:u w:val="single" w:color="000000"/>
        </w:rPr>
      </w:pPr>
      <w:bookmarkStart w:id="37" w:name="_Toc171860231"/>
      <w:r>
        <w:rPr>
          <w:rFonts w:ascii="Garamond" w:hAnsi="Garamond"/>
          <w:sz w:val="24"/>
          <w:szCs w:val="24"/>
          <w:u w:color="000000"/>
        </w:rPr>
        <w:t>II</w:t>
      </w:r>
      <w:r w:rsidR="00BB15A1" w:rsidRPr="00AE3F1B">
        <w:rPr>
          <w:rFonts w:ascii="Garamond" w:hAnsi="Garamond"/>
          <w:sz w:val="24"/>
          <w:szCs w:val="24"/>
          <w:u w:color="000000"/>
        </w:rPr>
        <w:t>.</w:t>
      </w:r>
      <w:r w:rsidR="00DD5AB5">
        <w:rPr>
          <w:rFonts w:ascii="Garamond" w:hAnsi="Garamond"/>
          <w:sz w:val="24"/>
          <w:szCs w:val="24"/>
          <w:u w:color="000000"/>
        </w:rPr>
        <w:t>5</w:t>
      </w:r>
      <w:r w:rsidR="00BB15A1" w:rsidRPr="00AE3F1B">
        <w:rPr>
          <w:rFonts w:ascii="Garamond" w:hAnsi="Garamond"/>
          <w:sz w:val="24"/>
          <w:szCs w:val="24"/>
          <w:u w:color="000000"/>
        </w:rPr>
        <w:t>.5.4.6.</w:t>
      </w:r>
      <w:r w:rsidR="000E7344">
        <w:rPr>
          <w:rFonts w:ascii="Garamond" w:hAnsi="Garamond"/>
          <w:sz w:val="24"/>
          <w:szCs w:val="24"/>
          <w:u w:color="000000"/>
        </w:rPr>
        <w:t xml:space="preserve"> </w:t>
      </w:r>
      <w:r w:rsidR="00BB15A1" w:rsidRPr="00AE3F1B">
        <w:rPr>
          <w:rFonts w:ascii="Garamond" w:hAnsi="Garamond"/>
          <w:sz w:val="24"/>
          <w:szCs w:val="24"/>
          <w:u w:val="single" w:color="000000"/>
        </w:rPr>
        <w:t>Jednostki w</w:t>
      </w:r>
      <w:r w:rsidR="00A23B3F" w:rsidRPr="00AE3F1B">
        <w:rPr>
          <w:rFonts w:ascii="Garamond" w:hAnsi="Garamond"/>
          <w:sz w:val="24"/>
          <w:szCs w:val="24"/>
          <w:u w:val="single" w:color="000000"/>
        </w:rPr>
        <w:t>y</w:t>
      </w:r>
      <w:r w:rsidR="00BB15A1" w:rsidRPr="00AE3F1B">
        <w:rPr>
          <w:rFonts w:ascii="Garamond" w:hAnsi="Garamond"/>
          <w:sz w:val="24"/>
          <w:szCs w:val="24"/>
          <w:u w:val="single" w:color="000000"/>
        </w:rPr>
        <w:t>twórcze prz</w:t>
      </w:r>
      <w:r w:rsidR="00A23B3F" w:rsidRPr="00AE3F1B">
        <w:rPr>
          <w:rFonts w:ascii="Garamond" w:hAnsi="Garamond"/>
          <w:sz w:val="24"/>
          <w:szCs w:val="24"/>
          <w:u w:val="single" w:color="000000"/>
        </w:rPr>
        <w:t>y</w:t>
      </w:r>
      <w:r w:rsidR="00BB15A1" w:rsidRPr="00AE3F1B">
        <w:rPr>
          <w:rFonts w:ascii="Garamond" w:hAnsi="Garamond"/>
          <w:sz w:val="24"/>
          <w:szCs w:val="24"/>
          <w:u w:val="single" w:color="000000"/>
        </w:rPr>
        <w:t>łączone poprzez transformatory nN/SN</w:t>
      </w:r>
      <w:bookmarkEnd w:id="37"/>
    </w:p>
    <w:p w14:paraId="61F40776" w14:textId="13B6E6F7" w:rsidR="00BB15A1" w:rsidRPr="00AE3F1B" w:rsidRDefault="0004445C" w:rsidP="00175586">
      <w:pPr>
        <w:spacing w:after="174" w:line="253" w:lineRule="auto"/>
        <w:ind w:left="567" w:right="-3" w:hanging="567"/>
        <w:jc w:val="left"/>
        <w:rPr>
          <w:rFonts w:ascii="Garamond" w:hAnsi="Garamond"/>
          <w:sz w:val="24"/>
          <w:szCs w:val="24"/>
        </w:rPr>
      </w:pPr>
      <w:r>
        <w:rPr>
          <w:rFonts w:ascii="Garamond" w:hAnsi="Garamond"/>
          <w:sz w:val="24"/>
          <w:szCs w:val="24"/>
        </w:rPr>
        <w:t>II</w:t>
      </w:r>
      <w:r w:rsidR="00BB15A1" w:rsidRPr="00AE3F1B">
        <w:rPr>
          <w:rFonts w:ascii="Garamond" w:hAnsi="Garamond"/>
          <w:sz w:val="24"/>
          <w:szCs w:val="24"/>
        </w:rPr>
        <w:t>.</w:t>
      </w:r>
      <w:r w:rsidR="00DD5AB5">
        <w:rPr>
          <w:rFonts w:ascii="Garamond" w:hAnsi="Garamond"/>
          <w:sz w:val="24"/>
          <w:szCs w:val="24"/>
        </w:rPr>
        <w:t>5</w:t>
      </w:r>
      <w:r w:rsidR="00BB15A1" w:rsidRPr="00AE3F1B">
        <w:rPr>
          <w:rFonts w:ascii="Garamond" w:hAnsi="Garamond"/>
          <w:sz w:val="24"/>
          <w:szCs w:val="24"/>
        </w:rPr>
        <w:t>.5.4.6.1. Jeśli w skład jednostki wytwórczej wchodzi transformator nN/SN niezależnie od łącznika po stronie nN musi być zainstalowany wyłącznik po stronie SN.</w:t>
      </w:r>
    </w:p>
    <w:p w14:paraId="69CF18CD" w14:textId="01B63910" w:rsidR="00BB15A1" w:rsidRPr="00AE3F1B" w:rsidRDefault="0004445C" w:rsidP="00175586">
      <w:pPr>
        <w:spacing w:after="159" w:line="253" w:lineRule="auto"/>
        <w:ind w:left="567" w:right="-3" w:hanging="567"/>
        <w:jc w:val="left"/>
        <w:rPr>
          <w:rFonts w:ascii="Garamond" w:hAnsi="Garamond"/>
          <w:sz w:val="24"/>
          <w:szCs w:val="24"/>
        </w:rPr>
      </w:pPr>
      <w:r>
        <w:rPr>
          <w:rFonts w:ascii="Garamond" w:hAnsi="Garamond"/>
          <w:sz w:val="24"/>
          <w:szCs w:val="24"/>
        </w:rPr>
        <w:t>II</w:t>
      </w:r>
      <w:r w:rsidR="00BB15A1" w:rsidRPr="00AE3F1B">
        <w:rPr>
          <w:rFonts w:ascii="Garamond" w:hAnsi="Garamond"/>
          <w:sz w:val="24"/>
          <w:szCs w:val="24"/>
        </w:rPr>
        <w:t>.</w:t>
      </w:r>
      <w:r w:rsidR="00DD5AB5">
        <w:rPr>
          <w:rFonts w:ascii="Garamond" w:hAnsi="Garamond"/>
          <w:sz w:val="24"/>
          <w:szCs w:val="24"/>
        </w:rPr>
        <w:t>5</w:t>
      </w:r>
      <w:r w:rsidR="00BB15A1" w:rsidRPr="00AE3F1B">
        <w:rPr>
          <w:rFonts w:ascii="Garamond" w:hAnsi="Garamond"/>
          <w:sz w:val="24"/>
          <w:szCs w:val="24"/>
        </w:rPr>
        <w:t xml:space="preserve">.5.4.6.2. Jednostki wytwórcze z generatorami synchronicznymi pracujące synchronicznie z siecią muszą być wyposażone w synchronizatory lub inne urządzenie umożliwiające właściwe łączenie </w:t>
      </w:r>
      <w:r w:rsidR="00674FC6">
        <w:rPr>
          <w:rFonts w:ascii="Garamond" w:hAnsi="Garamond"/>
          <w:sz w:val="24"/>
          <w:szCs w:val="24"/>
        </w:rPr>
        <w:br/>
      </w:r>
      <w:r w:rsidR="00BB15A1" w:rsidRPr="00AE3F1B">
        <w:rPr>
          <w:rFonts w:ascii="Garamond" w:hAnsi="Garamond"/>
          <w:sz w:val="24"/>
          <w:szCs w:val="24"/>
        </w:rPr>
        <w:t>z siecią.</w:t>
      </w:r>
    </w:p>
    <w:p w14:paraId="48F74FA2" w14:textId="612B71C8" w:rsidR="00BB15A1" w:rsidRPr="00AE3F1B" w:rsidRDefault="0004445C" w:rsidP="00175586">
      <w:pPr>
        <w:spacing w:after="184" w:line="253" w:lineRule="auto"/>
        <w:ind w:left="567" w:right="-3" w:hanging="567"/>
        <w:jc w:val="left"/>
        <w:rPr>
          <w:rFonts w:ascii="Garamond" w:hAnsi="Garamond"/>
          <w:sz w:val="24"/>
          <w:szCs w:val="24"/>
        </w:rPr>
      </w:pPr>
      <w:r>
        <w:rPr>
          <w:rFonts w:ascii="Garamond" w:hAnsi="Garamond"/>
          <w:sz w:val="24"/>
          <w:szCs w:val="24"/>
        </w:rPr>
        <w:t>II</w:t>
      </w:r>
      <w:r w:rsidR="00BB15A1" w:rsidRPr="00AE3F1B">
        <w:rPr>
          <w:rFonts w:ascii="Garamond" w:hAnsi="Garamond"/>
          <w:sz w:val="24"/>
          <w:szCs w:val="24"/>
        </w:rPr>
        <w:t>.</w:t>
      </w:r>
      <w:r w:rsidR="00DD5AB5">
        <w:rPr>
          <w:rFonts w:ascii="Garamond" w:hAnsi="Garamond"/>
          <w:sz w:val="24"/>
          <w:szCs w:val="24"/>
        </w:rPr>
        <w:t>5</w:t>
      </w:r>
      <w:r w:rsidR="00BB15A1" w:rsidRPr="00AE3F1B">
        <w:rPr>
          <w:rFonts w:ascii="Garamond" w:hAnsi="Garamond"/>
          <w:sz w:val="24"/>
          <w:szCs w:val="24"/>
        </w:rPr>
        <w:t>.5.4.6.3. Po chwilowym zaniku lub obniżeniu napięcia w sieci współpracującej powodującym wyłączenie, jednostki wytwórcze o mocy większej od 100 kVA mogą samoczynnie powrócić do pracy w czasie nie krótszym niż 30 s po ustąpieniu zakłócenia.</w:t>
      </w:r>
    </w:p>
    <w:p w14:paraId="52B6C78D" w14:textId="730BCDB4" w:rsidR="00BB15A1" w:rsidRPr="00AE3F1B" w:rsidRDefault="0004445C" w:rsidP="00175586">
      <w:pPr>
        <w:spacing w:after="192" w:line="253" w:lineRule="auto"/>
        <w:ind w:left="567" w:right="-3" w:hanging="567"/>
        <w:jc w:val="left"/>
        <w:rPr>
          <w:rFonts w:ascii="Garamond" w:hAnsi="Garamond"/>
          <w:sz w:val="24"/>
          <w:szCs w:val="24"/>
        </w:rPr>
      </w:pPr>
      <w:r>
        <w:rPr>
          <w:rFonts w:ascii="Garamond" w:hAnsi="Garamond"/>
          <w:sz w:val="24"/>
          <w:szCs w:val="24"/>
        </w:rPr>
        <w:t>II</w:t>
      </w:r>
      <w:r w:rsidR="00BB15A1" w:rsidRPr="00AE3F1B">
        <w:rPr>
          <w:rFonts w:ascii="Garamond" w:hAnsi="Garamond"/>
          <w:sz w:val="24"/>
          <w:szCs w:val="24"/>
        </w:rPr>
        <w:t>.</w:t>
      </w:r>
      <w:r w:rsidR="00DD5AB5">
        <w:rPr>
          <w:rFonts w:ascii="Garamond" w:hAnsi="Garamond"/>
          <w:sz w:val="24"/>
          <w:szCs w:val="24"/>
        </w:rPr>
        <w:t>5</w:t>
      </w:r>
      <w:r w:rsidR="00BB15A1" w:rsidRPr="00AE3F1B">
        <w:rPr>
          <w:rFonts w:ascii="Garamond" w:hAnsi="Garamond"/>
          <w:sz w:val="24"/>
          <w:szCs w:val="24"/>
        </w:rPr>
        <w:t>.5.4.6.4. Jednostki wytwórcze powinny mieć następujące zabezpieczenia:</w:t>
      </w:r>
    </w:p>
    <w:p w14:paraId="491253EC" w14:textId="77777777" w:rsidR="00BB15A1" w:rsidRPr="000E7344" w:rsidRDefault="00BB15A1">
      <w:pPr>
        <w:pStyle w:val="Akapitzlist"/>
        <w:numPr>
          <w:ilvl w:val="0"/>
          <w:numId w:val="85"/>
        </w:numPr>
        <w:spacing w:line="253" w:lineRule="auto"/>
        <w:ind w:right="-3"/>
        <w:jc w:val="left"/>
        <w:rPr>
          <w:rFonts w:ascii="Garamond" w:hAnsi="Garamond"/>
          <w:sz w:val="24"/>
          <w:szCs w:val="24"/>
        </w:rPr>
      </w:pPr>
      <w:r w:rsidRPr="000E7344">
        <w:rPr>
          <w:rFonts w:ascii="Garamond" w:hAnsi="Garamond"/>
          <w:sz w:val="24"/>
          <w:szCs w:val="24"/>
        </w:rPr>
        <w:t>nadprądowe od skutków zwarć międzyfazowych zwłoczne i/lub zwarciowe,</w:t>
      </w:r>
    </w:p>
    <w:p w14:paraId="5F2A6D8F" w14:textId="77777777" w:rsidR="00BB15A1" w:rsidRPr="000E7344" w:rsidRDefault="00BB15A1">
      <w:pPr>
        <w:pStyle w:val="Akapitzlist"/>
        <w:numPr>
          <w:ilvl w:val="0"/>
          <w:numId w:val="85"/>
        </w:numPr>
        <w:spacing w:line="253" w:lineRule="auto"/>
        <w:ind w:right="-3"/>
        <w:jc w:val="left"/>
        <w:rPr>
          <w:rFonts w:ascii="Garamond" w:hAnsi="Garamond"/>
          <w:sz w:val="24"/>
          <w:szCs w:val="24"/>
        </w:rPr>
      </w:pPr>
      <w:r w:rsidRPr="000E7344">
        <w:rPr>
          <w:rFonts w:ascii="Garamond" w:hAnsi="Garamond"/>
          <w:sz w:val="24"/>
          <w:szCs w:val="24"/>
        </w:rPr>
        <w:t>nadnapięciowe i podnapięciowe,</w:t>
      </w:r>
    </w:p>
    <w:p w14:paraId="79B9E535" w14:textId="758E4140" w:rsidR="00BB15A1" w:rsidRPr="000E7344" w:rsidRDefault="00BB15A1">
      <w:pPr>
        <w:pStyle w:val="Akapitzlist"/>
        <w:numPr>
          <w:ilvl w:val="0"/>
          <w:numId w:val="85"/>
        </w:numPr>
        <w:spacing w:line="253" w:lineRule="auto"/>
        <w:ind w:right="-3"/>
        <w:jc w:val="left"/>
        <w:rPr>
          <w:rFonts w:ascii="Garamond" w:hAnsi="Garamond"/>
          <w:sz w:val="24"/>
          <w:szCs w:val="24"/>
        </w:rPr>
      </w:pPr>
      <w:r w:rsidRPr="000E7344">
        <w:rPr>
          <w:rFonts w:ascii="Garamond" w:hAnsi="Garamond"/>
          <w:sz w:val="24"/>
          <w:szCs w:val="24"/>
        </w:rPr>
        <w:t xml:space="preserve">nad i </w:t>
      </w:r>
      <w:proofErr w:type="spellStart"/>
      <w:r w:rsidR="00C42DAF" w:rsidRPr="000E7344">
        <w:rPr>
          <w:rFonts w:ascii="Garamond" w:hAnsi="Garamond"/>
          <w:sz w:val="24"/>
          <w:szCs w:val="24"/>
        </w:rPr>
        <w:t>podczęstotliwościowe</w:t>
      </w:r>
      <w:proofErr w:type="spellEnd"/>
      <w:r w:rsidRPr="000E7344">
        <w:rPr>
          <w:rFonts w:ascii="Garamond" w:hAnsi="Garamond"/>
          <w:sz w:val="24"/>
          <w:szCs w:val="24"/>
        </w:rPr>
        <w:t>,</w:t>
      </w:r>
    </w:p>
    <w:p w14:paraId="6B9B0F6C" w14:textId="77777777" w:rsidR="00BB15A1" w:rsidRPr="000E7344" w:rsidRDefault="00BB15A1">
      <w:pPr>
        <w:pStyle w:val="Akapitzlist"/>
        <w:numPr>
          <w:ilvl w:val="0"/>
          <w:numId w:val="85"/>
        </w:numPr>
        <w:spacing w:line="253" w:lineRule="auto"/>
        <w:ind w:right="-3"/>
        <w:jc w:val="left"/>
        <w:rPr>
          <w:rFonts w:ascii="Garamond" w:hAnsi="Garamond"/>
          <w:sz w:val="24"/>
          <w:szCs w:val="24"/>
        </w:rPr>
      </w:pPr>
      <w:r w:rsidRPr="000E7344">
        <w:rPr>
          <w:rFonts w:ascii="Garamond" w:hAnsi="Garamond"/>
          <w:sz w:val="24"/>
          <w:szCs w:val="24"/>
        </w:rPr>
        <w:t>ziemnozwarciowe,</w:t>
      </w:r>
    </w:p>
    <w:p w14:paraId="36AB951A" w14:textId="77777777" w:rsidR="00BB15A1" w:rsidRPr="000E7344" w:rsidRDefault="00BB15A1">
      <w:pPr>
        <w:pStyle w:val="Akapitzlist"/>
        <w:numPr>
          <w:ilvl w:val="0"/>
          <w:numId w:val="85"/>
        </w:numPr>
        <w:spacing w:after="126" w:line="248" w:lineRule="auto"/>
        <w:ind w:right="-3"/>
        <w:jc w:val="left"/>
        <w:rPr>
          <w:rFonts w:ascii="Garamond" w:hAnsi="Garamond"/>
          <w:sz w:val="24"/>
          <w:szCs w:val="24"/>
        </w:rPr>
      </w:pPr>
      <w:r w:rsidRPr="000E7344">
        <w:rPr>
          <w:rFonts w:ascii="Garamond" w:hAnsi="Garamond"/>
          <w:sz w:val="24"/>
          <w:szCs w:val="24"/>
        </w:rPr>
        <w:t>od pracy wyspowej.</w:t>
      </w:r>
    </w:p>
    <w:p w14:paraId="6F83CB74" w14:textId="2DB430E4" w:rsidR="00BB15A1" w:rsidRDefault="0004445C" w:rsidP="00175586">
      <w:pPr>
        <w:spacing w:after="178" w:line="253" w:lineRule="auto"/>
        <w:ind w:left="567" w:right="-3" w:hanging="567"/>
        <w:jc w:val="left"/>
        <w:rPr>
          <w:rFonts w:ascii="Garamond" w:hAnsi="Garamond"/>
          <w:sz w:val="24"/>
          <w:szCs w:val="24"/>
        </w:rPr>
      </w:pPr>
      <w:r>
        <w:rPr>
          <w:rFonts w:ascii="Garamond" w:hAnsi="Garamond"/>
          <w:sz w:val="24"/>
          <w:szCs w:val="24"/>
        </w:rPr>
        <w:t>II</w:t>
      </w:r>
      <w:r w:rsidR="00BB15A1" w:rsidRPr="00AE3F1B">
        <w:rPr>
          <w:rFonts w:ascii="Garamond" w:hAnsi="Garamond"/>
          <w:sz w:val="24"/>
          <w:szCs w:val="24"/>
        </w:rPr>
        <w:t>.</w:t>
      </w:r>
      <w:r w:rsidR="00DD5AB5">
        <w:rPr>
          <w:rFonts w:ascii="Garamond" w:hAnsi="Garamond"/>
          <w:sz w:val="24"/>
          <w:szCs w:val="24"/>
        </w:rPr>
        <w:t>5</w:t>
      </w:r>
      <w:r w:rsidR="00BB15A1" w:rsidRPr="00AE3F1B">
        <w:rPr>
          <w:rFonts w:ascii="Garamond" w:hAnsi="Garamond"/>
          <w:sz w:val="24"/>
          <w:szCs w:val="24"/>
        </w:rPr>
        <w:t xml:space="preserve">.5.4.6.5. Zabezpieczenia do ochrony przed skutkami obniżenia lub wzrostu napięcia muszą być wykonane trójfazowo. Jeśli zabezpieczenie jest zainstalowane po stronie nN, to powinno zadziałać po wzroście lub obniżeniu jednego lub więcej napięć fazowych. Jeśli jest zainstalowane </w:t>
      </w:r>
      <w:r w:rsidR="00BB15A1" w:rsidRPr="00AE3F1B">
        <w:rPr>
          <w:rFonts w:ascii="Garamond" w:hAnsi="Garamond"/>
          <w:sz w:val="24"/>
          <w:szCs w:val="24"/>
        </w:rPr>
        <w:lastRenderedPageBreak/>
        <w:t>po stronie SN, to powinno zadziałać po wzroście lub obniżeniu jednego lub więcej napięć przewodowych.</w:t>
      </w:r>
    </w:p>
    <w:p w14:paraId="26A143DC" w14:textId="77777777" w:rsidR="000E7344" w:rsidRPr="00AE3F1B" w:rsidRDefault="000E7344" w:rsidP="00175586">
      <w:pPr>
        <w:spacing w:after="178" w:line="253" w:lineRule="auto"/>
        <w:ind w:left="567" w:right="-3" w:hanging="567"/>
        <w:jc w:val="left"/>
        <w:rPr>
          <w:rFonts w:ascii="Garamond" w:hAnsi="Garamond"/>
          <w:sz w:val="24"/>
          <w:szCs w:val="24"/>
        </w:rPr>
      </w:pPr>
    </w:p>
    <w:p w14:paraId="2E210625" w14:textId="5802F21D" w:rsidR="00BB15A1" w:rsidRDefault="0004445C" w:rsidP="00175586">
      <w:pPr>
        <w:spacing w:line="253" w:lineRule="auto"/>
        <w:ind w:left="567" w:right="-3" w:hanging="567"/>
        <w:jc w:val="left"/>
        <w:rPr>
          <w:rFonts w:ascii="Garamond" w:hAnsi="Garamond"/>
          <w:sz w:val="24"/>
          <w:szCs w:val="24"/>
        </w:rPr>
      </w:pPr>
      <w:r>
        <w:rPr>
          <w:rFonts w:ascii="Garamond" w:hAnsi="Garamond"/>
          <w:sz w:val="24"/>
          <w:szCs w:val="24"/>
        </w:rPr>
        <w:t>II</w:t>
      </w:r>
      <w:r w:rsidR="00BB15A1" w:rsidRPr="00AE3F1B">
        <w:rPr>
          <w:rFonts w:ascii="Garamond" w:hAnsi="Garamond"/>
          <w:sz w:val="24"/>
          <w:szCs w:val="24"/>
        </w:rPr>
        <w:t>.</w:t>
      </w:r>
      <w:r w:rsidR="00DD5AB5">
        <w:rPr>
          <w:rFonts w:ascii="Garamond" w:hAnsi="Garamond"/>
          <w:sz w:val="24"/>
          <w:szCs w:val="24"/>
        </w:rPr>
        <w:t>5</w:t>
      </w:r>
      <w:r w:rsidR="00BB15A1" w:rsidRPr="00AE3F1B">
        <w:rPr>
          <w:rFonts w:ascii="Garamond" w:hAnsi="Garamond"/>
          <w:sz w:val="24"/>
          <w:szCs w:val="24"/>
        </w:rPr>
        <w:t xml:space="preserve">.5.4.6.7. Jednostki wytwórcze współpracujące z falownikami, oprócz zabezpieczeń wykonanych zgodnie z pkt. od </w:t>
      </w:r>
      <w:r w:rsidR="00BA2FC6">
        <w:rPr>
          <w:rFonts w:ascii="Garamond" w:hAnsi="Garamond"/>
          <w:sz w:val="24"/>
          <w:szCs w:val="24"/>
        </w:rPr>
        <w:t>II</w:t>
      </w:r>
      <w:r w:rsidR="00BB15A1" w:rsidRPr="00AE3F1B">
        <w:rPr>
          <w:rFonts w:ascii="Garamond" w:hAnsi="Garamond"/>
          <w:sz w:val="24"/>
          <w:szCs w:val="24"/>
        </w:rPr>
        <w:t>.</w:t>
      </w:r>
      <w:r w:rsidR="0037712B">
        <w:rPr>
          <w:rFonts w:ascii="Garamond" w:hAnsi="Garamond"/>
          <w:sz w:val="24"/>
          <w:szCs w:val="24"/>
        </w:rPr>
        <w:t>5</w:t>
      </w:r>
      <w:r w:rsidR="00BB15A1" w:rsidRPr="00AE3F1B">
        <w:rPr>
          <w:rFonts w:ascii="Garamond" w:hAnsi="Garamond"/>
          <w:sz w:val="24"/>
          <w:szCs w:val="24"/>
        </w:rPr>
        <w:t xml:space="preserve">.5.4.1. do </w:t>
      </w:r>
      <w:r w:rsidR="00BA2FC6">
        <w:rPr>
          <w:rFonts w:ascii="Garamond" w:hAnsi="Garamond"/>
          <w:sz w:val="24"/>
          <w:szCs w:val="24"/>
        </w:rPr>
        <w:t>II</w:t>
      </w:r>
      <w:r w:rsidR="00BB15A1" w:rsidRPr="00AE3F1B">
        <w:rPr>
          <w:rFonts w:ascii="Garamond" w:hAnsi="Garamond"/>
          <w:sz w:val="24"/>
          <w:szCs w:val="24"/>
        </w:rPr>
        <w:t>.</w:t>
      </w:r>
      <w:r w:rsidR="0037712B">
        <w:rPr>
          <w:rFonts w:ascii="Garamond" w:hAnsi="Garamond"/>
          <w:sz w:val="24"/>
          <w:szCs w:val="24"/>
        </w:rPr>
        <w:t>5</w:t>
      </w:r>
      <w:r w:rsidR="00BB15A1" w:rsidRPr="00AE3F1B">
        <w:rPr>
          <w:rFonts w:ascii="Garamond" w:hAnsi="Garamond"/>
          <w:sz w:val="24"/>
          <w:szCs w:val="24"/>
        </w:rPr>
        <w:t xml:space="preserve">.5.4.3. oraz od </w:t>
      </w:r>
      <w:r w:rsidR="00BA2FC6">
        <w:rPr>
          <w:rFonts w:ascii="Garamond" w:hAnsi="Garamond"/>
          <w:sz w:val="24"/>
          <w:szCs w:val="24"/>
        </w:rPr>
        <w:t>II</w:t>
      </w:r>
      <w:r w:rsidR="00BB15A1" w:rsidRPr="00AE3F1B">
        <w:rPr>
          <w:rFonts w:ascii="Garamond" w:hAnsi="Garamond"/>
          <w:sz w:val="24"/>
          <w:szCs w:val="24"/>
        </w:rPr>
        <w:t>.</w:t>
      </w:r>
      <w:r w:rsidR="0037712B">
        <w:rPr>
          <w:rFonts w:ascii="Garamond" w:hAnsi="Garamond"/>
          <w:sz w:val="24"/>
          <w:szCs w:val="24"/>
        </w:rPr>
        <w:t>5</w:t>
      </w:r>
      <w:r w:rsidR="00BB15A1" w:rsidRPr="00AE3F1B">
        <w:rPr>
          <w:rFonts w:ascii="Garamond" w:hAnsi="Garamond"/>
          <w:sz w:val="24"/>
          <w:szCs w:val="24"/>
        </w:rPr>
        <w:t xml:space="preserve">.5.4.6.1. do </w:t>
      </w:r>
      <w:r w:rsidR="00BA2FC6">
        <w:rPr>
          <w:rFonts w:ascii="Garamond" w:hAnsi="Garamond"/>
          <w:sz w:val="24"/>
          <w:szCs w:val="24"/>
        </w:rPr>
        <w:t>II</w:t>
      </w:r>
      <w:r w:rsidR="00BB15A1" w:rsidRPr="00AE3F1B">
        <w:rPr>
          <w:rFonts w:ascii="Garamond" w:hAnsi="Garamond"/>
          <w:sz w:val="24"/>
          <w:szCs w:val="24"/>
        </w:rPr>
        <w:t>.</w:t>
      </w:r>
      <w:r w:rsidR="0037712B">
        <w:rPr>
          <w:rFonts w:ascii="Garamond" w:hAnsi="Garamond"/>
          <w:sz w:val="24"/>
          <w:szCs w:val="24"/>
        </w:rPr>
        <w:t>5</w:t>
      </w:r>
      <w:r w:rsidR="00BB15A1" w:rsidRPr="00AE3F1B">
        <w:rPr>
          <w:rFonts w:ascii="Garamond" w:hAnsi="Garamond"/>
          <w:sz w:val="24"/>
          <w:szCs w:val="24"/>
        </w:rPr>
        <w:t>.5.6.6. powinny być wyposażone w urządzenia pozwalające na kontrolowanie i utrzymywanie zadanych parametrów jakościowych energii elektrycznej.</w:t>
      </w:r>
    </w:p>
    <w:p w14:paraId="2343880E" w14:textId="77777777" w:rsidR="000E7344" w:rsidRPr="00AE3F1B" w:rsidRDefault="000E7344" w:rsidP="00175586">
      <w:pPr>
        <w:spacing w:line="253" w:lineRule="auto"/>
        <w:ind w:left="567" w:right="-3" w:hanging="567"/>
        <w:jc w:val="left"/>
        <w:rPr>
          <w:rFonts w:ascii="Garamond" w:hAnsi="Garamond"/>
          <w:sz w:val="24"/>
          <w:szCs w:val="24"/>
        </w:rPr>
      </w:pPr>
    </w:p>
    <w:p w14:paraId="43F58D96" w14:textId="3CE99002" w:rsidR="00BB15A1" w:rsidRPr="00843D47" w:rsidRDefault="0004445C" w:rsidP="00175586">
      <w:pPr>
        <w:keepNext/>
        <w:keepLines/>
        <w:tabs>
          <w:tab w:val="center" w:pos="3468"/>
        </w:tabs>
        <w:spacing w:after="122" w:line="248" w:lineRule="auto"/>
        <w:ind w:left="567" w:right="-3" w:hanging="567"/>
        <w:jc w:val="left"/>
        <w:outlineLvl w:val="2"/>
        <w:rPr>
          <w:rFonts w:asciiTheme="majorHAnsi" w:hAnsiTheme="majorHAnsi"/>
          <w:sz w:val="24"/>
          <w:szCs w:val="24"/>
        </w:rPr>
      </w:pPr>
      <w:bookmarkStart w:id="38" w:name="_Toc171860232"/>
      <w:bookmarkStart w:id="39" w:name="_Toc171860320"/>
      <w:bookmarkStart w:id="40" w:name="_Toc171861046"/>
      <w:r w:rsidRPr="00843D47">
        <w:rPr>
          <w:rFonts w:asciiTheme="majorHAnsi" w:hAnsiTheme="majorHAnsi"/>
          <w:sz w:val="24"/>
          <w:szCs w:val="24"/>
        </w:rPr>
        <w:t>II</w:t>
      </w:r>
      <w:r w:rsidR="00BB15A1" w:rsidRPr="00843D47">
        <w:rPr>
          <w:rFonts w:asciiTheme="majorHAnsi" w:hAnsiTheme="majorHAnsi"/>
          <w:sz w:val="24"/>
          <w:szCs w:val="24"/>
        </w:rPr>
        <w:t>.</w:t>
      </w:r>
      <w:r w:rsidR="00DD5AB5">
        <w:rPr>
          <w:rFonts w:asciiTheme="majorHAnsi" w:hAnsiTheme="majorHAnsi"/>
          <w:sz w:val="24"/>
          <w:szCs w:val="24"/>
        </w:rPr>
        <w:t>5</w:t>
      </w:r>
      <w:r w:rsidR="00BB15A1" w:rsidRPr="00843D47">
        <w:rPr>
          <w:rFonts w:asciiTheme="majorHAnsi" w:hAnsiTheme="majorHAnsi"/>
          <w:sz w:val="24"/>
          <w:szCs w:val="24"/>
        </w:rPr>
        <w:t>.5.5.</w:t>
      </w:r>
      <w:r w:rsidR="00BB15A1" w:rsidRPr="00843D47">
        <w:rPr>
          <w:rFonts w:asciiTheme="majorHAnsi" w:hAnsiTheme="majorHAnsi"/>
          <w:sz w:val="24"/>
          <w:szCs w:val="24"/>
        </w:rPr>
        <w:tab/>
        <w:t>WYBRANE ZAGADNIENIA EKSPLOATACJI EAZ</w:t>
      </w:r>
      <w:bookmarkEnd w:id="38"/>
      <w:bookmarkEnd w:id="39"/>
      <w:bookmarkEnd w:id="40"/>
    </w:p>
    <w:p w14:paraId="3E458CA8" w14:textId="7E981E40" w:rsidR="00BB15A1" w:rsidRPr="00AE3F1B" w:rsidRDefault="0004445C" w:rsidP="00175586">
      <w:pPr>
        <w:spacing w:after="196" w:line="253" w:lineRule="auto"/>
        <w:ind w:left="567" w:right="-3" w:hanging="567"/>
        <w:jc w:val="left"/>
        <w:rPr>
          <w:rFonts w:ascii="Garamond" w:hAnsi="Garamond"/>
          <w:sz w:val="24"/>
          <w:szCs w:val="24"/>
        </w:rPr>
      </w:pPr>
      <w:r>
        <w:rPr>
          <w:rFonts w:ascii="Garamond" w:hAnsi="Garamond"/>
          <w:sz w:val="24"/>
          <w:szCs w:val="24"/>
        </w:rPr>
        <w:t>II</w:t>
      </w:r>
      <w:r w:rsidR="00BB15A1" w:rsidRPr="00AE3F1B">
        <w:rPr>
          <w:rFonts w:ascii="Garamond" w:hAnsi="Garamond"/>
          <w:sz w:val="24"/>
          <w:szCs w:val="24"/>
        </w:rPr>
        <w:t>.</w:t>
      </w:r>
      <w:r w:rsidR="00DD5AB5">
        <w:rPr>
          <w:rFonts w:ascii="Garamond" w:hAnsi="Garamond"/>
          <w:sz w:val="24"/>
          <w:szCs w:val="24"/>
        </w:rPr>
        <w:t>5</w:t>
      </w:r>
      <w:r w:rsidR="00BB15A1" w:rsidRPr="00AE3F1B">
        <w:rPr>
          <w:rFonts w:ascii="Garamond" w:hAnsi="Garamond"/>
          <w:sz w:val="24"/>
          <w:szCs w:val="24"/>
        </w:rPr>
        <w:t xml:space="preserve">.5.5.1. ID Sp. z o.o. prowadzi eksploatację układów EAZ zgodnie z zasadami określonymi w niniejszej </w:t>
      </w:r>
      <w:r w:rsidR="00401961" w:rsidRPr="00FF23BB">
        <w:rPr>
          <w:rFonts w:ascii="Garamond" w:hAnsi="Garamond"/>
          <w:sz w:val="24"/>
          <w:szCs w:val="24"/>
        </w:rPr>
        <w:t>IRiESD</w:t>
      </w:r>
      <w:r w:rsidR="00BB15A1" w:rsidRPr="00AE3F1B">
        <w:rPr>
          <w:rFonts w:ascii="Garamond" w:hAnsi="Garamond"/>
          <w:sz w:val="24"/>
          <w:szCs w:val="24"/>
        </w:rPr>
        <w:t xml:space="preserve"> oraz w oparciu o szczegółowe instrukcje eksploatacji sieci, instalacji, grup urządzeń lub poszczególnych urządzeń.</w:t>
      </w:r>
    </w:p>
    <w:p w14:paraId="0D31E8B8" w14:textId="4E1E106C" w:rsidR="00BB15A1" w:rsidRPr="00AE3F1B" w:rsidRDefault="0004445C" w:rsidP="00175586">
      <w:pPr>
        <w:spacing w:after="168" w:line="253" w:lineRule="auto"/>
        <w:ind w:left="567" w:right="-3" w:hanging="567"/>
        <w:jc w:val="left"/>
        <w:rPr>
          <w:rFonts w:ascii="Garamond" w:hAnsi="Garamond"/>
          <w:sz w:val="24"/>
          <w:szCs w:val="24"/>
        </w:rPr>
      </w:pPr>
      <w:r>
        <w:rPr>
          <w:rFonts w:ascii="Garamond" w:hAnsi="Garamond"/>
          <w:sz w:val="24"/>
          <w:szCs w:val="24"/>
        </w:rPr>
        <w:t>II</w:t>
      </w:r>
      <w:r w:rsidR="00BB15A1" w:rsidRPr="00AE3F1B">
        <w:rPr>
          <w:rFonts w:ascii="Garamond" w:hAnsi="Garamond"/>
          <w:sz w:val="24"/>
          <w:szCs w:val="24"/>
        </w:rPr>
        <w:t>.</w:t>
      </w:r>
      <w:r w:rsidR="00DD5AB5">
        <w:rPr>
          <w:rFonts w:ascii="Garamond" w:hAnsi="Garamond"/>
          <w:sz w:val="24"/>
          <w:szCs w:val="24"/>
        </w:rPr>
        <w:t>5</w:t>
      </w:r>
      <w:r w:rsidR="00BB15A1" w:rsidRPr="00AE3F1B">
        <w:rPr>
          <w:rFonts w:ascii="Garamond" w:hAnsi="Garamond"/>
          <w:sz w:val="24"/>
          <w:szCs w:val="24"/>
        </w:rPr>
        <w:t>.5.5.</w:t>
      </w:r>
      <w:r w:rsidR="00D356CE">
        <w:rPr>
          <w:rFonts w:ascii="Garamond" w:hAnsi="Garamond"/>
          <w:sz w:val="24"/>
          <w:szCs w:val="24"/>
        </w:rPr>
        <w:t>2</w:t>
      </w:r>
      <w:r w:rsidR="00BB15A1" w:rsidRPr="00AE3F1B">
        <w:rPr>
          <w:rFonts w:ascii="Garamond" w:hAnsi="Garamond"/>
          <w:sz w:val="24"/>
          <w:szCs w:val="24"/>
        </w:rPr>
        <w:t xml:space="preserve">. Podmioty przyłączone do sieci dystrybucyjnej ID Sp. z o.o. zobowiązane są do eksploatowania urządzeń EAZ będących ich własnością w sposób nie zagrażający bezpiecznej pracy systemu dystrybucyjnego ID Sp. z o.o., a tym samym utrzymywania tych elementów </w:t>
      </w:r>
      <w:r w:rsidR="00674FC6">
        <w:rPr>
          <w:rFonts w:ascii="Garamond" w:hAnsi="Garamond"/>
          <w:sz w:val="24"/>
          <w:szCs w:val="24"/>
        </w:rPr>
        <w:br/>
      </w:r>
      <w:r w:rsidR="00BB15A1" w:rsidRPr="00AE3F1B">
        <w:rPr>
          <w:rFonts w:ascii="Garamond" w:hAnsi="Garamond"/>
          <w:sz w:val="24"/>
          <w:szCs w:val="24"/>
        </w:rPr>
        <w:t xml:space="preserve">w należytym stanie technicznym. W odniesieniu do EAZ bez uzgodnienia z ID Sp. z o.o. </w:t>
      </w:r>
      <w:r w:rsidR="00674FC6">
        <w:rPr>
          <w:rFonts w:ascii="Garamond" w:hAnsi="Garamond"/>
          <w:sz w:val="24"/>
          <w:szCs w:val="24"/>
        </w:rPr>
        <w:br/>
      </w:r>
      <w:r w:rsidR="00BB15A1" w:rsidRPr="00AE3F1B">
        <w:rPr>
          <w:rFonts w:ascii="Garamond" w:hAnsi="Garamond"/>
          <w:sz w:val="24"/>
          <w:szCs w:val="24"/>
        </w:rPr>
        <w:t>w szczególności podmiotom tym zabrania się:</w:t>
      </w:r>
    </w:p>
    <w:p w14:paraId="4EB98C98" w14:textId="77777777" w:rsidR="00BB15A1" w:rsidRPr="000E7344" w:rsidRDefault="00BB15A1">
      <w:pPr>
        <w:pStyle w:val="Akapitzlist"/>
        <w:numPr>
          <w:ilvl w:val="0"/>
          <w:numId w:val="86"/>
        </w:numPr>
        <w:spacing w:line="253" w:lineRule="auto"/>
        <w:ind w:right="-3"/>
        <w:jc w:val="left"/>
        <w:rPr>
          <w:rFonts w:ascii="Garamond" w:hAnsi="Garamond"/>
          <w:sz w:val="24"/>
          <w:szCs w:val="24"/>
        </w:rPr>
      </w:pPr>
      <w:r w:rsidRPr="000E7344">
        <w:rPr>
          <w:rFonts w:ascii="Garamond" w:hAnsi="Garamond"/>
          <w:sz w:val="24"/>
          <w:szCs w:val="24"/>
        </w:rPr>
        <w:t>odstawiania z pracy urządzeń lub ich części,</w:t>
      </w:r>
    </w:p>
    <w:p w14:paraId="3F539470" w14:textId="77777777" w:rsidR="00A23B3F" w:rsidRPr="000E7344" w:rsidRDefault="00BB15A1">
      <w:pPr>
        <w:pStyle w:val="Akapitzlist"/>
        <w:numPr>
          <w:ilvl w:val="0"/>
          <w:numId w:val="86"/>
        </w:numPr>
        <w:spacing w:line="253" w:lineRule="auto"/>
        <w:ind w:right="-3"/>
        <w:jc w:val="left"/>
        <w:rPr>
          <w:rFonts w:ascii="Garamond" w:hAnsi="Garamond"/>
          <w:sz w:val="24"/>
          <w:szCs w:val="24"/>
        </w:rPr>
      </w:pPr>
      <w:r w:rsidRPr="000E7344">
        <w:rPr>
          <w:rFonts w:ascii="Garamond" w:hAnsi="Garamond"/>
          <w:sz w:val="24"/>
          <w:szCs w:val="24"/>
        </w:rPr>
        <w:t xml:space="preserve">wymiany urządzeń na posiadające inne parametry i właściwości, </w:t>
      </w:r>
    </w:p>
    <w:p w14:paraId="047251C6" w14:textId="77777777" w:rsidR="00BB15A1" w:rsidRPr="000E7344" w:rsidRDefault="00BB15A1">
      <w:pPr>
        <w:pStyle w:val="Akapitzlist"/>
        <w:numPr>
          <w:ilvl w:val="0"/>
          <w:numId w:val="86"/>
        </w:numPr>
        <w:spacing w:line="253" w:lineRule="auto"/>
        <w:ind w:right="-3"/>
        <w:jc w:val="left"/>
        <w:rPr>
          <w:rFonts w:ascii="Garamond" w:hAnsi="Garamond"/>
          <w:sz w:val="24"/>
          <w:szCs w:val="24"/>
        </w:rPr>
      </w:pPr>
      <w:r w:rsidRPr="000E7344">
        <w:rPr>
          <w:rFonts w:ascii="Garamond" w:hAnsi="Garamond"/>
          <w:sz w:val="24"/>
          <w:szCs w:val="24"/>
        </w:rPr>
        <w:t>zmiany nastaw i sposobu działania.</w:t>
      </w:r>
    </w:p>
    <w:p w14:paraId="30B7DE8A" w14:textId="084B9E58" w:rsidR="00BB15A1" w:rsidRPr="00AE3F1B" w:rsidRDefault="00B12102" w:rsidP="00175586">
      <w:pPr>
        <w:spacing w:after="191" w:line="253" w:lineRule="auto"/>
        <w:ind w:left="567" w:right="-3" w:hanging="567"/>
        <w:jc w:val="left"/>
        <w:rPr>
          <w:rFonts w:ascii="Garamond" w:hAnsi="Garamond"/>
          <w:sz w:val="24"/>
          <w:szCs w:val="24"/>
        </w:rPr>
      </w:pPr>
      <w:r>
        <w:rPr>
          <w:rFonts w:ascii="Garamond" w:hAnsi="Garamond"/>
          <w:sz w:val="24"/>
          <w:szCs w:val="24"/>
        </w:rPr>
        <w:t>II</w:t>
      </w:r>
      <w:r w:rsidR="00BB15A1" w:rsidRPr="00AE3F1B">
        <w:rPr>
          <w:rFonts w:ascii="Garamond" w:hAnsi="Garamond"/>
          <w:sz w:val="24"/>
          <w:szCs w:val="24"/>
        </w:rPr>
        <w:t>.</w:t>
      </w:r>
      <w:r w:rsidR="00DD5AB5">
        <w:rPr>
          <w:rFonts w:ascii="Garamond" w:hAnsi="Garamond"/>
          <w:sz w:val="24"/>
          <w:szCs w:val="24"/>
        </w:rPr>
        <w:t>5</w:t>
      </w:r>
      <w:r w:rsidR="00BB15A1" w:rsidRPr="00AE3F1B">
        <w:rPr>
          <w:rFonts w:ascii="Garamond" w:hAnsi="Garamond"/>
          <w:sz w:val="24"/>
          <w:szCs w:val="24"/>
        </w:rPr>
        <w:t>.5.5.3. ID Sp. z o.o. może zażądać od podmiotu przyłączonego do sieci wglądu w dokumentację eksploatacyjną potwierdzającą terminowość i zakres prowadzonych prac eksploatacyjnych EAZ, których stan techniczny może mieć wpływ na pracę sieci dystrybucyjnej.</w:t>
      </w:r>
    </w:p>
    <w:p w14:paraId="18E12429" w14:textId="063C1512" w:rsidR="00BB15A1" w:rsidRPr="00AE3F1B" w:rsidRDefault="00B12102" w:rsidP="00175586">
      <w:pPr>
        <w:spacing w:after="54" w:line="253" w:lineRule="auto"/>
        <w:ind w:left="567" w:right="-3" w:hanging="567"/>
        <w:jc w:val="left"/>
        <w:rPr>
          <w:rFonts w:ascii="Garamond" w:hAnsi="Garamond"/>
          <w:sz w:val="24"/>
          <w:szCs w:val="24"/>
        </w:rPr>
      </w:pPr>
      <w:r>
        <w:rPr>
          <w:rFonts w:ascii="Garamond" w:hAnsi="Garamond"/>
          <w:sz w:val="24"/>
          <w:szCs w:val="24"/>
        </w:rPr>
        <w:t>II</w:t>
      </w:r>
      <w:r w:rsidR="00BB15A1" w:rsidRPr="00AE3F1B">
        <w:rPr>
          <w:rFonts w:ascii="Garamond" w:hAnsi="Garamond"/>
          <w:sz w:val="24"/>
          <w:szCs w:val="24"/>
        </w:rPr>
        <w:t>.</w:t>
      </w:r>
      <w:r w:rsidR="00DD5AB5">
        <w:rPr>
          <w:rFonts w:ascii="Garamond" w:hAnsi="Garamond"/>
          <w:sz w:val="24"/>
          <w:szCs w:val="24"/>
        </w:rPr>
        <w:t>5</w:t>
      </w:r>
      <w:r w:rsidR="00BB15A1" w:rsidRPr="00AE3F1B">
        <w:rPr>
          <w:rFonts w:ascii="Garamond" w:hAnsi="Garamond"/>
          <w:sz w:val="24"/>
          <w:szCs w:val="24"/>
        </w:rPr>
        <w:t>.5.5.4. Przyjęcie do eksploatacji urządzeń EAZ nowych i modernizowanych następuje po przeprowadzeniu prób i pomiarów oraz stwierdzeniu spełnienia warunków określonych w niniejszej instrukcji, w zawartych umowach, a także warunków zawartych w</w:t>
      </w:r>
      <w:r w:rsidR="00674FC6">
        <w:rPr>
          <w:rFonts w:ascii="Garamond" w:hAnsi="Garamond"/>
          <w:sz w:val="24"/>
          <w:szCs w:val="24"/>
        </w:rPr>
        <w:t xml:space="preserve"> </w:t>
      </w:r>
      <w:r w:rsidR="00BB15A1" w:rsidRPr="00AE3F1B">
        <w:rPr>
          <w:rFonts w:ascii="Garamond" w:hAnsi="Garamond"/>
          <w:sz w:val="24"/>
          <w:szCs w:val="24"/>
        </w:rPr>
        <w:t>dokumentacji projektowej i fabrycznej. Przyjmowane do eksploatacji urządzenia, instalacje i sieci w zależności od potrzeb, powinny posiadać wymaganą dokumentację prawną i techniczną.</w:t>
      </w:r>
    </w:p>
    <w:p w14:paraId="1034EC13" w14:textId="00D4766A" w:rsidR="00BB15A1" w:rsidRPr="00843D47" w:rsidRDefault="00B12102" w:rsidP="00175586">
      <w:pPr>
        <w:tabs>
          <w:tab w:val="center" w:pos="4781"/>
        </w:tabs>
        <w:spacing w:after="16" w:line="248" w:lineRule="auto"/>
        <w:ind w:left="567" w:right="-3" w:hanging="567"/>
        <w:jc w:val="left"/>
        <w:rPr>
          <w:rFonts w:asciiTheme="majorHAnsi" w:hAnsiTheme="majorHAnsi"/>
          <w:sz w:val="24"/>
          <w:szCs w:val="24"/>
        </w:rPr>
      </w:pPr>
      <w:r w:rsidRPr="00843D47">
        <w:rPr>
          <w:rFonts w:asciiTheme="majorHAnsi" w:hAnsiTheme="majorHAnsi"/>
          <w:sz w:val="24"/>
          <w:szCs w:val="24"/>
        </w:rPr>
        <w:t>II</w:t>
      </w:r>
      <w:r w:rsidR="00BB15A1" w:rsidRPr="00843D47">
        <w:rPr>
          <w:rFonts w:asciiTheme="majorHAnsi" w:hAnsiTheme="majorHAnsi"/>
          <w:sz w:val="24"/>
          <w:szCs w:val="24"/>
        </w:rPr>
        <w:t>.</w:t>
      </w:r>
      <w:r w:rsidR="00DD5AB5">
        <w:rPr>
          <w:rFonts w:asciiTheme="majorHAnsi" w:hAnsiTheme="majorHAnsi"/>
          <w:sz w:val="24"/>
          <w:szCs w:val="24"/>
        </w:rPr>
        <w:t>5</w:t>
      </w:r>
      <w:r w:rsidR="00BB15A1" w:rsidRPr="00843D47">
        <w:rPr>
          <w:rFonts w:asciiTheme="majorHAnsi" w:hAnsiTheme="majorHAnsi"/>
          <w:sz w:val="24"/>
          <w:szCs w:val="24"/>
        </w:rPr>
        <w:t>.6.</w:t>
      </w:r>
      <w:r w:rsidR="00BB15A1" w:rsidRPr="00843D47">
        <w:rPr>
          <w:rFonts w:asciiTheme="majorHAnsi" w:hAnsiTheme="majorHAnsi"/>
          <w:sz w:val="24"/>
          <w:szCs w:val="24"/>
        </w:rPr>
        <w:tab/>
        <w:t>WYMAGANIA TECHNICZNE DLA SYSTEMU NADZORU I TELEMECHANIKI.</w:t>
      </w:r>
    </w:p>
    <w:p w14:paraId="59514AB3" w14:textId="25F0C8AE" w:rsidR="00BB15A1" w:rsidRPr="00AE3F1B" w:rsidRDefault="00B12102" w:rsidP="00175586">
      <w:pPr>
        <w:spacing w:after="174" w:line="248" w:lineRule="auto"/>
        <w:ind w:left="567" w:right="-3" w:hanging="567"/>
        <w:jc w:val="left"/>
        <w:rPr>
          <w:rFonts w:ascii="Garamond" w:hAnsi="Garamond"/>
          <w:sz w:val="24"/>
          <w:szCs w:val="24"/>
        </w:rPr>
      </w:pPr>
      <w:r>
        <w:rPr>
          <w:rFonts w:ascii="Garamond" w:hAnsi="Garamond"/>
          <w:sz w:val="24"/>
          <w:szCs w:val="24"/>
        </w:rPr>
        <w:t>II</w:t>
      </w:r>
      <w:r w:rsidR="00BB15A1" w:rsidRPr="00AE3F1B">
        <w:rPr>
          <w:rFonts w:ascii="Garamond" w:hAnsi="Garamond"/>
          <w:sz w:val="24"/>
          <w:szCs w:val="24"/>
        </w:rPr>
        <w:t>.</w:t>
      </w:r>
      <w:r w:rsidR="00DD5AB5">
        <w:rPr>
          <w:rFonts w:ascii="Garamond" w:hAnsi="Garamond"/>
          <w:sz w:val="24"/>
          <w:szCs w:val="24"/>
        </w:rPr>
        <w:t>5</w:t>
      </w:r>
      <w:r w:rsidR="00BB15A1" w:rsidRPr="00AE3F1B">
        <w:rPr>
          <w:rFonts w:ascii="Garamond" w:hAnsi="Garamond"/>
          <w:sz w:val="24"/>
          <w:szCs w:val="24"/>
        </w:rPr>
        <w:t xml:space="preserve">.6.1. Wymagania i zalecenia dotyczące nadzoru stacji elektroenergetycznych obowiązują ID Sp. </w:t>
      </w:r>
      <w:r w:rsidR="00674FC6">
        <w:rPr>
          <w:rFonts w:ascii="Garamond" w:hAnsi="Garamond"/>
          <w:sz w:val="24"/>
          <w:szCs w:val="24"/>
        </w:rPr>
        <w:br/>
      </w:r>
      <w:r w:rsidR="00BB15A1" w:rsidRPr="00AE3F1B">
        <w:rPr>
          <w:rFonts w:ascii="Garamond" w:hAnsi="Garamond"/>
          <w:sz w:val="24"/>
          <w:szCs w:val="24"/>
        </w:rPr>
        <w:t>z o.o. oraz podmioty przyłączone do sieci dystrybucyjnej.</w:t>
      </w:r>
    </w:p>
    <w:p w14:paraId="1EAB9EE7" w14:textId="424A64E9" w:rsidR="00BB15A1" w:rsidRPr="00AE3F1B" w:rsidRDefault="00B12102" w:rsidP="00175586">
      <w:pPr>
        <w:tabs>
          <w:tab w:val="right" w:pos="9763"/>
        </w:tabs>
        <w:spacing w:after="157" w:line="248" w:lineRule="auto"/>
        <w:ind w:left="567" w:right="-3" w:hanging="567"/>
        <w:jc w:val="left"/>
        <w:rPr>
          <w:rFonts w:ascii="Garamond" w:hAnsi="Garamond"/>
          <w:sz w:val="24"/>
          <w:szCs w:val="24"/>
        </w:rPr>
      </w:pPr>
      <w:r>
        <w:rPr>
          <w:rFonts w:ascii="Garamond" w:hAnsi="Garamond"/>
          <w:sz w:val="24"/>
          <w:szCs w:val="24"/>
        </w:rPr>
        <w:t>II</w:t>
      </w:r>
      <w:r w:rsidR="00BB15A1" w:rsidRPr="00AE3F1B">
        <w:rPr>
          <w:rFonts w:ascii="Garamond" w:hAnsi="Garamond"/>
          <w:sz w:val="24"/>
          <w:szCs w:val="24"/>
        </w:rPr>
        <w:t>.</w:t>
      </w:r>
      <w:r w:rsidR="00DD5AB5">
        <w:rPr>
          <w:rFonts w:ascii="Garamond" w:hAnsi="Garamond"/>
          <w:sz w:val="24"/>
          <w:szCs w:val="24"/>
        </w:rPr>
        <w:t>5</w:t>
      </w:r>
      <w:r w:rsidR="00BB15A1" w:rsidRPr="00AE3F1B">
        <w:rPr>
          <w:rFonts w:ascii="Garamond" w:hAnsi="Garamond"/>
          <w:sz w:val="24"/>
          <w:szCs w:val="24"/>
        </w:rPr>
        <w:t>.6.2.Stacja 110/6kV ID Sp. z o.o. jest stacją elektroenergetyczną z obsługą stałą.</w:t>
      </w:r>
    </w:p>
    <w:p w14:paraId="38FBD0A5" w14:textId="451A8247" w:rsidR="00BB15A1" w:rsidRPr="00AE3F1B" w:rsidRDefault="00B12102" w:rsidP="00175586">
      <w:pPr>
        <w:spacing w:after="196" w:line="253" w:lineRule="auto"/>
        <w:ind w:left="567" w:right="-3" w:hanging="567"/>
        <w:jc w:val="left"/>
        <w:rPr>
          <w:rFonts w:ascii="Garamond" w:hAnsi="Garamond"/>
          <w:sz w:val="24"/>
          <w:szCs w:val="24"/>
        </w:rPr>
      </w:pPr>
      <w:r>
        <w:rPr>
          <w:rFonts w:ascii="Garamond" w:hAnsi="Garamond"/>
          <w:sz w:val="24"/>
          <w:szCs w:val="24"/>
        </w:rPr>
        <w:t>II</w:t>
      </w:r>
      <w:r w:rsidR="00BB15A1" w:rsidRPr="00AE3F1B">
        <w:rPr>
          <w:rFonts w:ascii="Garamond" w:hAnsi="Garamond"/>
          <w:sz w:val="24"/>
          <w:szCs w:val="24"/>
        </w:rPr>
        <w:t>.</w:t>
      </w:r>
      <w:r w:rsidR="00DD5AB5">
        <w:rPr>
          <w:rFonts w:ascii="Garamond" w:hAnsi="Garamond"/>
          <w:sz w:val="24"/>
          <w:szCs w:val="24"/>
        </w:rPr>
        <w:t>5</w:t>
      </w:r>
      <w:r w:rsidR="00BB15A1" w:rsidRPr="00AE3F1B">
        <w:rPr>
          <w:rFonts w:ascii="Garamond" w:hAnsi="Garamond"/>
          <w:sz w:val="24"/>
          <w:szCs w:val="24"/>
        </w:rPr>
        <w:t>.6.3. Ogólne wymagania stawiane stacyjnemu i dyspozytorskiemu systemowi nadzoru, podyktowane głównie względami optymalizacyjnymi i niezawodnościowymi są następujące:</w:t>
      </w:r>
    </w:p>
    <w:p w14:paraId="2F8023C8" w14:textId="704839F1" w:rsidR="00BB15A1" w:rsidRPr="000E7344" w:rsidRDefault="00BB15A1">
      <w:pPr>
        <w:pStyle w:val="Akapitzlist"/>
        <w:numPr>
          <w:ilvl w:val="0"/>
          <w:numId w:val="87"/>
        </w:numPr>
        <w:spacing w:line="253" w:lineRule="auto"/>
        <w:ind w:right="-3"/>
        <w:jc w:val="left"/>
        <w:rPr>
          <w:rFonts w:ascii="Garamond" w:hAnsi="Garamond"/>
          <w:sz w:val="24"/>
          <w:szCs w:val="24"/>
        </w:rPr>
      </w:pPr>
      <w:r w:rsidRPr="000E7344">
        <w:rPr>
          <w:rFonts w:ascii="Garamond" w:hAnsi="Garamond"/>
          <w:sz w:val="24"/>
          <w:szCs w:val="24"/>
        </w:rPr>
        <w:t xml:space="preserve">obiektowe systemy nadzoru muszą być kompatybilne z dyspozytorskimi systemami </w:t>
      </w:r>
      <w:r w:rsidR="00674FC6" w:rsidRPr="000E7344">
        <w:rPr>
          <w:rFonts w:ascii="Garamond" w:hAnsi="Garamond"/>
          <w:sz w:val="24"/>
          <w:szCs w:val="24"/>
        </w:rPr>
        <w:br/>
      </w:r>
      <w:r w:rsidRPr="000E7344">
        <w:rPr>
          <w:rFonts w:ascii="Garamond" w:hAnsi="Garamond"/>
          <w:sz w:val="24"/>
          <w:szCs w:val="24"/>
        </w:rPr>
        <w:t xml:space="preserve">w centrach nadzoru. Stacyjne systemy nadzoru muszą spełniać wymagania stosowne </w:t>
      </w:r>
      <w:r w:rsidR="00674FC6" w:rsidRPr="000E7344">
        <w:rPr>
          <w:rFonts w:ascii="Garamond" w:hAnsi="Garamond"/>
          <w:sz w:val="24"/>
          <w:szCs w:val="24"/>
        </w:rPr>
        <w:br/>
      </w:r>
      <w:r w:rsidRPr="000E7344">
        <w:rPr>
          <w:rFonts w:ascii="Garamond" w:hAnsi="Garamond"/>
          <w:sz w:val="24"/>
          <w:szCs w:val="24"/>
        </w:rPr>
        <w:t>do rodzaju obsługiwanych stacji z uwzględnieniem wymogów jakościowych</w:t>
      </w:r>
      <w:r w:rsidR="00674FC6" w:rsidRPr="000E7344">
        <w:rPr>
          <w:rFonts w:ascii="Garamond" w:hAnsi="Garamond"/>
          <w:sz w:val="24"/>
          <w:szCs w:val="24"/>
        </w:rPr>
        <w:br/>
      </w:r>
      <w:r w:rsidRPr="000E7344">
        <w:rPr>
          <w:rFonts w:ascii="Garamond" w:hAnsi="Garamond"/>
          <w:sz w:val="24"/>
          <w:szCs w:val="24"/>
        </w:rPr>
        <w:t>i konfiguracyjnych,</w:t>
      </w:r>
    </w:p>
    <w:p w14:paraId="61E98154" w14:textId="77777777" w:rsidR="00BB15A1" w:rsidRPr="000E7344" w:rsidRDefault="00BB15A1">
      <w:pPr>
        <w:pStyle w:val="Akapitzlist"/>
        <w:numPr>
          <w:ilvl w:val="0"/>
          <w:numId w:val="87"/>
        </w:numPr>
        <w:spacing w:after="336" w:line="253" w:lineRule="auto"/>
        <w:ind w:right="-3"/>
        <w:jc w:val="left"/>
        <w:rPr>
          <w:rFonts w:ascii="Garamond" w:hAnsi="Garamond"/>
          <w:sz w:val="24"/>
          <w:szCs w:val="24"/>
        </w:rPr>
      </w:pPr>
      <w:r w:rsidRPr="000E7344">
        <w:rPr>
          <w:rFonts w:ascii="Garamond" w:hAnsi="Garamond"/>
          <w:sz w:val="24"/>
          <w:szCs w:val="24"/>
        </w:rPr>
        <w:lastRenderedPageBreak/>
        <w:t>obiektowe systemy nadzoru powinny być połączone z centrami nadzoru z wykorzystaniem niezawodnych i o właściwej przepływności łączy transmisyjnych, aby zapewnić odpowiednią szybkość przepływu informacji z/do centrów dyspozytorskich,</w:t>
      </w:r>
    </w:p>
    <w:p w14:paraId="56134CE7" w14:textId="77777777" w:rsidR="00BB15A1" w:rsidRPr="000E7344" w:rsidRDefault="00BB15A1">
      <w:pPr>
        <w:pStyle w:val="Akapitzlist"/>
        <w:numPr>
          <w:ilvl w:val="0"/>
          <w:numId w:val="87"/>
        </w:numPr>
        <w:spacing w:line="253" w:lineRule="auto"/>
        <w:ind w:right="-3"/>
        <w:jc w:val="left"/>
        <w:rPr>
          <w:rFonts w:ascii="Garamond" w:hAnsi="Garamond"/>
          <w:sz w:val="24"/>
          <w:szCs w:val="24"/>
        </w:rPr>
      </w:pPr>
      <w:r w:rsidRPr="000E7344">
        <w:rPr>
          <w:rFonts w:ascii="Garamond" w:hAnsi="Garamond"/>
          <w:sz w:val="24"/>
          <w:szCs w:val="24"/>
        </w:rPr>
        <w:t>systemy nadzoru powinny zapewniać archiwizację danych na okres zgodny z wymaganiami norm bezpieczeństwa informacji oraz umożliwić utrzymanie ciągłości nadzoru dyspozytorskiego i dokonywania analiz pracy sieci,</w:t>
      </w:r>
    </w:p>
    <w:p w14:paraId="3D7A2E82" w14:textId="77777777" w:rsidR="00BB15A1" w:rsidRPr="000E7344" w:rsidRDefault="00BB15A1">
      <w:pPr>
        <w:pStyle w:val="Akapitzlist"/>
        <w:numPr>
          <w:ilvl w:val="0"/>
          <w:numId w:val="87"/>
        </w:numPr>
        <w:spacing w:after="31" w:line="253" w:lineRule="auto"/>
        <w:ind w:right="-3"/>
        <w:jc w:val="left"/>
        <w:rPr>
          <w:rFonts w:ascii="Garamond" w:hAnsi="Garamond"/>
          <w:sz w:val="24"/>
          <w:szCs w:val="24"/>
        </w:rPr>
      </w:pPr>
      <w:r w:rsidRPr="000E7344">
        <w:rPr>
          <w:rFonts w:ascii="Garamond" w:hAnsi="Garamond"/>
          <w:sz w:val="24"/>
          <w:szCs w:val="24"/>
        </w:rPr>
        <w:t>połączenie systemów nadzoru w dyspozycjach powinno być wykonane jako redundantne. Zaleca się realizację z wykorzystaniem sieci komputerowej,</w:t>
      </w:r>
    </w:p>
    <w:p w14:paraId="1356FCFB" w14:textId="77777777" w:rsidR="00BB15A1" w:rsidRPr="000E7344" w:rsidRDefault="00BB15A1">
      <w:pPr>
        <w:pStyle w:val="Akapitzlist"/>
        <w:numPr>
          <w:ilvl w:val="0"/>
          <w:numId w:val="87"/>
        </w:numPr>
        <w:spacing w:after="52" w:line="253" w:lineRule="auto"/>
        <w:ind w:right="-3"/>
        <w:jc w:val="left"/>
        <w:rPr>
          <w:rFonts w:ascii="Garamond" w:hAnsi="Garamond"/>
          <w:sz w:val="24"/>
          <w:szCs w:val="24"/>
        </w:rPr>
      </w:pPr>
      <w:r w:rsidRPr="000E7344">
        <w:rPr>
          <w:rFonts w:ascii="Garamond" w:hAnsi="Garamond"/>
          <w:sz w:val="24"/>
          <w:szCs w:val="24"/>
        </w:rPr>
        <w:t>aby wszelkie informacje uzyskiwane dla systemów dyspozytorskich posiadały znacznik czasu, struktura sieci komunikacyjnych sygnałów telemechaniki winna zapewnić niezawodność i optymalizację przepływu informacji. Komunikacja winna być realizowana dwoma redundantnymi kanałami łączności. Jako rezerwową drogę transmisji dopuszcza się transmisje pakietowe,</w:t>
      </w:r>
    </w:p>
    <w:p w14:paraId="0B33F52A" w14:textId="77777777" w:rsidR="00BB15A1" w:rsidRPr="000E7344" w:rsidRDefault="00BB15A1">
      <w:pPr>
        <w:pStyle w:val="Akapitzlist"/>
        <w:numPr>
          <w:ilvl w:val="0"/>
          <w:numId w:val="87"/>
        </w:numPr>
        <w:spacing w:after="31" w:line="253" w:lineRule="auto"/>
        <w:ind w:right="-3"/>
        <w:jc w:val="left"/>
        <w:rPr>
          <w:rFonts w:ascii="Garamond" w:hAnsi="Garamond"/>
          <w:sz w:val="24"/>
          <w:szCs w:val="24"/>
        </w:rPr>
      </w:pPr>
      <w:r w:rsidRPr="000E7344">
        <w:rPr>
          <w:rFonts w:ascii="Garamond" w:hAnsi="Garamond"/>
          <w:sz w:val="24"/>
          <w:szCs w:val="24"/>
        </w:rPr>
        <w:t>protokół transmisji musi być dostosowany do systemu sterowania posiadanego przez operatora systemu dystrybucyjnego PGE Dystrybucja S.A.,</w:t>
      </w:r>
    </w:p>
    <w:p w14:paraId="635106C6" w14:textId="1DE3CAF7" w:rsidR="00BB15A1" w:rsidRPr="000E7344" w:rsidRDefault="00BB15A1">
      <w:pPr>
        <w:pStyle w:val="Akapitzlist"/>
        <w:numPr>
          <w:ilvl w:val="0"/>
          <w:numId w:val="87"/>
        </w:numPr>
        <w:spacing w:line="253" w:lineRule="auto"/>
        <w:ind w:right="-3"/>
        <w:jc w:val="left"/>
        <w:rPr>
          <w:rFonts w:ascii="Garamond" w:hAnsi="Garamond"/>
          <w:sz w:val="24"/>
          <w:szCs w:val="24"/>
        </w:rPr>
      </w:pPr>
      <w:r w:rsidRPr="000E7344">
        <w:rPr>
          <w:rFonts w:ascii="Garamond" w:hAnsi="Garamond"/>
          <w:sz w:val="24"/>
          <w:szCs w:val="24"/>
        </w:rPr>
        <w:t xml:space="preserve">należy dążyć do tego, aby rozdzielczość czasowa przesyłanych sygnałów zawierała się </w:t>
      </w:r>
      <w:r w:rsidR="00674FC6" w:rsidRPr="000E7344">
        <w:rPr>
          <w:rFonts w:ascii="Garamond" w:hAnsi="Garamond"/>
          <w:sz w:val="24"/>
          <w:szCs w:val="24"/>
        </w:rPr>
        <w:br/>
      </w:r>
      <w:r w:rsidRPr="000E7344">
        <w:rPr>
          <w:rFonts w:ascii="Garamond" w:hAnsi="Garamond"/>
          <w:sz w:val="24"/>
          <w:szCs w:val="24"/>
        </w:rPr>
        <w:t>w granicach 1—100 ms.</w:t>
      </w:r>
    </w:p>
    <w:p w14:paraId="367DD4D0" w14:textId="78D01886" w:rsidR="00BB15A1" w:rsidRPr="00AE3F1B" w:rsidRDefault="00B12102" w:rsidP="00175586">
      <w:pPr>
        <w:tabs>
          <w:tab w:val="center" w:pos="5245"/>
        </w:tabs>
        <w:spacing w:after="165" w:line="253" w:lineRule="auto"/>
        <w:ind w:left="567" w:right="-3" w:hanging="567"/>
        <w:jc w:val="left"/>
        <w:rPr>
          <w:rFonts w:ascii="Garamond" w:hAnsi="Garamond"/>
          <w:sz w:val="24"/>
          <w:szCs w:val="24"/>
        </w:rPr>
      </w:pPr>
      <w:r>
        <w:rPr>
          <w:rFonts w:ascii="Garamond" w:hAnsi="Garamond"/>
          <w:sz w:val="24"/>
          <w:szCs w:val="24"/>
        </w:rPr>
        <w:t>II</w:t>
      </w:r>
      <w:r w:rsidR="00BB15A1" w:rsidRPr="00AE3F1B">
        <w:rPr>
          <w:rFonts w:ascii="Garamond" w:hAnsi="Garamond"/>
          <w:sz w:val="24"/>
          <w:szCs w:val="24"/>
        </w:rPr>
        <w:t>.</w:t>
      </w:r>
      <w:r w:rsidR="00DD5AB5">
        <w:rPr>
          <w:rFonts w:ascii="Garamond" w:hAnsi="Garamond"/>
          <w:sz w:val="24"/>
          <w:szCs w:val="24"/>
        </w:rPr>
        <w:t>5</w:t>
      </w:r>
      <w:r w:rsidR="00BB15A1" w:rsidRPr="00AE3F1B">
        <w:rPr>
          <w:rFonts w:ascii="Garamond" w:hAnsi="Garamond"/>
          <w:sz w:val="24"/>
          <w:szCs w:val="24"/>
        </w:rPr>
        <w:t>.6.4.Rozdzielnia 110kV powinna być objęta co najmniej telemechaniką umożliwiającą:</w:t>
      </w:r>
    </w:p>
    <w:p w14:paraId="145A0535" w14:textId="77777777" w:rsidR="00BB15A1" w:rsidRPr="000E7344" w:rsidRDefault="00BB15A1">
      <w:pPr>
        <w:pStyle w:val="Akapitzlist"/>
        <w:numPr>
          <w:ilvl w:val="0"/>
          <w:numId w:val="88"/>
        </w:numPr>
        <w:spacing w:line="253" w:lineRule="auto"/>
        <w:ind w:right="-3"/>
        <w:jc w:val="left"/>
        <w:rPr>
          <w:rFonts w:ascii="Garamond" w:hAnsi="Garamond"/>
          <w:sz w:val="24"/>
          <w:szCs w:val="24"/>
        </w:rPr>
      </w:pPr>
      <w:r w:rsidRPr="000E7344">
        <w:rPr>
          <w:rFonts w:ascii="Garamond" w:hAnsi="Garamond"/>
          <w:sz w:val="24"/>
          <w:szCs w:val="24"/>
        </w:rPr>
        <w:t>Telesterowanie:</w:t>
      </w:r>
    </w:p>
    <w:p w14:paraId="5C868D55" w14:textId="77777777" w:rsidR="00BB15A1" w:rsidRPr="00602310" w:rsidRDefault="00BB15A1">
      <w:pPr>
        <w:pStyle w:val="Akapitzlist"/>
        <w:numPr>
          <w:ilvl w:val="0"/>
          <w:numId w:val="95"/>
        </w:numPr>
        <w:spacing w:after="0"/>
        <w:ind w:right="-3"/>
        <w:jc w:val="left"/>
        <w:rPr>
          <w:rFonts w:ascii="Garamond" w:hAnsi="Garamond"/>
          <w:sz w:val="24"/>
          <w:szCs w:val="24"/>
        </w:rPr>
      </w:pPr>
      <w:r w:rsidRPr="00602310">
        <w:rPr>
          <w:rFonts w:ascii="Garamond" w:hAnsi="Garamond"/>
          <w:sz w:val="24"/>
          <w:szCs w:val="24"/>
        </w:rPr>
        <w:t>sterowanie wyłącznikami,</w:t>
      </w:r>
    </w:p>
    <w:p w14:paraId="30E8CFDE" w14:textId="77777777" w:rsidR="00BB15A1" w:rsidRPr="00602310" w:rsidRDefault="00BB15A1">
      <w:pPr>
        <w:pStyle w:val="Akapitzlist"/>
        <w:numPr>
          <w:ilvl w:val="0"/>
          <w:numId w:val="95"/>
        </w:numPr>
        <w:spacing w:after="0"/>
        <w:ind w:right="-3"/>
        <w:jc w:val="left"/>
        <w:rPr>
          <w:rFonts w:ascii="Garamond" w:hAnsi="Garamond"/>
          <w:sz w:val="24"/>
          <w:szCs w:val="24"/>
        </w:rPr>
      </w:pPr>
      <w:r w:rsidRPr="00602310">
        <w:rPr>
          <w:rFonts w:ascii="Garamond" w:hAnsi="Garamond"/>
          <w:sz w:val="24"/>
          <w:szCs w:val="24"/>
        </w:rPr>
        <w:t>sterowanie urządzeniami automatyk stacyjnych.</w:t>
      </w:r>
    </w:p>
    <w:p w14:paraId="6E7B5741" w14:textId="77777777" w:rsidR="00BB15A1" w:rsidRPr="000E7344" w:rsidRDefault="00BB15A1">
      <w:pPr>
        <w:pStyle w:val="Akapitzlist"/>
        <w:numPr>
          <w:ilvl w:val="0"/>
          <w:numId w:val="88"/>
        </w:numPr>
        <w:spacing w:line="253" w:lineRule="auto"/>
        <w:ind w:right="-3"/>
        <w:jc w:val="left"/>
        <w:rPr>
          <w:rFonts w:ascii="Garamond" w:hAnsi="Garamond"/>
          <w:sz w:val="24"/>
          <w:szCs w:val="24"/>
        </w:rPr>
      </w:pPr>
      <w:r w:rsidRPr="000E7344">
        <w:rPr>
          <w:rFonts w:ascii="Garamond" w:hAnsi="Garamond"/>
          <w:sz w:val="24"/>
          <w:szCs w:val="24"/>
        </w:rPr>
        <w:t>Telesygnalizację:</w:t>
      </w:r>
    </w:p>
    <w:p w14:paraId="0CCF5021" w14:textId="77777777" w:rsidR="00A23B3F" w:rsidRPr="00602310" w:rsidRDefault="00BB15A1">
      <w:pPr>
        <w:pStyle w:val="Akapitzlist"/>
        <w:numPr>
          <w:ilvl w:val="0"/>
          <w:numId w:val="94"/>
        </w:numPr>
        <w:spacing w:line="253" w:lineRule="auto"/>
        <w:ind w:right="-3"/>
        <w:jc w:val="left"/>
        <w:rPr>
          <w:rFonts w:ascii="Garamond" w:hAnsi="Garamond"/>
          <w:sz w:val="24"/>
          <w:szCs w:val="24"/>
        </w:rPr>
      </w:pPr>
      <w:r w:rsidRPr="00602310">
        <w:rPr>
          <w:rFonts w:ascii="Garamond" w:hAnsi="Garamond"/>
          <w:sz w:val="24"/>
          <w:szCs w:val="24"/>
        </w:rPr>
        <w:t>stanu położenia łączników,</w:t>
      </w:r>
    </w:p>
    <w:p w14:paraId="0841AAAE" w14:textId="515339E9" w:rsidR="00A23B3F" w:rsidRPr="00602310" w:rsidRDefault="00BB15A1">
      <w:pPr>
        <w:pStyle w:val="Akapitzlist"/>
        <w:numPr>
          <w:ilvl w:val="0"/>
          <w:numId w:val="94"/>
        </w:numPr>
        <w:spacing w:line="253" w:lineRule="auto"/>
        <w:ind w:right="-3"/>
        <w:jc w:val="left"/>
        <w:rPr>
          <w:rFonts w:ascii="Garamond" w:hAnsi="Garamond"/>
          <w:sz w:val="24"/>
          <w:szCs w:val="24"/>
        </w:rPr>
      </w:pPr>
      <w:r w:rsidRPr="00602310">
        <w:rPr>
          <w:rFonts w:ascii="Garamond" w:hAnsi="Garamond"/>
          <w:sz w:val="24"/>
          <w:szCs w:val="24"/>
        </w:rPr>
        <w:t xml:space="preserve">stanu automatyk </w:t>
      </w:r>
      <w:r w:rsidR="00DD5AB5" w:rsidRPr="00602310">
        <w:rPr>
          <w:rFonts w:ascii="Garamond" w:hAnsi="Garamond"/>
          <w:sz w:val="24"/>
          <w:szCs w:val="24"/>
        </w:rPr>
        <w:t>stacyjnych,</w:t>
      </w:r>
    </w:p>
    <w:p w14:paraId="5A3D7A86" w14:textId="646322B3" w:rsidR="00A23B3F" w:rsidRPr="00602310" w:rsidRDefault="00BB15A1">
      <w:pPr>
        <w:pStyle w:val="Akapitzlist"/>
        <w:numPr>
          <w:ilvl w:val="0"/>
          <w:numId w:val="94"/>
        </w:numPr>
        <w:spacing w:line="253" w:lineRule="auto"/>
        <w:ind w:right="-3"/>
        <w:jc w:val="left"/>
        <w:rPr>
          <w:rFonts w:ascii="Garamond" w:hAnsi="Garamond"/>
          <w:sz w:val="24"/>
          <w:szCs w:val="24"/>
        </w:rPr>
      </w:pPr>
      <w:r w:rsidRPr="00602310">
        <w:rPr>
          <w:rFonts w:ascii="Garamond" w:hAnsi="Garamond"/>
          <w:sz w:val="24"/>
          <w:szCs w:val="24"/>
        </w:rPr>
        <w:t>sygnalizację awaryjną indywidualną z poszczególnych pól rozdzielni,</w:t>
      </w:r>
    </w:p>
    <w:p w14:paraId="0392520E" w14:textId="26F96953" w:rsidR="00A23B3F" w:rsidRPr="00602310" w:rsidRDefault="00BB15A1">
      <w:pPr>
        <w:pStyle w:val="Akapitzlist"/>
        <w:numPr>
          <w:ilvl w:val="0"/>
          <w:numId w:val="94"/>
        </w:numPr>
        <w:spacing w:line="253" w:lineRule="auto"/>
        <w:ind w:right="-3"/>
        <w:jc w:val="left"/>
        <w:rPr>
          <w:rFonts w:ascii="Garamond" w:hAnsi="Garamond"/>
          <w:sz w:val="24"/>
          <w:szCs w:val="24"/>
        </w:rPr>
      </w:pPr>
      <w:r w:rsidRPr="00602310">
        <w:rPr>
          <w:rFonts w:ascii="Garamond" w:hAnsi="Garamond"/>
          <w:sz w:val="24"/>
          <w:szCs w:val="24"/>
        </w:rPr>
        <w:t>sygnalizację zadziałania poszczególnych zabezpieczeń,</w:t>
      </w:r>
      <w:r w:rsidR="00674FC6" w:rsidRPr="00602310">
        <w:rPr>
          <w:rFonts w:ascii="Garamond" w:hAnsi="Garamond"/>
          <w:sz w:val="24"/>
          <w:szCs w:val="24"/>
        </w:rPr>
        <w:t xml:space="preserve"> </w:t>
      </w:r>
      <w:r w:rsidR="006008D5">
        <w:rPr>
          <w:rFonts w:ascii="Garamond" w:hAnsi="Garamond"/>
          <w:sz w:val="24"/>
          <w:szCs w:val="24"/>
        </w:rPr>
        <w:t>s</w:t>
      </w:r>
      <w:r w:rsidRPr="00602310">
        <w:rPr>
          <w:rFonts w:ascii="Garamond" w:hAnsi="Garamond"/>
          <w:sz w:val="24"/>
          <w:szCs w:val="24"/>
        </w:rPr>
        <w:t xml:space="preserve">ygnalizację awaryjną z potrzeb </w:t>
      </w:r>
      <w:r w:rsidR="00B12102" w:rsidRPr="00602310">
        <w:rPr>
          <w:rFonts w:ascii="Garamond" w:hAnsi="Garamond"/>
          <w:sz w:val="24"/>
          <w:szCs w:val="24"/>
        </w:rPr>
        <w:br/>
      </w:r>
      <w:r w:rsidRPr="00602310">
        <w:rPr>
          <w:rFonts w:ascii="Garamond" w:hAnsi="Garamond"/>
          <w:sz w:val="24"/>
          <w:szCs w:val="24"/>
        </w:rPr>
        <w:t xml:space="preserve">własnych prądu stałego dotyczącą w szczególności uszkodzenia prostownika, braku </w:t>
      </w:r>
      <w:r w:rsidR="00B12102" w:rsidRPr="00602310">
        <w:rPr>
          <w:rFonts w:ascii="Garamond" w:hAnsi="Garamond"/>
          <w:sz w:val="24"/>
          <w:szCs w:val="24"/>
        </w:rPr>
        <w:br/>
      </w:r>
      <w:r w:rsidRPr="00602310">
        <w:rPr>
          <w:rFonts w:ascii="Garamond" w:hAnsi="Garamond"/>
          <w:sz w:val="24"/>
          <w:szCs w:val="24"/>
        </w:rPr>
        <w:t xml:space="preserve">ciągłości obwodów prądu stałego wraz z baterią oraz doziemienia w obwodach </w:t>
      </w:r>
      <w:r w:rsidR="000E7344" w:rsidRPr="00602310">
        <w:rPr>
          <w:rFonts w:ascii="Garamond" w:hAnsi="Garamond"/>
          <w:sz w:val="24"/>
          <w:szCs w:val="24"/>
        </w:rPr>
        <w:t>prądu stałego</w:t>
      </w:r>
      <w:r w:rsidRPr="00602310">
        <w:rPr>
          <w:rFonts w:ascii="Garamond" w:hAnsi="Garamond"/>
          <w:sz w:val="24"/>
          <w:szCs w:val="24"/>
        </w:rPr>
        <w:t xml:space="preserve">, </w:t>
      </w:r>
    </w:p>
    <w:p w14:paraId="1F62A1BA" w14:textId="77777777" w:rsidR="00A23B3F" w:rsidRPr="00602310" w:rsidRDefault="00BB15A1">
      <w:pPr>
        <w:pStyle w:val="Akapitzlist"/>
        <w:numPr>
          <w:ilvl w:val="0"/>
          <w:numId w:val="94"/>
        </w:numPr>
        <w:spacing w:line="253" w:lineRule="auto"/>
        <w:ind w:right="-3"/>
        <w:jc w:val="left"/>
        <w:rPr>
          <w:rFonts w:ascii="Garamond" w:hAnsi="Garamond"/>
          <w:sz w:val="24"/>
          <w:szCs w:val="24"/>
        </w:rPr>
      </w:pPr>
      <w:r w:rsidRPr="00602310">
        <w:rPr>
          <w:rFonts w:ascii="Garamond" w:hAnsi="Garamond"/>
          <w:sz w:val="24"/>
          <w:szCs w:val="24"/>
        </w:rPr>
        <w:t xml:space="preserve">sygnalizację awaryjną z urządzeń zasilania bezprzerwowego, </w:t>
      </w:r>
    </w:p>
    <w:p w14:paraId="25E330B7" w14:textId="77777777" w:rsidR="00BB15A1" w:rsidRPr="00602310" w:rsidRDefault="00BB15A1">
      <w:pPr>
        <w:pStyle w:val="Akapitzlist"/>
        <w:numPr>
          <w:ilvl w:val="0"/>
          <w:numId w:val="94"/>
        </w:numPr>
        <w:spacing w:line="253" w:lineRule="auto"/>
        <w:ind w:right="-3"/>
        <w:jc w:val="left"/>
        <w:rPr>
          <w:rFonts w:ascii="Garamond" w:hAnsi="Garamond"/>
          <w:sz w:val="24"/>
          <w:szCs w:val="24"/>
        </w:rPr>
      </w:pPr>
      <w:r w:rsidRPr="00602310">
        <w:rPr>
          <w:rFonts w:ascii="Garamond" w:hAnsi="Garamond"/>
          <w:sz w:val="24"/>
          <w:szCs w:val="24"/>
        </w:rPr>
        <w:t>sygnalizację alarmową, włamaniową i przeciwpożarową.</w:t>
      </w:r>
    </w:p>
    <w:p w14:paraId="17D0B5A6" w14:textId="77777777" w:rsidR="00BB15A1" w:rsidRPr="000E7344" w:rsidRDefault="00BB15A1">
      <w:pPr>
        <w:pStyle w:val="Akapitzlist"/>
        <w:numPr>
          <w:ilvl w:val="0"/>
          <w:numId w:val="88"/>
        </w:numPr>
        <w:spacing w:line="253" w:lineRule="auto"/>
        <w:ind w:right="-3"/>
        <w:jc w:val="left"/>
        <w:rPr>
          <w:rFonts w:ascii="Garamond" w:hAnsi="Garamond"/>
          <w:sz w:val="24"/>
          <w:szCs w:val="24"/>
        </w:rPr>
      </w:pPr>
      <w:r w:rsidRPr="000E7344">
        <w:rPr>
          <w:rFonts w:ascii="Garamond" w:hAnsi="Garamond"/>
          <w:sz w:val="24"/>
          <w:szCs w:val="24"/>
        </w:rPr>
        <w:t>Telemetrię:</w:t>
      </w:r>
    </w:p>
    <w:p w14:paraId="3CD55AA0" w14:textId="1DBB2E7B" w:rsidR="00BB15A1" w:rsidRPr="00602310" w:rsidRDefault="00BB15A1">
      <w:pPr>
        <w:pStyle w:val="Akapitzlist"/>
        <w:numPr>
          <w:ilvl w:val="0"/>
          <w:numId w:val="93"/>
        </w:numPr>
        <w:spacing w:after="0" w:line="253" w:lineRule="auto"/>
        <w:ind w:right="-3"/>
        <w:jc w:val="left"/>
        <w:rPr>
          <w:rFonts w:ascii="Garamond" w:hAnsi="Garamond"/>
          <w:sz w:val="24"/>
          <w:szCs w:val="24"/>
        </w:rPr>
      </w:pPr>
      <w:r w:rsidRPr="00602310">
        <w:rPr>
          <w:rFonts w:ascii="Garamond" w:hAnsi="Garamond"/>
          <w:sz w:val="24"/>
          <w:szCs w:val="24"/>
        </w:rPr>
        <w:t xml:space="preserve">pomiar mocy biernej i czynnej </w:t>
      </w:r>
      <w:r w:rsidR="00DD5AB5" w:rsidRPr="00602310">
        <w:rPr>
          <w:rFonts w:ascii="Garamond" w:hAnsi="Garamond"/>
          <w:sz w:val="24"/>
          <w:szCs w:val="24"/>
        </w:rPr>
        <w:t>(oddanie</w:t>
      </w:r>
      <w:r w:rsidRPr="00602310">
        <w:rPr>
          <w:rFonts w:ascii="Garamond" w:hAnsi="Garamond"/>
          <w:sz w:val="24"/>
          <w:szCs w:val="24"/>
        </w:rPr>
        <w:t xml:space="preserve"> i </w:t>
      </w:r>
      <w:r w:rsidR="000E7344" w:rsidRPr="00602310">
        <w:rPr>
          <w:rFonts w:ascii="Garamond" w:hAnsi="Garamond"/>
          <w:sz w:val="24"/>
          <w:szCs w:val="24"/>
        </w:rPr>
        <w:t>pobór)</w:t>
      </w:r>
      <w:r w:rsidRPr="00602310">
        <w:rPr>
          <w:rFonts w:ascii="Garamond" w:hAnsi="Garamond"/>
          <w:sz w:val="24"/>
          <w:szCs w:val="24"/>
        </w:rPr>
        <w:t>,</w:t>
      </w:r>
      <w:r w:rsidR="00DD5AB5" w:rsidRPr="00602310">
        <w:rPr>
          <w:rFonts w:ascii="Garamond" w:hAnsi="Garamond"/>
          <w:sz w:val="24"/>
          <w:szCs w:val="24"/>
        </w:rPr>
        <w:t xml:space="preserve"> </w:t>
      </w:r>
    </w:p>
    <w:p w14:paraId="6002843D" w14:textId="77777777" w:rsidR="00BB15A1" w:rsidRPr="00602310" w:rsidRDefault="00BB15A1">
      <w:pPr>
        <w:pStyle w:val="Akapitzlist"/>
        <w:numPr>
          <w:ilvl w:val="0"/>
          <w:numId w:val="93"/>
        </w:numPr>
        <w:spacing w:after="0" w:line="253" w:lineRule="auto"/>
        <w:ind w:right="-3"/>
        <w:jc w:val="left"/>
        <w:rPr>
          <w:rFonts w:ascii="Garamond" w:hAnsi="Garamond"/>
          <w:sz w:val="24"/>
          <w:szCs w:val="24"/>
        </w:rPr>
      </w:pPr>
      <w:r w:rsidRPr="00602310">
        <w:rPr>
          <w:rFonts w:ascii="Garamond" w:hAnsi="Garamond"/>
          <w:sz w:val="24"/>
          <w:szCs w:val="24"/>
        </w:rPr>
        <w:t>pomiar prądu w poszczególnych polach,</w:t>
      </w:r>
    </w:p>
    <w:p w14:paraId="5B980960" w14:textId="77777777" w:rsidR="00BB15A1" w:rsidRPr="00602310" w:rsidRDefault="00BB15A1">
      <w:pPr>
        <w:pStyle w:val="Akapitzlist"/>
        <w:numPr>
          <w:ilvl w:val="0"/>
          <w:numId w:val="93"/>
        </w:numPr>
        <w:spacing w:after="36" w:line="253" w:lineRule="auto"/>
        <w:ind w:right="-3"/>
        <w:jc w:val="left"/>
        <w:rPr>
          <w:rFonts w:ascii="Garamond" w:hAnsi="Garamond"/>
          <w:sz w:val="24"/>
          <w:szCs w:val="24"/>
        </w:rPr>
      </w:pPr>
      <w:r w:rsidRPr="00602310">
        <w:rPr>
          <w:rFonts w:ascii="Garamond" w:hAnsi="Garamond"/>
          <w:sz w:val="24"/>
          <w:szCs w:val="24"/>
        </w:rPr>
        <w:t>pomiar napięcia na poszczególnych układach szyn.</w:t>
      </w:r>
    </w:p>
    <w:p w14:paraId="72AC9352" w14:textId="1A9BC1B7" w:rsidR="00BB15A1" w:rsidRPr="00AE3F1B" w:rsidRDefault="00B12102" w:rsidP="00175586">
      <w:pPr>
        <w:spacing w:after="185" w:line="253" w:lineRule="auto"/>
        <w:ind w:left="567" w:right="-3" w:hanging="567"/>
        <w:jc w:val="left"/>
        <w:rPr>
          <w:rFonts w:ascii="Garamond" w:hAnsi="Garamond"/>
          <w:sz w:val="24"/>
          <w:szCs w:val="24"/>
        </w:rPr>
      </w:pPr>
      <w:r>
        <w:rPr>
          <w:rFonts w:ascii="Garamond" w:hAnsi="Garamond"/>
          <w:sz w:val="24"/>
          <w:szCs w:val="24"/>
        </w:rPr>
        <w:t>II</w:t>
      </w:r>
      <w:r w:rsidR="00BB15A1" w:rsidRPr="00AE3F1B">
        <w:rPr>
          <w:rFonts w:ascii="Garamond" w:hAnsi="Garamond"/>
          <w:sz w:val="24"/>
          <w:szCs w:val="24"/>
        </w:rPr>
        <w:t>.</w:t>
      </w:r>
      <w:r w:rsidR="00DD5AB5">
        <w:rPr>
          <w:rFonts w:ascii="Garamond" w:hAnsi="Garamond"/>
          <w:sz w:val="24"/>
          <w:szCs w:val="24"/>
        </w:rPr>
        <w:t>5</w:t>
      </w:r>
      <w:r w:rsidR="00BB15A1" w:rsidRPr="00AE3F1B">
        <w:rPr>
          <w:rFonts w:ascii="Garamond" w:hAnsi="Garamond"/>
          <w:sz w:val="24"/>
          <w:szCs w:val="24"/>
        </w:rPr>
        <w:t xml:space="preserve">.6.5.Rozdzielnie SN wyposażone w wyłączniki powinny być objęte co najmniej telemechaniką </w:t>
      </w:r>
      <w:r w:rsidR="00361E65">
        <w:rPr>
          <w:rFonts w:ascii="Garamond" w:hAnsi="Garamond"/>
          <w:sz w:val="24"/>
          <w:szCs w:val="24"/>
        </w:rPr>
        <w:br/>
      </w:r>
      <w:r w:rsidR="00BB15A1" w:rsidRPr="00AE3F1B">
        <w:rPr>
          <w:rFonts w:ascii="Garamond" w:hAnsi="Garamond"/>
          <w:sz w:val="24"/>
          <w:szCs w:val="24"/>
        </w:rPr>
        <w:t>umożliwiającą:</w:t>
      </w:r>
    </w:p>
    <w:p w14:paraId="619C9CC2" w14:textId="77777777" w:rsidR="00BB15A1" w:rsidRPr="000E7344" w:rsidRDefault="00BB15A1">
      <w:pPr>
        <w:pStyle w:val="Akapitzlist"/>
        <w:numPr>
          <w:ilvl w:val="0"/>
          <w:numId w:val="89"/>
        </w:numPr>
        <w:spacing w:line="253" w:lineRule="auto"/>
        <w:ind w:right="-3"/>
        <w:jc w:val="left"/>
        <w:rPr>
          <w:rFonts w:ascii="Garamond" w:hAnsi="Garamond"/>
          <w:sz w:val="24"/>
          <w:szCs w:val="24"/>
        </w:rPr>
      </w:pPr>
      <w:r w:rsidRPr="000E7344">
        <w:rPr>
          <w:rFonts w:ascii="Garamond" w:hAnsi="Garamond"/>
          <w:sz w:val="24"/>
          <w:szCs w:val="24"/>
        </w:rPr>
        <w:t>Telesterowanie:</w:t>
      </w:r>
    </w:p>
    <w:p w14:paraId="5036B4F0" w14:textId="77777777" w:rsidR="00BB15A1" w:rsidRPr="00602310" w:rsidRDefault="00BB15A1">
      <w:pPr>
        <w:pStyle w:val="Akapitzlist"/>
        <w:numPr>
          <w:ilvl w:val="0"/>
          <w:numId w:val="91"/>
        </w:numPr>
        <w:spacing w:line="253" w:lineRule="auto"/>
        <w:ind w:right="-3"/>
        <w:jc w:val="left"/>
        <w:rPr>
          <w:rFonts w:ascii="Garamond" w:hAnsi="Garamond"/>
          <w:sz w:val="24"/>
          <w:szCs w:val="24"/>
        </w:rPr>
      </w:pPr>
      <w:r w:rsidRPr="00602310">
        <w:rPr>
          <w:rFonts w:ascii="Garamond" w:hAnsi="Garamond"/>
          <w:sz w:val="24"/>
          <w:szCs w:val="24"/>
        </w:rPr>
        <w:t>sterowanie wyłącznikami,</w:t>
      </w:r>
    </w:p>
    <w:p w14:paraId="5DC83BB2" w14:textId="77777777" w:rsidR="00BB15A1" w:rsidRPr="00602310" w:rsidRDefault="00BB15A1">
      <w:pPr>
        <w:pStyle w:val="Akapitzlist"/>
        <w:numPr>
          <w:ilvl w:val="0"/>
          <w:numId w:val="91"/>
        </w:numPr>
        <w:spacing w:line="253" w:lineRule="auto"/>
        <w:ind w:right="-3"/>
        <w:jc w:val="left"/>
        <w:rPr>
          <w:rFonts w:ascii="Garamond" w:hAnsi="Garamond"/>
          <w:sz w:val="24"/>
          <w:szCs w:val="24"/>
        </w:rPr>
      </w:pPr>
      <w:r w:rsidRPr="00602310">
        <w:rPr>
          <w:rFonts w:ascii="Garamond" w:hAnsi="Garamond"/>
          <w:sz w:val="24"/>
          <w:szCs w:val="24"/>
        </w:rPr>
        <w:t>sterowanie urządzeniami automatyk stacyjnych.</w:t>
      </w:r>
    </w:p>
    <w:p w14:paraId="65A6F3B4" w14:textId="77777777" w:rsidR="00BB15A1" w:rsidRPr="000E7344" w:rsidRDefault="00BB15A1">
      <w:pPr>
        <w:pStyle w:val="Akapitzlist"/>
        <w:numPr>
          <w:ilvl w:val="0"/>
          <w:numId w:val="89"/>
        </w:numPr>
        <w:spacing w:line="253" w:lineRule="auto"/>
        <w:ind w:right="-3"/>
        <w:jc w:val="left"/>
        <w:rPr>
          <w:rFonts w:ascii="Garamond" w:hAnsi="Garamond"/>
          <w:sz w:val="24"/>
          <w:szCs w:val="24"/>
        </w:rPr>
      </w:pPr>
      <w:r w:rsidRPr="000E7344">
        <w:rPr>
          <w:rFonts w:ascii="Garamond" w:hAnsi="Garamond"/>
          <w:sz w:val="24"/>
          <w:szCs w:val="24"/>
        </w:rPr>
        <w:t>Telesygnalizację:</w:t>
      </w:r>
    </w:p>
    <w:p w14:paraId="50E02AA3" w14:textId="6C60A862" w:rsidR="00BB15A1" w:rsidRPr="00602310" w:rsidRDefault="00BB15A1">
      <w:pPr>
        <w:pStyle w:val="Akapitzlist"/>
        <w:numPr>
          <w:ilvl w:val="0"/>
          <w:numId w:val="90"/>
        </w:numPr>
        <w:spacing w:after="60" w:line="226" w:lineRule="auto"/>
        <w:ind w:right="-3"/>
        <w:jc w:val="left"/>
        <w:rPr>
          <w:rFonts w:ascii="Garamond" w:hAnsi="Garamond"/>
          <w:sz w:val="24"/>
          <w:szCs w:val="24"/>
        </w:rPr>
      </w:pPr>
      <w:r w:rsidRPr="00602310">
        <w:rPr>
          <w:rFonts w:ascii="Garamond" w:hAnsi="Garamond"/>
          <w:sz w:val="24"/>
          <w:szCs w:val="24"/>
        </w:rPr>
        <w:t>stanu położenia wyłączników, odłączników szynowych i liniowych oraz uziemników, stanu automatyk stacyjnych,</w:t>
      </w:r>
    </w:p>
    <w:p w14:paraId="42D09EC9" w14:textId="77777777" w:rsidR="00BB15A1" w:rsidRPr="00602310" w:rsidRDefault="00BB15A1">
      <w:pPr>
        <w:pStyle w:val="Akapitzlist"/>
        <w:numPr>
          <w:ilvl w:val="0"/>
          <w:numId w:val="90"/>
        </w:numPr>
        <w:spacing w:line="253" w:lineRule="auto"/>
        <w:ind w:right="-3"/>
        <w:jc w:val="left"/>
        <w:rPr>
          <w:rFonts w:ascii="Garamond" w:hAnsi="Garamond"/>
          <w:sz w:val="24"/>
          <w:szCs w:val="24"/>
        </w:rPr>
      </w:pPr>
      <w:r w:rsidRPr="00602310">
        <w:rPr>
          <w:rFonts w:ascii="Garamond" w:hAnsi="Garamond"/>
          <w:sz w:val="24"/>
          <w:szCs w:val="24"/>
        </w:rPr>
        <w:t>sygnalizację awaryjną indywidualną z poszczególnych pól rozdzielni,</w:t>
      </w:r>
    </w:p>
    <w:p w14:paraId="58684A41" w14:textId="77777777" w:rsidR="00BB15A1" w:rsidRPr="00602310" w:rsidRDefault="00BB15A1">
      <w:pPr>
        <w:pStyle w:val="Akapitzlist"/>
        <w:numPr>
          <w:ilvl w:val="0"/>
          <w:numId w:val="90"/>
        </w:numPr>
        <w:spacing w:line="253" w:lineRule="auto"/>
        <w:ind w:right="-3"/>
        <w:jc w:val="left"/>
        <w:rPr>
          <w:rFonts w:ascii="Garamond" w:hAnsi="Garamond"/>
          <w:sz w:val="24"/>
          <w:szCs w:val="24"/>
        </w:rPr>
      </w:pPr>
      <w:r w:rsidRPr="00602310">
        <w:rPr>
          <w:rFonts w:ascii="Garamond" w:hAnsi="Garamond"/>
          <w:sz w:val="24"/>
          <w:szCs w:val="24"/>
        </w:rPr>
        <w:lastRenderedPageBreak/>
        <w:t>sygnalizację zadziałania poszczególnych zabezpieczeń,</w:t>
      </w:r>
    </w:p>
    <w:p w14:paraId="33F57329" w14:textId="47AAB6C8" w:rsidR="00BB15A1" w:rsidRPr="00602310" w:rsidRDefault="00BB15A1">
      <w:pPr>
        <w:pStyle w:val="Akapitzlist"/>
        <w:numPr>
          <w:ilvl w:val="0"/>
          <w:numId w:val="90"/>
        </w:numPr>
        <w:spacing w:line="253" w:lineRule="auto"/>
        <w:ind w:right="-3"/>
        <w:jc w:val="left"/>
        <w:rPr>
          <w:rFonts w:ascii="Garamond" w:hAnsi="Garamond"/>
          <w:sz w:val="24"/>
          <w:szCs w:val="24"/>
        </w:rPr>
      </w:pPr>
      <w:r w:rsidRPr="00602310">
        <w:rPr>
          <w:rFonts w:ascii="Garamond" w:hAnsi="Garamond"/>
          <w:sz w:val="24"/>
          <w:szCs w:val="24"/>
        </w:rPr>
        <w:t>sygnalizację awaryjną z potrzeb własnych prądu stałego dotyczącą w szczególności: uszkodzenia prostownika, braku ciągłości obwodów prądu stałego wraz z baterią oraz doziemienia w obwodach prądu stałego, sygnalizację awaryjną z urządzeń zasilania bezprzerwowego,</w:t>
      </w:r>
    </w:p>
    <w:p w14:paraId="6A4FB3AC" w14:textId="77777777" w:rsidR="00BB15A1" w:rsidRPr="00602310" w:rsidRDefault="00BB15A1">
      <w:pPr>
        <w:pStyle w:val="Akapitzlist"/>
        <w:numPr>
          <w:ilvl w:val="0"/>
          <w:numId w:val="90"/>
        </w:numPr>
        <w:spacing w:line="253" w:lineRule="auto"/>
        <w:ind w:right="-3"/>
        <w:jc w:val="left"/>
        <w:rPr>
          <w:rFonts w:ascii="Garamond" w:hAnsi="Garamond"/>
          <w:sz w:val="24"/>
          <w:szCs w:val="24"/>
        </w:rPr>
      </w:pPr>
      <w:r w:rsidRPr="00602310">
        <w:rPr>
          <w:rFonts w:ascii="Garamond" w:hAnsi="Garamond"/>
          <w:sz w:val="24"/>
          <w:szCs w:val="24"/>
        </w:rPr>
        <w:t>sygnalizację włamaniową i przeciwpożarową.</w:t>
      </w:r>
    </w:p>
    <w:p w14:paraId="0EACCE24" w14:textId="77777777" w:rsidR="00BB15A1" w:rsidRPr="000E7344" w:rsidRDefault="00BB15A1">
      <w:pPr>
        <w:pStyle w:val="Akapitzlist"/>
        <w:numPr>
          <w:ilvl w:val="0"/>
          <w:numId w:val="89"/>
        </w:numPr>
        <w:spacing w:after="34" w:line="253" w:lineRule="auto"/>
        <w:ind w:right="-3"/>
        <w:jc w:val="left"/>
        <w:rPr>
          <w:rFonts w:ascii="Garamond" w:hAnsi="Garamond"/>
          <w:sz w:val="24"/>
          <w:szCs w:val="24"/>
        </w:rPr>
      </w:pPr>
      <w:r w:rsidRPr="000E7344">
        <w:rPr>
          <w:rFonts w:ascii="Garamond" w:hAnsi="Garamond"/>
          <w:sz w:val="24"/>
          <w:szCs w:val="24"/>
        </w:rPr>
        <w:t>Telemetrię:</w:t>
      </w:r>
    </w:p>
    <w:p w14:paraId="166CE9D6" w14:textId="77777777" w:rsidR="00BB15A1" w:rsidRPr="00602310" w:rsidRDefault="00BB15A1">
      <w:pPr>
        <w:pStyle w:val="Akapitzlist"/>
        <w:numPr>
          <w:ilvl w:val="0"/>
          <w:numId w:val="92"/>
        </w:numPr>
        <w:spacing w:line="253" w:lineRule="auto"/>
        <w:ind w:right="-3"/>
        <w:jc w:val="left"/>
        <w:rPr>
          <w:rFonts w:ascii="Garamond" w:hAnsi="Garamond"/>
          <w:sz w:val="24"/>
          <w:szCs w:val="24"/>
        </w:rPr>
      </w:pPr>
      <w:r w:rsidRPr="00602310">
        <w:rPr>
          <w:rFonts w:ascii="Garamond" w:hAnsi="Garamond"/>
          <w:sz w:val="24"/>
          <w:szCs w:val="24"/>
        </w:rPr>
        <w:t>pomiar prądu w poszczególnych polach,</w:t>
      </w:r>
    </w:p>
    <w:p w14:paraId="6B537767" w14:textId="77777777" w:rsidR="00BB15A1" w:rsidRPr="00602310" w:rsidRDefault="00BB15A1">
      <w:pPr>
        <w:pStyle w:val="Akapitzlist"/>
        <w:numPr>
          <w:ilvl w:val="0"/>
          <w:numId w:val="92"/>
        </w:numPr>
        <w:spacing w:after="79" w:line="253" w:lineRule="auto"/>
        <w:ind w:right="-3"/>
        <w:jc w:val="left"/>
        <w:rPr>
          <w:rFonts w:ascii="Garamond" w:hAnsi="Garamond"/>
          <w:sz w:val="24"/>
          <w:szCs w:val="24"/>
        </w:rPr>
      </w:pPr>
      <w:r w:rsidRPr="00602310">
        <w:rPr>
          <w:rFonts w:ascii="Garamond" w:hAnsi="Garamond"/>
          <w:sz w:val="24"/>
          <w:szCs w:val="24"/>
        </w:rPr>
        <w:t>pomiar napięcia na poszczególnych układach szyn.</w:t>
      </w:r>
    </w:p>
    <w:p w14:paraId="7C18A140" w14:textId="24B5DD07" w:rsidR="00BB15A1" w:rsidRPr="00AE3F1B" w:rsidRDefault="00361E65" w:rsidP="00175586">
      <w:pPr>
        <w:spacing w:after="257" w:line="253" w:lineRule="auto"/>
        <w:ind w:left="567" w:right="-3" w:hanging="567"/>
        <w:jc w:val="left"/>
        <w:rPr>
          <w:rFonts w:ascii="Garamond" w:hAnsi="Garamond"/>
          <w:sz w:val="24"/>
          <w:szCs w:val="24"/>
        </w:rPr>
      </w:pPr>
      <w:r>
        <w:rPr>
          <w:rFonts w:ascii="Garamond" w:hAnsi="Garamond"/>
          <w:sz w:val="24"/>
          <w:szCs w:val="24"/>
        </w:rPr>
        <w:t>II</w:t>
      </w:r>
      <w:r w:rsidR="00BB15A1" w:rsidRPr="00AE3F1B">
        <w:rPr>
          <w:rFonts w:ascii="Garamond" w:hAnsi="Garamond"/>
          <w:sz w:val="24"/>
          <w:szCs w:val="24"/>
        </w:rPr>
        <w:t>.</w:t>
      </w:r>
      <w:r w:rsidR="00DD5AB5">
        <w:rPr>
          <w:rFonts w:ascii="Garamond" w:hAnsi="Garamond"/>
          <w:sz w:val="24"/>
          <w:szCs w:val="24"/>
        </w:rPr>
        <w:t>5</w:t>
      </w:r>
      <w:r w:rsidR="00BB15A1" w:rsidRPr="00AE3F1B">
        <w:rPr>
          <w:rFonts w:ascii="Garamond" w:hAnsi="Garamond"/>
          <w:sz w:val="24"/>
          <w:szCs w:val="24"/>
        </w:rPr>
        <w:t>.6.6</w:t>
      </w:r>
      <w:r w:rsidR="00BB15A1" w:rsidRPr="00AE3F1B">
        <w:rPr>
          <w:rFonts w:ascii="Garamond" w:hAnsi="Garamond"/>
          <w:sz w:val="24"/>
          <w:szCs w:val="24"/>
        </w:rPr>
        <w:tab/>
        <w:t>Urządzenia telemechaniki powinny być wyposażone w co najmniej dwa porty transmisji danych.</w:t>
      </w:r>
    </w:p>
    <w:p w14:paraId="57EF17BF" w14:textId="6FED2D6E" w:rsidR="00BB15A1" w:rsidRPr="00AE3F1B" w:rsidRDefault="00361E65" w:rsidP="00175586">
      <w:pPr>
        <w:spacing w:after="189" w:line="253" w:lineRule="auto"/>
        <w:ind w:left="567" w:right="-3" w:hanging="567"/>
        <w:jc w:val="left"/>
        <w:rPr>
          <w:rFonts w:ascii="Garamond" w:hAnsi="Garamond"/>
          <w:sz w:val="24"/>
          <w:szCs w:val="24"/>
        </w:rPr>
      </w:pPr>
      <w:r>
        <w:rPr>
          <w:rFonts w:ascii="Garamond" w:hAnsi="Garamond"/>
          <w:sz w:val="24"/>
          <w:szCs w:val="24"/>
        </w:rPr>
        <w:t>II</w:t>
      </w:r>
      <w:r w:rsidR="00BB15A1" w:rsidRPr="00AE3F1B">
        <w:rPr>
          <w:rFonts w:ascii="Garamond" w:hAnsi="Garamond"/>
          <w:sz w:val="24"/>
          <w:szCs w:val="24"/>
        </w:rPr>
        <w:t>.</w:t>
      </w:r>
      <w:r w:rsidR="00DD5AB5">
        <w:rPr>
          <w:rFonts w:ascii="Garamond" w:hAnsi="Garamond"/>
          <w:sz w:val="24"/>
          <w:szCs w:val="24"/>
        </w:rPr>
        <w:t>5</w:t>
      </w:r>
      <w:r w:rsidR="00BB15A1" w:rsidRPr="00AE3F1B">
        <w:rPr>
          <w:rFonts w:ascii="Garamond" w:hAnsi="Garamond"/>
          <w:sz w:val="24"/>
          <w:szCs w:val="24"/>
        </w:rPr>
        <w:t>.6.7.Urządzenia telemechaniki obiektowej powinny być zasilane z układu napięcia bezprzerwowego o czasie autonomii nie krótszym niż 8 godz.</w:t>
      </w:r>
    </w:p>
    <w:p w14:paraId="0A6EF233" w14:textId="178159CB" w:rsidR="00361E65" w:rsidRDefault="00361E65" w:rsidP="00361E65">
      <w:pPr>
        <w:keepNext/>
        <w:keepLines/>
        <w:spacing w:after="16" w:line="248" w:lineRule="auto"/>
        <w:ind w:left="567" w:right="-3" w:hanging="567"/>
        <w:jc w:val="left"/>
        <w:outlineLvl w:val="1"/>
        <w:rPr>
          <w:rFonts w:asciiTheme="majorHAnsi" w:hAnsiTheme="majorHAnsi"/>
          <w:sz w:val="24"/>
          <w:szCs w:val="24"/>
        </w:rPr>
      </w:pPr>
      <w:bookmarkStart w:id="41" w:name="_Toc171860233"/>
      <w:bookmarkStart w:id="42" w:name="_Toc171861047"/>
      <w:r>
        <w:rPr>
          <w:rFonts w:ascii="Garamond" w:hAnsi="Garamond"/>
          <w:sz w:val="24"/>
          <w:szCs w:val="24"/>
        </w:rPr>
        <w:t>II</w:t>
      </w:r>
      <w:r w:rsidR="00C42DAF" w:rsidRPr="00AE3F1B">
        <w:rPr>
          <w:rFonts w:ascii="Garamond" w:hAnsi="Garamond"/>
          <w:sz w:val="24"/>
          <w:szCs w:val="24"/>
        </w:rPr>
        <w:t>.</w:t>
      </w:r>
      <w:r w:rsidR="00DD5AB5">
        <w:rPr>
          <w:rFonts w:ascii="Garamond" w:hAnsi="Garamond"/>
          <w:sz w:val="24"/>
          <w:szCs w:val="24"/>
        </w:rPr>
        <w:t>5</w:t>
      </w:r>
      <w:r w:rsidR="00C42DAF" w:rsidRPr="00AE3F1B">
        <w:rPr>
          <w:rFonts w:ascii="Garamond" w:hAnsi="Garamond"/>
          <w:sz w:val="24"/>
          <w:szCs w:val="24"/>
        </w:rPr>
        <w:t>.7.</w:t>
      </w:r>
      <w:r w:rsidR="00C42DAF" w:rsidRPr="00AE3F1B">
        <w:rPr>
          <w:rFonts w:ascii="Garamond" w:hAnsi="Garamond"/>
          <w:sz w:val="24"/>
          <w:szCs w:val="24"/>
        </w:rPr>
        <w:tab/>
      </w:r>
      <w:r>
        <w:rPr>
          <w:rFonts w:asciiTheme="majorHAnsi" w:hAnsiTheme="majorHAnsi"/>
          <w:sz w:val="24"/>
          <w:szCs w:val="24"/>
        </w:rPr>
        <w:t xml:space="preserve"> Wymagania techniczne dla klientów i systemów pomiarowo rozliczeniowych</w:t>
      </w:r>
      <w:bookmarkEnd w:id="41"/>
      <w:bookmarkEnd w:id="42"/>
    </w:p>
    <w:p w14:paraId="5D4E5303" w14:textId="65F3CA59" w:rsidR="00C42DAF" w:rsidRPr="00AE3F1B" w:rsidRDefault="00E553E7" w:rsidP="00361E65">
      <w:pPr>
        <w:keepNext/>
        <w:keepLines/>
        <w:spacing w:after="16" w:line="248" w:lineRule="auto"/>
        <w:ind w:left="567" w:right="-3" w:hanging="567"/>
        <w:jc w:val="left"/>
        <w:outlineLvl w:val="1"/>
        <w:rPr>
          <w:rFonts w:ascii="Garamond" w:hAnsi="Garamond"/>
          <w:sz w:val="24"/>
          <w:szCs w:val="24"/>
        </w:rPr>
      </w:pPr>
      <w:bookmarkStart w:id="43" w:name="_Toc171860234"/>
      <w:bookmarkStart w:id="44" w:name="_Toc171861048"/>
      <w:r>
        <w:rPr>
          <w:rFonts w:ascii="Garamond" w:hAnsi="Garamond"/>
          <w:sz w:val="24"/>
          <w:szCs w:val="24"/>
        </w:rPr>
        <w:t>II</w:t>
      </w:r>
      <w:r w:rsidR="00C42DAF" w:rsidRPr="00AE3F1B">
        <w:rPr>
          <w:rFonts w:ascii="Garamond" w:hAnsi="Garamond"/>
          <w:sz w:val="24"/>
          <w:szCs w:val="24"/>
        </w:rPr>
        <w:t>.</w:t>
      </w:r>
      <w:r w:rsidR="00DD5AB5">
        <w:rPr>
          <w:rFonts w:ascii="Garamond" w:hAnsi="Garamond"/>
          <w:sz w:val="24"/>
          <w:szCs w:val="24"/>
        </w:rPr>
        <w:t>5</w:t>
      </w:r>
      <w:r w:rsidR="00C42DAF" w:rsidRPr="00AE3F1B">
        <w:rPr>
          <w:rFonts w:ascii="Garamond" w:hAnsi="Garamond"/>
          <w:sz w:val="24"/>
          <w:szCs w:val="24"/>
        </w:rPr>
        <w:t>.7.1.</w:t>
      </w:r>
      <w:r w:rsidR="00361E65">
        <w:rPr>
          <w:rFonts w:ascii="Garamond" w:hAnsi="Garamond"/>
          <w:sz w:val="24"/>
          <w:szCs w:val="24"/>
        </w:rPr>
        <w:t xml:space="preserve"> Wymagania ogólne</w:t>
      </w:r>
      <w:bookmarkEnd w:id="43"/>
      <w:bookmarkEnd w:id="44"/>
    </w:p>
    <w:p w14:paraId="3D6E7FBB" w14:textId="0B3F9B30" w:rsidR="008F7C7B" w:rsidRDefault="00E553E7" w:rsidP="008F7C7B">
      <w:pPr>
        <w:spacing w:after="137" w:line="309" w:lineRule="auto"/>
        <w:ind w:left="567" w:right="-3" w:hanging="567"/>
        <w:jc w:val="left"/>
        <w:rPr>
          <w:rFonts w:ascii="Garamond" w:hAnsi="Garamond"/>
          <w:sz w:val="24"/>
          <w:szCs w:val="24"/>
        </w:rPr>
      </w:pPr>
      <w:r>
        <w:rPr>
          <w:rFonts w:ascii="Garamond" w:hAnsi="Garamond"/>
          <w:sz w:val="24"/>
          <w:szCs w:val="24"/>
        </w:rPr>
        <w:t>II.</w:t>
      </w:r>
      <w:r w:rsidR="00DD5AB5">
        <w:rPr>
          <w:rFonts w:ascii="Garamond" w:hAnsi="Garamond"/>
          <w:sz w:val="24"/>
          <w:szCs w:val="24"/>
        </w:rPr>
        <w:t>5</w:t>
      </w:r>
      <w:r w:rsidR="00C42DAF" w:rsidRPr="00AE3F1B">
        <w:rPr>
          <w:rFonts w:ascii="Garamond" w:hAnsi="Garamond"/>
          <w:sz w:val="24"/>
          <w:szCs w:val="24"/>
        </w:rPr>
        <w:t xml:space="preserve">.7.1.1. Wymagania techniczne dla układów pomiarowo-rozliczeniowych oraz układów pomiarowo-kontrolnych, zwanych dalej wspólnie również układami pomiarowymi, określone w </w:t>
      </w:r>
      <w:r w:rsidR="00FF23BB" w:rsidRPr="00AE3F1B">
        <w:rPr>
          <w:rFonts w:ascii="Garamond" w:hAnsi="Garamond"/>
          <w:sz w:val="24"/>
          <w:szCs w:val="24"/>
        </w:rPr>
        <w:t xml:space="preserve">niniejszej </w:t>
      </w:r>
      <w:r w:rsidR="00401961" w:rsidRPr="00FF23BB">
        <w:rPr>
          <w:rFonts w:ascii="Garamond" w:hAnsi="Garamond"/>
          <w:sz w:val="24"/>
          <w:szCs w:val="24"/>
        </w:rPr>
        <w:t>IRiESD</w:t>
      </w:r>
      <w:r w:rsidR="00401961" w:rsidRPr="00AE3F1B">
        <w:rPr>
          <w:rFonts w:ascii="Garamond" w:hAnsi="Garamond"/>
          <w:sz w:val="24"/>
          <w:szCs w:val="24"/>
        </w:rPr>
        <w:t xml:space="preserve"> </w:t>
      </w:r>
      <w:r w:rsidR="00FF23BB" w:rsidRPr="00AE3F1B">
        <w:rPr>
          <w:rFonts w:ascii="Garamond" w:hAnsi="Garamond"/>
          <w:sz w:val="24"/>
          <w:szCs w:val="24"/>
        </w:rPr>
        <w:t>obowiązują</w:t>
      </w:r>
      <w:r w:rsidR="00C42DAF" w:rsidRPr="00AE3F1B">
        <w:rPr>
          <w:rFonts w:ascii="Garamond" w:hAnsi="Garamond"/>
          <w:sz w:val="24"/>
          <w:szCs w:val="24"/>
        </w:rPr>
        <w:t xml:space="preserve"> z dniem jej wejścia w życie w przypadkach:</w:t>
      </w:r>
    </w:p>
    <w:p w14:paraId="69B8E86A" w14:textId="419E797A" w:rsidR="008F7C7B" w:rsidRPr="008F7C7B" w:rsidRDefault="00C42DAF">
      <w:pPr>
        <w:pStyle w:val="Akapitzlist"/>
        <w:numPr>
          <w:ilvl w:val="0"/>
          <w:numId w:val="99"/>
        </w:numPr>
        <w:spacing w:after="137"/>
        <w:ind w:right="-3"/>
        <w:jc w:val="left"/>
        <w:rPr>
          <w:rFonts w:ascii="Garamond" w:hAnsi="Garamond"/>
          <w:sz w:val="24"/>
          <w:szCs w:val="24"/>
        </w:rPr>
      </w:pPr>
      <w:r w:rsidRPr="008F7C7B">
        <w:rPr>
          <w:rFonts w:ascii="Garamond" w:hAnsi="Garamond"/>
          <w:sz w:val="24"/>
          <w:szCs w:val="24"/>
        </w:rPr>
        <w:t>układów pomiarowych nowobudowanych i modernizowanych,</w:t>
      </w:r>
    </w:p>
    <w:p w14:paraId="3E5B5B69" w14:textId="58D1FF65" w:rsidR="008F7C7B" w:rsidRPr="008F7C7B" w:rsidRDefault="00C42DAF">
      <w:pPr>
        <w:pStyle w:val="Akapitzlist"/>
        <w:numPr>
          <w:ilvl w:val="0"/>
          <w:numId w:val="99"/>
        </w:numPr>
        <w:spacing w:after="137"/>
        <w:ind w:right="-3"/>
        <w:jc w:val="left"/>
        <w:rPr>
          <w:rFonts w:ascii="Garamond" w:hAnsi="Garamond"/>
          <w:sz w:val="24"/>
          <w:szCs w:val="24"/>
        </w:rPr>
      </w:pPr>
      <w:r w:rsidRPr="008F7C7B">
        <w:rPr>
          <w:rFonts w:ascii="Garamond" w:hAnsi="Garamond"/>
          <w:sz w:val="24"/>
          <w:szCs w:val="24"/>
        </w:rPr>
        <w:t>układów pomiarowych zainstalowanych u URD będących wytwórcami lub odbiorcami, którzy po</w:t>
      </w:r>
      <w:r w:rsidR="008F7C7B" w:rsidRPr="008F7C7B">
        <w:rPr>
          <w:rFonts w:ascii="Garamond" w:hAnsi="Garamond"/>
          <w:sz w:val="24"/>
          <w:szCs w:val="24"/>
        </w:rPr>
        <w:t xml:space="preserve"> </w:t>
      </w:r>
      <w:r w:rsidRPr="008F7C7B">
        <w:rPr>
          <w:rFonts w:ascii="Garamond" w:hAnsi="Garamond"/>
          <w:sz w:val="24"/>
          <w:szCs w:val="24"/>
        </w:rPr>
        <w:t xml:space="preserve">wejściu w życie </w:t>
      </w:r>
      <w:r w:rsidR="00FF23BB" w:rsidRPr="008F7C7B">
        <w:rPr>
          <w:rFonts w:ascii="Garamond" w:hAnsi="Garamond"/>
          <w:sz w:val="24"/>
          <w:szCs w:val="24"/>
        </w:rPr>
        <w:t>niniejszej</w:t>
      </w:r>
      <w:r w:rsidR="005A49CC">
        <w:rPr>
          <w:rFonts w:ascii="Garamond" w:hAnsi="Garamond"/>
          <w:sz w:val="24"/>
          <w:szCs w:val="24"/>
        </w:rPr>
        <w:t xml:space="preserve"> </w:t>
      </w:r>
      <w:r w:rsidR="005A49CC" w:rsidRPr="005A49CC">
        <w:rPr>
          <w:rFonts w:ascii="Garamond" w:hAnsi="Garamond"/>
          <w:sz w:val="24"/>
          <w:szCs w:val="24"/>
        </w:rPr>
        <w:t>IRiESD</w:t>
      </w:r>
      <w:r w:rsidR="00FF23BB" w:rsidRPr="008F7C7B">
        <w:rPr>
          <w:rFonts w:ascii="Garamond" w:hAnsi="Garamond"/>
          <w:sz w:val="24"/>
          <w:szCs w:val="24"/>
        </w:rPr>
        <w:t xml:space="preserve"> będą</w:t>
      </w:r>
      <w:r w:rsidRPr="008F7C7B">
        <w:rPr>
          <w:rFonts w:ascii="Garamond" w:hAnsi="Garamond"/>
          <w:sz w:val="24"/>
          <w:szCs w:val="24"/>
        </w:rPr>
        <w:t xml:space="preserve"> chcieli skorzystać z prawa wyboru sprzedawcy,</w:t>
      </w:r>
      <w:r w:rsidR="008F7C7B" w:rsidRPr="008F7C7B">
        <w:rPr>
          <w:rFonts w:ascii="Garamond" w:hAnsi="Garamond"/>
          <w:sz w:val="24"/>
          <w:szCs w:val="24"/>
        </w:rPr>
        <w:t xml:space="preserve"> </w:t>
      </w:r>
    </w:p>
    <w:p w14:paraId="0305915B" w14:textId="5C418682" w:rsidR="00C42DAF" w:rsidRPr="008F7C7B" w:rsidRDefault="00C42DAF">
      <w:pPr>
        <w:pStyle w:val="Akapitzlist"/>
        <w:numPr>
          <w:ilvl w:val="0"/>
          <w:numId w:val="99"/>
        </w:numPr>
        <w:spacing w:after="137"/>
        <w:ind w:right="-3"/>
        <w:jc w:val="left"/>
        <w:rPr>
          <w:rFonts w:ascii="Garamond" w:hAnsi="Garamond"/>
          <w:sz w:val="24"/>
          <w:szCs w:val="24"/>
        </w:rPr>
      </w:pPr>
      <w:r w:rsidRPr="008F7C7B">
        <w:rPr>
          <w:rFonts w:ascii="Garamond" w:hAnsi="Garamond"/>
          <w:sz w:val="24"/>
          <w:szCs w:val="24"/>
        </w:rPr>
        <w:t xml:space="preserve">układów pomiarowych zainstalowanych u URD będących wytwórcami lub odbiorcami, którzy po wejściu w życie </w:t>
      </w:r>
      <w:r w:rsidR="00FF23BB" w:rsidRPr="008F7C7B">
        <w:rPr>
          <w:rFonts w:ascii="Garamond" w:hAnsi="Garamond"/>
          <w:sz w:val="24"/>
          <w:szCs w:val="24"/>
        </w:rPr>
        <w:t>niniejszej</w:t>
      </w:r>
      <w:r w:rsidR="005A49CC">
        <w:rPr>
          <w:rFonts w:ascii="Garamond" w:hAnsi="Garamond"/>
          <w:sz w:val="24"/>
          <w:szCs w:val="24"/>
        </w:rPr>
        <w:t xml:space="preserve"> </w:t>
      </w:r>
      <w:r w:rsidR="005A49CC" w:rsidRPr="005A49CC">
        <w:rPr>
          <w:rFonts w:ascii="Garamond" w:hAnsi="Garamond"/>
          <w:sz w:val="24"/>
          <w:szCs w:val="24"/>
        </w:rPr>
        <w:t>IRiESD</w:t>
      </w:r>
      <w:r w:rsidR="00FF23BB" w:rsidRPr="008F7C7B">
        <w:rPr>
          <w:rFonts w:ascii="Garamond" w:hAnsi="Garamond"/>
          <w:sz w:val="24"/>
          <w:szCs w:val="24"/>
        </w:rPr>
        <w:t xml:space="preserve"> będą</w:t>
      </w:r>
      <w:r w:rsidRPr="008F7C7B">
        <w:rPr>
          <w:rFonts w:ascii="Garamond" w:hAnsi="Garamond"/>
          <w:sz w:val="24"/>
          <w:szCs w:val="24"/>
        </w:rPr>
        <w:t xml:space="preserve"> chcieli skorzystać z prawa rozdzielenia umów kompleksowych i świadczenia usług na podstawie dwóch odrębnych umów sprzedaży i dystrybucji energii elektrycznej. Obowiązek dostosowania układów pomiarowych do wymagań zawartych w </w:t>
      </w:r>
      <w:r w:rsidR="00FF23BB" w:rsidRPr="008F7C7B">
        <w:rPr>
          <w:rFonts w:ascii="Garamond" w:hAnsi="Garamond"/>
          <w:sz w:val="24"/>
          <w:szCs w:val="24"/>
        </w:rPr>
        <w:t>niniejszej</w:t>
      </w:r>
      <w:r w:rsidR="005A49CC">
        <w:rPr>
          <w:rFonts w:ascii="Garamond" w:hAnsi="Garamond"/>
          <w:sz w:val="24"/>
          <w:szCs w:val="24"/>
        </w:rPr>
        <w:t xml:space="preserve"> </w:t>
      </w:r>
      <w:r w:rsidR="005A49CC" w:rsidRPr="005A49CC">
        <w:rPr>
          <w:rFonts w:ascii="Garamond" w:hAnsi="Garamond"/>
          <w:sz w:val="24"/>
          <w:szCs w:val="24"/>
        </w:rPr>
        <w:t>IRiESD</w:t>
      </w:r>
      <w:r w:rsidR="00FF23BB" w:rsidRPr="008F7C7B">
        <w:rPr>
          <w:rFonts w:ascii="Garamond" w:hAnsi="Garamond"/>
          <w:sz w:val="24"/>
          <w:szCs w:val="24"/>
        </w:rPr>
        <w:t xml:space="preserve"> spoczywa</w:t>
      </w:r>
      <w:r w:rsidRPr="008F7C7B">
        <w:rPr>
          <w:rFonts w:ascii="Garamond" w:hAnsi="Garamond"/>
          <w:sz w:val="24"/>
          <w:szCs w:val="24"/>
        </w:rPr>
        <w:t xml:space="preserve"> na ich </w:t>
      </w:r>
      <w:r w:rsidR="00602310" w:rsidRPr="008F7C7B">
        <w:rPr>
          <w:rFonts w:ascii="Garamond" w:hAnsi="Garamond"/>
          <w:sz w:val="24"/>
          <w:szCs w:val="24"/>
        </w:rPr>
        <w:t>właścicielu. Odbiorca</w:t>
      </w:r>
      <w:r w:rsidRPr="008F7C7B">
        <w:rPr>
          <w:rFonts w:ascii="Garamond" w:hAnsi="Garamond"/>
          <w:sz w:val="24"/>
          <w:szCs w:val="24"/>
        </w:rPr>
        <w:t xml:space="preserve">, który jest właścicielem układu pomiarowo-rozliczeniowego, chcący skorzystać z prawa wyboru sprzedawcy lub rozdzielenia umów kompleksowych dostosowuje układ pomiarowo-rozliczeniowy do wymagań określonych w rozporządzeniu Ministra </w:t>
      </w:r>
      <w:r w:rsidR="00DA12DF" w:rsidRPr="008F7C7B">
        <w:rPr>
          <w:rFonts w:ascii="Garamond" w:hAnsi="Garamond"/>
          <w:sz w:val="24"/>
          <w:szCs w:val="24"/>
        </w:rPr>
        <w:t xml:space="preserve">Klimatu i Środowiska </w:t>
      </w:r>
      <w:r w:rsidRPr="008F7C7B">
        <w:rPr>
          <w:rFonts w:ascii="Garamond" w:hAnsi="Garamond"/>
          <w:sz w:val="24"/>
          <w:szCs w:val="24"/>
        </w:rPr>
        <w:t xml:space="preserve">z dnia </w:t>
      </w:r>
      <w:r w:rsidR="0039268C" w:rsidRPr="008F7C7B">
        <w:rPr>
          <w:rFonts w:ascii="Garamond" w:hAnsi="Garamond"/>
          <w:sz w:val="24"/>
          <w:szCs w:val="24"/>
        </w:rPr>
        <w:t xml:space="preserve">22 </w:t>
      </w:r>
      <w:r w:rsidRPr="008F7C7B">
        <w:rPr>
          <w:rFonts w:ascii="Garamond" w:hAnsi="Garamond"/>
          <w:sz w:val="24"/>
          <w:szCs w:val="24"/>
        </w:rPr>
        <w:t xml:space="preserve">maja </w:t>
      </w:r>
      <w:r w:rsidR="0039268C" w:rsidRPr="008F7C7B">
        <w:rPr>
          <w:rFonts w:ascii="Garamond" w:hAnsi="Garamond"/>
          <w:sz w:val="24"/>
          <w:szCs w:val="24"/>
        </w:rPr>
        <w:t xml:space="preserve">2023 </w:t>
      </w:r>
      <w:r w:rsidRPr="008F7C7B">
        <w:rPr>
          <w:rFonts w:ascii="Garamond" w:hAnsi="Garamond"/>
          <w:sz w:val="24"/>
          <w:szCs w:val="24"/>
        </w:rPr>
        <w:t xml:space="preserve">r. w sprawie szczegółowych warunków funkcjonowania systemu elektroenergetycznego oraz w </w:t>
      </w:r>
      <w:r w:rsidR="00FF23BB" w:rsidRPr="008F7C7B">
        <w:rPr>
          <w:rFonts w:ascii="Garamond" w:hAnsi="Garamond"/>
          <w:sz w:val="24"/>
          <w:szCs w:val="24"/>
        </w:rPr>
        <w:t>niniejszej</w:t>
      </w:r>
      <w:r w:rsidR="005A49CC">
        <w:rPr>
          <w:rFonts w:ascii="Garamond" w:hAnsi="Garamond"/>
          <w:sz w:val="24"/>
          <w:szCs w:val="24"/>
        </w:rPr>
        <w:t xml:space="preserve"> </w:t>
      </w:r>
      <w:r w:rsidR="005A49CC" w:rsidRPr="005A49CC">
        <w:rPr>
          <w:rFonts w:ascii="Garamond" w:hAnsi="Garamond"/>
          <w:sz w:val="24"/>
          <w:szCs w:val="24"/>
        </w:rPr>
        <w:t>IRiESD</w:t>
      </w:r>
      <w:r w:rsidR="00FF23BB" w:rsidRPr="008F7C7B">
        <w:rPr>
          <w:rFonts w:ascii="Garamond" w:hAnsi="Garamond"/>
          <w:sz w:val="24"/>
          <w:szCs w:val="24"/>
        </w:rPr>
        <w:t>.</w:t>
      </w:r>
      <w:r w:rsidR="00602310" w:rsidRPr="008F7C7B">
        <w:rPr>
          <w:rFonts w:ascii="Garamond" w:hAnsi="Garamond"/>
          <w:sz w:val="24"/>
          <w:szCs w:val="24"/>
        </w:rPr>
        <w:t xml:space="preserve"> </w:t>
      </w:r>
      <w:r w:rsidRPr="008F7C7B">
        <w:rPr>
          <w:rFonts w:ascii="Garamond" w:hAnsi="Garamond"/>
          <w:sz w:val="24"/>
          <w:szCs w:val="24"/>
        </w:rPr>
        <w:t xml:space="preserve">Układ pomiarowo-rozliczeniowy nie będący własnością ID Sp. </w:t>
      </w:r>
      <w:r w:rsidR="008F7C7B" w:rsidRPr="008F7C7B">
        <w:rPr>
          <w:rFonts w:ascii="Garamond" w:hAnsi="Garamond"/>
          <w:sz w:val="24"/>
          <w:szCs w:val="24"/>
        </w:rPr>
        <w:t>z o.o.,</w:t>
      </w:r>
      <w:r w:rsidRPr="008F7C7B">
        <w:rPr>
          <w:rFonts w:ascii="Garamond" w:hAnsi="Garamond"/>
          <w:sz w:val="24"/>
          <w:szCs w:val="24"/>
        </w:rPr>
        <w:t xml:space="preserve"> powinien spełniać powyższe wymagania przed dokonaniem przez Sprzedawcę </w:t>
      </w:r>
      <w:r w:rsidR="008F7C7B" w:rsidRPr="008F7C7B">
        <w:rPr>
          <w:rFonts w:ascii="Garamond" w:hAnsi="Garamond"/>
          <w:sz w:val="24"/>
          <w:szCs w:val="24"/>
        </w:rPr>
        <w:t>zgłoszenia,</w:t>
      </w:r>
      <w:r w:rsidRPr="008F7C7B">
        <w:rPr>
          <w:rFonts w:ascii="Garamond" w:hAnsi="Garamond"/>
          <w:sz w:val="24"/>
          <w:szCs w:val="24"/>
        </w:rPr>
        <w:t xml:space="preserve"> o którym mowa w pkt. D.3. lub rozdzielenia umowy kompleksowej. Układ </w:t>
      </w:r>
      <w:r w:rsidR="00602310" w:rsidRPr="008F7C7B">
        <w:rPr>
          <w:rFonts w:ascii="Garamond" w:hAnsi="Garamond"/>
          <w:sz w:val="24"/>
          <w:szCs w:val="24"/>
        </w:rPr>
        <w:t>pomiarowo-rozliczeniowy</w:t>
      </w:r>
      <w:r w:rsidRPr="008F7C7B">
        <w:rPr>
          <w:rFonts w:ascii="Garamond" w:hAnsi="Garamond"/>
          <w:sz w:val="24"/>
          <w:szCs w:val="24"/>
        </w:rPr>
        <w:t xml:space="preserve"> będący własnością ID Sp. z o.o. powinien spełniać powyższe wymagania na dzień zmiany sprzedawcy lub dzień rozdzielenia umowy kompleksowych, </w:t>
      </w:r>
      <w:r w:rsidR="00602310" w:rsidRPr="008F7C7B">
        <w:rPr>
          <w:rFonts w:ascii="Garamond" w:hAnsi="Garamond"/>
          <w:sz w:val="24"/>
          <w:szCs w:val="24"/>
        </w:rPr>
        <w:t>z wyjątkiem</w:t>
      </w:r>
      <w:r w:rsidRPr="008F7C7B">
        <w:rPr>
          <w:rFonts w:ascii="Garamond" w:hAnsi="Garamond"/>
          <w:sz w:val="24"/>
          <w:szCs w:val="24"/>
        </w:rPr>
        <w:t xml:space="preserve"> odbiorców zakwalifikowanych do grup taryfowych, o których mowa w pkt. </w:t>
      </w:r>
      <w:proofErr w:type="spellStart"/>
      <w:r w:rsidRPr="008F7C7B">
        <w:rPr>
          <w:rFonts w:ascii="Garamond" w:hAnsi="Garamond"/>
          <w:sz w:val="24"/>
          <w:szCs w:val="24"/>
        </w:rPr>
        <w:t>G.l</w:t>
      </w:r>
      <w:proofErr w:type="spellEnd"/>
      <w:r w:rsidRPr="008F7C7B">
        <w:rPr>
          <w:rFonts w:ascii="Garamond" w:hAnsi="Garamond"/>
          <w:sz w:val="24"/>
          <w:szCs w:val="24"/>
        </w:rPr>
        <w:t xml:space="preserve">. </w:t>
      </w:r>
      <w:r w:rsidR="00FF23BB" w:rsidRPr="008F7C7B">
        <w:rPr>
          <w:rFonts w:ascii="Garamond" w:hAnsi="Garamond"/>
          <w:sz w:val="24"/>
          <w:szCs w:val="24"/>
        </w:rPr>
        <w:t>niniejszej,</w:t>
      </w:r>
      <w:r w:rsidRPr="008F7C7B">
        <w:rPr>
          <w:rFonts w:ascii="Garamond" w:hAnsi="Garamond"/>
          <w:sz w:val="24"/>
          <w:szCs w:val="24"/>
        </w:rPr>
        <w:t xml:space="preserve"> </w:t>
      </w:r>
      <w:r w:rsidR="00401961" w:rsidRPr="00FF23BB">
        <w:rPr>
          <w:rFonts w:ascii="Garamond" w:hAnsi="Garamond"/>
          <w:sz w:val="24"/>
          <w:szCs w:val="24"/>
        </w:rPr>
        <w:t>IRiESD</w:t>
      </w:r>
      <w:r w:rsidR="00401961" w:rsidRPr="008F7C7B">
        <w:rPr>
          <w:rFonts w:ascii="Garamond" w:hAnsi="Garamond"/>
          <w:sz w:val="24"/>
          <w:szCs w:val="24"/>
        </w:rPr>
        <w:t xml:space="preserve"> </w:t>
      </w:r>
      <w:r w:rsidRPr="008F7C7B">
        <w:rPr>
          <w:rFonts w:ascii="Garamond" w:hAnsi="Garamond"/>
          <w:sz w:val="24"/>
          <w:szCs w:val="24"/>
        </w:rPr>
        <w:t>dla których ID Sp. z o.o. może przydzielić standardowy profil zużycia zgodnie z rozdziałem G.</w:t>
      </w:r>
    </w:p>
    <w:p w14:paraId="07A5FF91" w14:textId="0FDB2F54" w:rsidR="00C42DAF" w:rsidRPr="00AE3F1B" w:rsidRDefault="009B6D7B" w:rsidP="00175586">
      <w:pPr>
        <w:spacing w:after="172" w:line="253" w:lineRule="auto"/>
        <w:ind w:left="567" w:right="-3" w:hanging="567"/>
        <w:jc w:val="left"/>
        <w:rPr>
          <w:rFonts w:ascii="Garamond" w:hAnsi="Garamond"/>
          <w:sz w:val="24"/>
          <w:szCs w:val="24"/>
        </w:rPr>
      </w:pPr>
      <w:r>
        <w:rPr>
          <w:rFonts w:ascii="Garamond" w:hAnsi="Garamond"/>
          <w:sz w:val="24"/>
          <w:szCs w:val="24"/>
        </w:rPr>
        <w:t>II</w:t>
      </w:r>
      <w:r w:rsidR="00C42DAF" w:rsidRPr="00AE3F1B">
        <w:rPr>
          <w:rFonts w:ascii="Garamond" w:hAnsi="Garamond"/>
          <w:sz w:val="24"/>
          <w:szCs w:val="24"/>
        </w:rPr>
        <w:t>.</w:t>
      </w:r>
      <w:r w:rsidR="00DD5AB5">
        <w:rPr>
          <w:rFonts w:ascii="Garamond" w:hAnsi="Garamond"/>
          <w:sz w:val="24"/>
          <w:szCs w:val="24"/>
        </w:rPr>
        <w:t>5</w:t>
      </w:r>
      <w:r w:rsidR="00C42DAF" w:rsidRPr="00AE3F1B">
        <w:rPr>
          <w:rFonts w:ascii="Garamond" w:hAnsi="Garamond"/>
          <w:sz w:val="24"/>
          <w:szCs w:val="24"/>
        </w:rPr>
        <w:t xml:space="preserve">.7.1.2. Urządzenia wchodzące w skład każdego układu pomiarowo-rozliczeniowego muszą spełniać wymagania prawa, a w szczególności posiadać legalizację i/lub certyfikat zgodności z wymaganiami zasadniczymi (MID) i/lub homologację, zgodnie z wymaganiami określonymi dla danego urządzenia. W przypadku urządzeń, dla których nie jest wymagana legalizacja lub homologacja, urządzenie musi posiadać odpowiednie świadectwo potwierdzające poprawność pomiarów (świadectwo wzorcowania). Powyższe badania powinny być wykonane przez uprawnione laboratoria posiadające akredytację w przedmiotowym zakresie zgodnie z </w:t>
      </w:r>
      <w:r w:rsidR="00C42DAF" w:rsidRPr="00AE3F1B">
        <w:rPr>
          <w:rFonts w:ascii="Garamond" w:hAnsi="Garamond"/>
          <w:sz w:val="24"/>
          <w:szCs w:val="24"/>
        </w:rPr>
        <w:lastRenderedPageBreak/>
        <w:t xml:space="preserve">obowiązującymi normami i przepisami. Okres pomiędzy kolejnymi </w:t>
      </w:r>
      <w:proofErr w:type="spellStart"/>
      <w:r w:rsidR="00C42DAF" w:rsidRPr="00AE3F1B">
        <w:rPr>
          <w:rFonts w:ascii="Garamond" w:hAnsi="Garamond"/>
          <w:sz w:val="24"/>
          <w:szCs w:val="24"/>
        </w:rPr>
        <w:t>wzorcowaniami</w:t>
      </w:r>
      <w:proofErr w:type="spellEnd"/>
      <w:r w:rsidR="00C42DAF" w:rsidRPr="00AE3F1B">
        <w:rPr>
          <w:rFonts w:ascii="Garamond" w:hAnsi="Garamond"/>
          <w:sz w:val="24"/>
          <w:szCs w:val="24"/>
        </w:rPr>
        <w:t xml:space="preserve"> tych urządzeń (</w:t>
      </w:r>
      <w:r w:rsidR="00DD5AB5" w:rsidRPr="00AE3F1B">
        <w:rPr>
          <w:rFonts w:ascii="Garamond" w:hAnsi="Garamond"/>
          <w:sz w:val="24"/>
          <w:szCs w:val="24"/>
        </w:rPr>
        <w:t>z wyjątkiem</w:t>
      </w:r>
      <w:r w:rsidR="00C42DAF" w:rsidRPr="00AE3F1B">
        <w:rPr>
          <w:rFonts w:ascii="Garamond" w:hAnsi="Garamond"/>
          <w:sz w:val="24"/>
          <w:szCs w:val="24"/>
        </w:rPr>
        <w:t xml:space="preserve"> przekładników pomiarowych prądowych i napięciowych) nie powinien przekraczać okresu ważności cech legalizacyjnych lub zabezpieczających (MID) licznika energii czynnej zainstalowanego w tym samym układzie pomiarowo-rozliczeniowym.</w:t>
      </w:r>
    </w:p>
    <w:p w14:paraId="064A174D" w14:textId="77777777" w:rsidR="00C42DAF" w:rsidRPr="00AE3F1B" w:rsidRDefault="00C42DAF" w:rsidP="00DD5AB5">
      <w:pPr>
        <w:spacing w:after="218" w:line="253" w:lineRule="auto"/>
        <w:ind w:left="567" w:right="-3"/>
        <w:jc w:val="left"/>
        <w:rPr>
          <w:rFonts w:ascii="Garamond" w:hAnsi="Garamond"/>
          <w:sz w:val="24"/>
          <w:szCs w:val="24"/>
        </w:rPr>
      </w:pPr>
      <w:r w:rsidRPr="00AE3F1B">
        <w:rPr>
          <w:rFonts w:ascii="Garamond" w:hAnsi="Garamond"/>
          <w:sz w:val="24"/>
          <w:szCs w:val="24"/>
        </w:rPr>
        <w:t>Przekładniki prądowe i napięciowe podlegają sprawdzeniu przed zainstalowaniem. Dla urządzeń wcześniej użytkowanych, właściciel przekładników dostarcza protokół ze sprawdzenia potwierdzający poprawność i zgodność danych znamionowych oraz oznaczeń przekładnika ze stanem faktycznym, który wraz z wcześniej wystawionym świadectwem legalizacji, protokołem lub świadectwem badań kontrolnych przekazuje do ID. W przypadku braku wcześniej wystawionych świadectw lub protokołów, wymagane jest ich uzyskanie poprzez przeprowadzenie badań w uprawnionym laboratorium zgodnie z obowiązującymi normami i przepisami. Powyższe urządzenia powinny posiadać cechę zabezpieczającą potwierdzającą dokonanie badań przez uprawnione laboratorium.</w:t>
      </w:r>
    </w:p>
    <w:p w14:paraId="636CA33A" w14:textId="55037864" w:rsidR="00C42DAF" w:rsidRPr="00AE3F1B" w:rsidRDefault="009B6D7B" w:rsidP="00175586">
      <w:pPr>
        <w:spacing w:after="187" w:line="253" w:lineRule="auto"/>
        <w:ind w:left="567" w:right="-3" w:hanging="567"/>
        <w:jc w:val="left"/>
        <w:rPr>
          <w:rFonts w:ascii="Garamond" w:hAnsi="Garamond"/>
          <w:sz w:val="24"/>
          <w:szCs w:val="24"/>
        </w:rPr>
      </w:pPr>
      <w:r>
        <w:rPr>
          <w:rFonts w:ascii="Garamond" w:hAnsi="Garamond"/>
          <w:sz w:val="24"/>
          <w:szCs w:val="24"/>
        </w:rPr>
        <w:t>II</w:t>
      </w:r>
      <w:r w:rsidR="00C42DAF" w:rsidRPr="00AE3F1B">
        <w:rPr>
          <w:rFonts w:ascii="Garamond" w:hAnsi="Garamond"/>
          <w:sz w:val="24"/>
          <w:szCs w:val="24"/>
        </w:rPr>
        <w:t>.</w:t>
      </w:r>
      <w:r w:rsidR="00DD5AB5">
        <w:rPr>
          <w:rFonts w:ascii="Garamond" w:hAnsi="Garamond"/>
          <w:sz w:val="24"/>
          <w:szCs w:val="24"/>
        </w:rPr>
        <w:t>5</w:t>
      </w:r>
      <w:r w:rsidR="00C42DAF" w:rsidRPr="00AE3F1B">
        <w:rPr>
          <w:rFonts w:ascii="Garamond" w:hAnsi="Garamond"/>
          <w:sz w:val="24"/>
          <w:szCs w:val="24"/>
        </w:rPr>
        <w:t xml:space="preserve">.7.1.3. Układy pomiarowe półpośrednie i pośrednie muszą być wyposażone przekładniki </w:t>
      </w:r>
      <w:r>
        <w:rPr>
          <w:rFonts w:ascii="Garamond" w:hAnsi="Garamond"/>
          <w:sz w:val="24"/>
          <w:szCs w:val="24"/>
        </w:rPr>
        <w:br/>
      </w:r>
      <w:r w:rsidR="00C42DAF" w:rsidRPr="00AE3F1B">
        <w:rPr>
          <w:rFonts w:ascii="Garamond" w:hAnsi="Garamond"/>
          <w:sz w:val="24"/>
          <w:szCs w:val="24"/>
        </w:rPr>
        <w:t>pomiarowe w każdej z trzech faz oraz w liczniki trójsystemowe.</w:t>
      </w:r>
    </w:p>
    <w:p w14:paraId="59BED6D7" w14:textId="1295BAB7" w:rsidR="00C42DAF" w:rsidRPr="00AE3F1B" w:rsidRDefault="009B6D7B" w:rsidP="00175586">
      <w:pPr>
        <w:tabs>
          <w:tab w:val="center" w:pos="3511"/>
        </w:tabs>
        <w:spacing w:after="183" w:line="253" w:lineRule="auto"/>
        <w:ind w:left="567" w:right="-3" w:hanging="567"/>
        <w:jc w:val="left"/>
        <w:rPr>
          <w:rFonts w:ascii="Garamond" w:hAnsi="Garamond"/>
          <w:sz w:val="24"/>
          <w:szCs w:val="24"/>
        </w:rPr>
      </w:pPr>
      <w:r>
        <w:rPr>
          <w:rFonts w:ascii="Garamond" w:hAnsi="Garamond"/>
          <w:sz w:val="24"/>
          <w:szCs w:val="24"/>
        </w:rPr>
        <w:t>II</w:t>
      </w:r>
      <w:r w:rsidR="00C42DAF" w:rsidRPr="00AE3F1B">
        <w:rPr>
          <w:rFonts w:ascii="Garamond" w:hAnsi="Garamond"/>
          <w:sz w:val="24"/>
          <w:szCs w:val="24"/>
        </w:rPr>
        <w:t>.</w:t>
      </w:r>
      <w:r w:rsidR="00DD5AB5">
        <w:rPr>
          <w:rFonts w:ascii="Garamond" w:hAnsi="Garamond"/>
          <w:sz w:val="24"/>
          <w:szCs w:val="24"/>
        </w:rPr>
        <w:t>5</w:t>
      </w:r>
      <w:r w:rsidR="00C42DAF" w:rsidRPr="00AE3F1B">
        <w:rPr>
          <w:rFonts w:ascii="Garamond" w:hAnsi="Garamond"/>
          <w:sz w:val="24"/>
          <w:szCs w:val="24"/>
        </w:rPr>
        <w:t>.7.1.4.Układy pomiarowe muszą być zainstalowane:</w:t>
      </w:r>
    </w:p>
    <w:p w14:paraId="0944E933" w14:textId="77777777" w:rsidR="00C42DAF" w:rsidRPr="00AE3F1B" w:rsidRDefault="00C42DAF">
      <w:pPr>
        <w:numPr>
          <w:ilvl w:val="0"/>
          <w:numId w:val="33"/>
        </w:numPr>
        <w:spacing w:line="253" w:lineRule="auto"/>
        <w:ind w:left="851" w:right="-3" w:hanging="425"/>
        <w:jc w:val="left"/>
        <w:rPr>
          <w:rFonts w:ascii="Garamond" w:hAnsi="Garamond"/>
          <w:sz w:val="24"/>
          <w:szCs w:val="24"/>
        </w:rPr>
      </w:pPr>
      <w:r w:rsidRPr="00AE3F1B">
        <w:rPr>
          <w:rFonts w:ascii="Garamond" w:hAnsi="Garamond"/>
          <w:sz w:val="24"/>
          <w:szCs w:val="24"/>
        </w:rPr>
        <w:t>w przypadku wytwórców — po stronie górnego napięcia transformatorów blokowych i transformatorów potrzeb ogólnych,</w:t>
      </w:r>
    </w:p>
    <w:p w14:paraId="33B2FD01" w14:textId="77777777" w:rsidR="00C42DAF" w:rsidRPr="00AE3F1B" w:rsidRDefault="00C42DAF">
      <w:pPr>
        <w:numPr>
          <w:ilvl w:val="0"/>
          <w:numId w:val="33"/>
        </w:numPr>
        <w:spacing w:line="253" w:lineRule="auto"/>
        <w:ind w:left="851" w:right="-3" w:hanging="425"/>
        <w:jc w:val="left"/>
        <w:rPr>
          <w:rFonts w:ascii="Garamond" w:hAnsi="Garamond"/>
          <w:sz w:val="24"/>
          <w:szCs w:val="24"/>
        </w:rPr>
      </w:pPr>
      <w:r w:rsidRPr="00AE3F1B">
        <w:rPr>
          <w:rFonts w:ascii="Garamond" w:hAnsi="Garamond"/>
          <w:sz w:val="24"/>
          <w:szCs w:val="24"/>
        </w:rPr>
        <w:t>w przypadku odbiorców — na napięciu sieci, do której dany odbiorca jest przyłączony,</w:t>
      </w:r>
    </w:p>
    <w:p w14:paraId="74A0E108" w14:textId="77777777" w:rsidR="00C42DAF" w:rsidRDefault="00C42DAF">
      <w:pPr>
        <w:numPr>
          <w:ilvl w:val="0"/>
          <w:numId w:val="33"/>
        </w:numPr>
        <w:spacing w:after="134" w:line="253" w:lineRule="auto"/>
        <w:ind w:left="851" w:right="-3" w:hanging="425"/>
        <w:jc w:val="left"/>
        <w:rPr>
          <w:rFonts w:ascii="Garamond" w:hAnsi="Garamond"/>
          <w:sz w:val="24"/>
          <w:szCs w:val="24"/>
        </w:rPr>
      </w:pPr>
      <w:r w:rsidRPr="00AE3F1B">
        <w:rPr>
          <w:rFonts w:ascii="Garamond" w:hAnsi="Garamond"/>
          <w:sz w:val="24"/>
          <w:szCs w:val="24"/>
        </w:rPr>
        <w:t>w przypadku wytwórców posiadających odnawialne źródła energii oraz źródła pracujące w skojarzeniu, dodatkowo na zaciskach generatora w celu potwierdzania ilości energii dla potrzeb wydawania świadectw pochodzenia.</w:t>
      </w:r>
    </w:p>
    <w:p w14:paraId="3191C1B3" w14:textId="2F386DB6" w:rsidR="00602310" w:rsidRPr="00AE3F1B" w:rsidRDefault="00602310" w:rsidP="00602310">
      <w:pPr>
        <w:spacing w:after="134" w:line="253" w:lineRule="auto"/>
        <w:ind w:left="567" w:right="-3" w:hanging="567"/>
        <w:jc w:val="left"/>
        <w:rPr>
          <w:rFonts w:ascii="Garamond" w:hAnsi="Garamond"/>
          <w:sz w:val="24"/>
          <w:szCs w:val="24"/>
        </w:rPr>
      </w:pPr>
      <w:r w:rsidRPr="009B6D7B">
        <w:rPr>
          <w:rFonts w:ascii="Garamond" w:hAnsi="Garamond"/>
          <w:sz w:val="24"/>
          <w:szCs w:val="24"/>
        </w:rPr>
        <w:t>II.</w:t>
      </w:r>
      <w:r>
        <w:rPr>
          <w:rFonts w:ascii="Garamond" w:hAnsi="Garamond"/>
          <w:sz w:val="24"/>
          <w:szCs w:val="24"/>
        </w:rPr>
        <w:t>5</w:t>
      </w:r>
      <w:r w:rsidRPr="009B6D7B">
        <w:rPr>
          <w:rFonts w:ascii="Garamond" w:hAnsi="Garamond"/>
          <w:sz w:val="24"/>
          <w:szCs w:val="24"/>
        </w:rPr>
        <w:t>.7.1.5.</w:t>
      </w:r>
      <w:r>
        <w:rPr>
          <w:rFonts w:ascii="Garamond" w:hAnsi="Garamond"/>
          <w:sz w:val="24"/>
          <w:szCs w:val="24"/>
        </w:rPr>
        <w:t xml:space="preserve"> </w:t>
      </w:r>
      <w:r w:rsidRPr="009B6D7B">
        <w:rPr>
          <w:rFonts w:ascii="Garamond" w:hAnsi="Garamond"/>
          <w:sz w:val="24"/>
          <w:szCs w:val="24"/>
        </w:rPr>
        <w:t>Na wniosek odbiorcy, za zgodą ID Sp. z o.o. dopuszcza się instalację układów</w:t>
      </w:r>
      <w:r>
        <w:rPr>
          <w:rFonts w:ascii="Garamond" w:hAnsi="Garamond"/>
          <w:sz w:val="24"/>
          <w:szCs w:val="24"/>
        </w:rPr>
        <w:t xml:space="preserve"> pomiarowych po </w:t>
      </w:r>
      <w:r w:rsidRPr="009B6D7B">
        <w:rPr>
          <w:rFonts w:ascii="Garamond" w:hAnsi="Garamond"/>
          <w:sz w:val="24"/>
          <w:szCs w:val="24"/>
        </w:rPr>
        <w:t>stronie niskiego napięcia transformatora, dla odbiorców III grupy przyłączeniowej o mocy przyłączeniowej do 200kW. Zgoda ID Sp. z o.o. uwarunkowana jest m.in. zastosowaniem układu kompensacji strat jałowych transformatora oraz akceptacją przez odbiorcę doliczenia określonej w umowie ilości strat mocy i energii elektrycznej.</w:t>
      </w:r>
    </w:p>
    <w:p w14:paraId="66AFDD8B" w14:textId="58184151" w:rsidR="00C42DAF" w:rsidRPr="00AE3F1B" w:rsidRDefault="009B6D7B" w:rsidP="00602310">
      <w:pPr>
        <w:tabs>
          <w:tab w:val="right" w:pos="9806"/>
        </w:tabs>
        <w:spacing w:line="253" w:lineRule="auto"/>
        <w:ind w:left="567" w:right="-3" w:hanging="567"/>
        <w:jc w:val="left"/>
        <w:rPr>
          <w:rFonts w:ascii="Garamond" w:hAnsi="Garamond"/>
          <w:sz w:val="24"/>
          <w:szCs w:val="24"/>
        </w:rPr>
      </w:pPr>
      <w:r>
        <w:rPr>
          <w:rFonts w:ascii="Garamond" w:hAnsi="Garamond"/>
          <w:sz w:val="24"/>
          <w:szCs w:val="24"/>
        </w:rPr>
        <w:t>II</w:t>
      </w:r>
      <w:r w:rsidR="00C42DAF" w:rsidRPr="00AE3F1B">
        <w:rPr>
          <w:rFonts w:ascii="Garamond" w:hAnsi="Garamond"/>
          <w:sz w:val="24"/>
          <w:szCs w:val="24"/>
        </w:rPr>
        <w:t>.</w:t>
      </w:r>
      <w:r w:rsidR="00DD5AB5">
        <w:rPr>
          <w:rFonts w:ascii="Garamond" w:hAnsi="Garamond"/>
          <w:sz w:val="24"/>
          <w:szCs w:val="24"/>
        </w:rPr>
        <w:t>5</w:t>
      </w:r>
      <w:r w:rsidR="00C42DAF" w:rsidRPr="00AE3F1B">
        <w:rPr>
          <w:rFonts w:ascii="Garamond" w:hAnsi="Garamond"/>
          <w:sz w:val="24"/>
          <w:szCs w:val="24"/>
        </w:rPr>
        <w:t>.7.1.6.Podmioty przyłączone do sieci dystrybucyjnej ID Sp. z o.o. będące Uczestnikami</w:t>
      </w:r>
      <w:r w:rsidR="00602310">
        <w:rPr>
          <w:rFonts w:ascii="Garamond" w:hAnsi="Garamond"/>
          <w:sz w:val="24"/>
          <w:szCs w:val="24"/>
        </w:rPr>
        <w:t xml:space="preserve"> </w:t>
      </w:r>
      <w:r w:rsidR="00C42DAF" w:rsidRPr="00AE3F1B">
        <w:rPr>
          <w:rFonts w:ascii="Garamond" w:hAnsi="Garamond"/>
          <w:sz w:val="24"/>
          <w:szCs w:val="24"/>
        </w:rPr>
        <w:t>Rynku</w:t>
      </w:r>
      <w:r w:rsidR="00602310">
        <w:rPr>
          <w:rFonts w:ascii="Garamond" w:hAnsi="Garamond"/>
          <w:sz w:val="24"/>
          <w:szCs w:val="24"/>
        </w:rPr>
        <w:t xml:space="preserve"> </w:t>
      </w:r>
      <w:r w:rsidR="00C42DAF" w:rsidRPr="00AE3F1B">
        <w:rPr>
          <w:rFonts w:ascii="Garamond" w:hAnsi="Garamond"/>
          <w:sz w:val="24"/>
          <w:szCs w:val="24"/>
        </w:rPr>
        <w:t xml:space="preserve">Bilansującego instalują dla celów kontrolnych, bilansowych i </w:t>
      </w:r>
      <w:r w:rsidR="00602310" w:rsidRPr="00AE3F1B">
        <w:rPr>
          <w:rFonts w:ascii="Garamond" w:hAnsi="Garamond"/>
          <w:sz w:val="24"/>
          <w:szCs w:val="24"/>
        </w:rPr>
        <w:t>rozliczeniowych, układy</w:t>
      </w:r>
      <w:r w:rsidR="00C42DAF" w:rsidRPr="00AE3F1B">
        <w:rPr>
          <w:rFonts w:ascii="Garamond" w:hAnsi="Garamond"/>
          <w:sz w:val="24"/>
          <w:szCs w:val="24"/>
        </w:rPr>
        <w:t xml:space="preserve"> pomiarowe energii elektrycznej zgodnie z wymaganiami określonymi przez PGE</w:t>
      </w:r>
      <w:r w:rsidR="00645717">
        <w:rPr>
          <w:rFonts w:ascii="Garamond" w:hAnsi="Garamond"/>
          <w:sz w:val="24"/>
          <w:szCs w:val="24"/>
        </w:rPr>
        <w:t xml:space="preserve"> </w:t>
      </w:r>
      <w:r w:rsidR="00C42DAF" w:rsidRPr="00AE3F1B">
        <w:rPr>
          <w:rFonts w:ascii="Garamond" w:hAnsi="Garamond"/>
          <w:sz w:val="24"/>
          <w:szCs w:val="24"/>
        </w:rPr>
        <w:t>Dystrybucja S.A.</w:t>
      </w:r>
    </w:p>
    <w:p w14:paraId="03D314DC" w14:textId="4F147ABF" w:rsidR="00C42DAF" w:rsidRPr="00AE3F1B" w:rsidRDefault="009B6D7B" w:rsidP="00175586">
      <w:pPr>
        <w:spacing w:after="216" w:line="253" w:lineRule="auto"/>
        <w:ind w:left="567" w:right="-3" w:hanging="567"/>
        <w:jc w:val="left"/>
        <w:rPr>
          <w:rFonts w:ascii="Garamond" w:hAnsi="Garamond"/>
          <w:sz w:val="24"/>
          <w:szCs w:val="24"/>
        </w:rPr>
      </w:pPr>
      <w:r>
        <w:rPr>
          <w:rFonts w:ascii="Garamond" w:hAnsi="Garamond"/>
          <w:sz w:val="24"/>
          <w:szCs w:val="24"/>
        </w:rPr>
        <w:t>II</w:t>
      </w:r>
      <w:r w:rsidR="00C42DAF" w:rsidRPr="00AE3F1B">
        <w:rPr>
          <w:rFonts w:ascii="Garamond" w:hAnsi="Garamond"/>
          <w:sz w:val="24"/>
          <w:szCs w:val="24"/>
        </w:rPr>
        <w:t>.</w:t>
      </w:r>
      <w:r w:rsidR="00DD5AB5">
        <w:rPr>
          <w:rFonts w:ascii="Garamond" w:hAnsi="Garamond"/>
          <w:sz w:val="24"/>
          <w:szCs w:val="24"/>
        </w:rPr>
        <w:t>5</w:t>
      </w:r>
      <w:r w:rsidR="00C42DAF" w:rsidRPr="00AE3F1B">
        <w:rPr>
          <w:rFonts w:ascii="Garamond" w:hAnsi="Garamond"/>
          <w:sz w:val="24"/>
          <w:szCs w:val="24"/>
        </w:rPr>
        <w:t>.7.1.7. ID Sp. z o.o. wraz z PGE Dystrybucja S.A. uzgadniają wspólne protokoły pobierania oraz przetwarzania danych pomiarowych z LSPR, dla potrzeb transmisji danych do PGE Dystrybucja S.A i ich zabezpieczenia przed utratą danych. Rozwiązania techniczne poszczególnych układów pomiarowych dzieli się na 5 kategorii:</w:t>
      </w:r>
    </w:p>
    <w:p w14:paraId="53D3FCF5" w14:textId="78D1A865" w:rsidR="00C42DAF" w:rsidRPr="00602310" w:rsidRDefault="00C42DAF">
      <w:pPr>
        <w:pStyle w:val="Akapitzlist"/>
        <w:numPr>
          <w:ilvl w:val="0"/>
          <w:numId w:val="96"/>
        </w:numPr>
        <w:spacing w:after="44" w:line="253" w:lineRule="auto"/>
        <w:ind w:right="-3"/>
        <w:jc w:val="left"/>
        <w:rPr>
          <w:rFonts w:ascii="Garamond" w:hAnsi="Garamond"/>
          <w:sz w:val="24"/>
          <w:szCs w:val="24"/>
        </w:rPr>
      </w:pPr>
      <w:r w:rsidRPr="00602310">
        <w:rPr>
          <w:rFonts w:ascii="Garamond" w:hAnsi="Garamond"/>
          <w:sz w:val="24"/>
          <w:szCs w:val="24"/>
        </w:rPr>
        <w:t xml:space="preserve">kat. B2 — układy pomiarowe dla urządzeń, instalacji lub sieci podmiotów przyłączonych na napięciu niższym niż 110kV i wyższym niż 1kV, o mocy pobieranej nie mniejszej niż 5 MW </w:t>
      </w:r>
      <w:r w:rsidR="00645717" w:rsidRPr="00602310">
        <w:rPr>
          <w:rFonts w:ascii="Garamond" w:hAnsi="Garamond"/>
          <w:sz w:val="24"/>
          <w:szCs w:val="24"/>
        </w:rPr>
        <w:br/>
      </w:r>
      <w:r w:rsidRPr="00602310">
        <w:rPr>
          <w:rFonts w:ascii="Garamond" w:hAnsi="Garamond"/>
          <w:sz w:val="24"/>
          <w:szCs w:val="24"/>
        </w:rPr>
        <w:t xml:space="preserve">i nie większej niż 30 MW (wyłącznie) lub rocznym zużyciu energii elektrycznej nie mniejszym </w:t>
      </w:r>
      <w:r w:rsidR="00645717" w:rsidRPr="00602310">
        <w:rPr>
          <w:rFonts w:ascii="Garamond" w:hAnsi="Garamond"/>
          <w:sz w:val="24"/>
          <w:szCs w:val="24"/>
        </w:rPr>
        <w:br/>
      </w:r>
      <w:r w:rsidRPr="00602310">
        <w:rPr>
          <w:rFonts w:ascii="Garamond" w:hAnsi="Garamond"/>
          <w:sz w:val="24"/>
          <w:szCs w:val="24"/>
        </w:rPr>
        <w:t>niż 30GWh i nie większym niż 200GWh (wyłącznie),</w:t>
      </w:r>
    </w:p>
    <w:p w14:paraId="069C3653" w14:textId="55B55108" w:rsidR="00760C4C" w:rsidRPr="00602310" w:rsidRDefault="00C42DAF">
      <w:pPr>
        <w:pStyle w:val="Akapitzlist"/>
        <w:numPr>
          <w:ilvl w:val="0"/>
          <w:numId w:val="96"/>
        </w:numPr>
        <w:spacing w:line="253" w:lineRule="auto"/>
        <w:ind w:right="-3"/>
        <w:jc w:val="left"/>
        <w:rPr>
          <w:rFonts w:ascii="Garamond" w:hAnsi="Garamond"/>
          <w:sz w:val="24"/>
          <w:szCs w:val="24"/>
        </w:rPr>
      </w:pPr>
      <w:r w:rsidRPr="00602310">
        <w:rPr>
          <w:rFonts w:ascii="Garamond" w:hAnsi="Garamond"/>
          <w:sz w:val="24"/>
          <w:szCs w:val="24"/>
        </w:rPr>
        <w:t xml:space="preserve">kat B3 — układy pomiarowe dla urządzeń, instalacji lub sieci podmiotów przyłączonych na napięciu niższym niż 110kV i wyższym niż 1kV, o mocy pobieranej nie mniejszej niż 800kW </w:t>
      </w:r>
      <w:r w:rsidR="00645717" w:rsidRPr="00602310">
        <w:rPr>
          <w:rFonts w:ascii="Garamond" w:hAnsi="Garamond"/>
          <w:sz w:val="24"/>
          <w:szCs w:val="24"/>
        </w:rPr>
        <w:br/>
      </w:r>
      <w:r w:rsidRPr="00602310">
        <w:rPr>
          <w:rFonts w:ascii="Garamond" w:hAnsi="Garamond"/>
          <w:sz w:val="24"/>
          <w:szCs w:val="24"/>
        </w:rPr>
        <w:t xml:space="preserve">i nie większej niż 5MW (wyłącznie) lub rocznym zużyciu energii elektrycznej nie mniejszym </w:t>
      </w:r>
      <w:r w:rsidR="00645717" w:rsidRPr="00602310">
        <w:rPr>
          <w:rFonts w:ascii="Garamond" w:hAnsi="Garamond"/>
          <w:sz w:val="24"/>
          <w:szCs w:val="24"/>
        </w:rPr>
        <w:br/>
      </w:r>
      <w:r w:rsidRPr="00602310">
        <w:rPr>
          <w:rFonts w:ascii="Garamond" w:hAnsi="Garamond"/>
          <w:sz w:val="24"/>
          <w:szCs w:val="24"/>
        </w:rPr>
        <w:t xml:space="preserve">niż 4GWh i nie większym niż 30GWh (wyłącznie), </w:t>
      </w:r>
    </w:p>
    <w:p w14:paraId="31DCB02C" w14:textId="0CBF8924" w:rsidR="00C42DAF" w:rsidRPr="00602310" w:rsidRDefault="00C42DAF">
      <w:pPr>
        <w:pStyle w:val="Akapitzlist"/>
        <w:numPr>
          <w:ilvl w:val="0"/>
          <w:numId w:val="96"/>
        </w:numPr>
        <w:spacing w:line="253" w:lineRule="auto"/>
        <w:ind w:right="-3"/>
        <w:jc w:val="left"/>
        <w:rPr>
          <w:rFonts w:ascii="Garamond" w:hAnsi="Garamond"/>
          <w:sz w:val="24"/>
          <w:szCs w:val="24"/>
        </w:rPr>
      </w:pPr>
      <w:r w:rsidRPr="00602310">
        <w:rPr>
          <w:rFonts w:ascii="Garamond" w:hAnsi="Garamond"/>
          <w:sz w:val="24"/>
          <w:szCs w:val="24"/>
        </w:rPr>
        <w:lastRenderedPageBreak/>
        <w:t xml:space="preserve">kat. B4 </w:t>
      </w:r>
      <w:r w:rsidR="00760C4C" w:rsidRPr="00602310">
        <w:rPr>
          <w:rFonts w:ascii="Garamond" w:hAnsi="Garamond"/>
          <w:sz w:val="24"/>
          <w:szCs w:val="24"/>
        </w:rPr>
        <w:t xml:space="preserve">— </w:t>
      </w:r>
      <w:r w:rsidRPr="00602310">
        <w:rPr>
          <w:rFonts w:ascii="Garamond" w:hAnsi="Garamond"/>
          <w:sz w:val="24"/>
          <w:szCs w:val="24"/>
        </w:rPr>
        <w:t>układy pomiarowe dla urządzeń, instalacji lub sieci podmiotów przyłączonych na napięciu niższym niż 110kV i wyższym niż 1kV, o mocy pobieranej nie większej niż 800kW lub rocznym zużyciu energii elektrycznej nie większym niż 4GWh,</w:t>
      </w:r>
    </w:p>
    <w:p w14:paraId="7A5F4D4A" w14:textId="52D18892" w:rsidR="00C42DAF" w:rsidRPr="00602310" w:rsidRDefault="00C42DAF">
      <w:pPr>
        <w:pStyle w:val="Akapitzlist"/>
        <w:numPr>
          <w:ilvl w:val="0"/>
          <w:numId w:val="96"/>
        </w:numPr>
        <w:spacing w:line="253" w:lineRule="auto"/>
        <w:ind w:right="-3"/>
        <w:jc w:val="left"/>
        <w:rPr>
          <w:rFonts w:ascii="Garamond" w:hAnsi="Garamond"/>
          <w:sz w:val="24"/>
          <w:szCs w:val="24"/>
        </w:rPr>
      </w:pPr>
      <w:r w:rsidRPr="00602310">
        <w:rPr>
          <w:rFonts w:ascii="Garamond" w:hAnsi="Garamond"/>
          <w:sz w:val="24"/>
          <w:szCs w:val="24"/>
        </w:rPr>
        <w:t>kat. Cl</w:t>
      </w:r>
      <w:r w:rsidR="00760C4C" w:rsidRPr="00602310">
        <w:rPr>
          <w:rFonts w:ascii="Garamond" w:hAnsi="Garamond"/>
          <w:sz w:val="24"/>
          <w:szCs w:val="24"/>
        </w:rPr>
        <w:t xml:space="preserve"> </w:t>
      </w:r>
      <w:r w:rsidR="00DD5AB5" w:rsidRPr="00602310">
        <w:rPr>
          <w:rFonts w:ascii="Garamond" w:hAnsi="Garamond"/>
          <w:sz w:val="24"/>
          <w:szCs w:val="24"/>
        </w:rPr>
        <w:t>— układy</w:t>
      </w:r>
      <w:r w:rsidRPr="00602310">
        <w:rPr>
          <w:rFonts w:ascii="Garamond" w:hAnsi="Garamond"/>
          <w:sz w:val="24"/>
          <w:szCs w:val="24"/>
        </w:rPr>
        <w:t xml:space="preserve"> pomiarowe dla podmiotów przyłączonych na napięciu nie wyższym niż 1kV o mocy pobieranej nie większej niż 40 kW lub rocznym zużyciu energii elektrycznej nie większym niż 200MWh,</w:t>
      </w:r>
    </w:p>
    <w:p w14:paraId="352510C3" w14:textId="35AA441C" w:rsidR="00C42DAF" w:rsidRPr="00602310" w:rsidRDefault="00C42DAF">
      <w:pPr>
        <w:pStyle w:val="Akapitzlist"/>
        <w:numPr>
          <w:ilvl w:val="0"/>
          <w:numId w:val="96"/>
        </w:numPr>
        <w:spacing w:line="253" w:lineRule="auto"/>
        <w:ind w:right="-3"/>
        <w:jc w:val="left"/>
        <w:rPr>
          <w:rFonts w:ascii="Garamond" w:hAnsi="Garamond"/>
          <w:sz w:val="24"/>
          <w:szCs w:val="24"/>
        </w:rPr>
      </w:pPr>
      <w:r w:rsidRPr="00602310">
        <w:rPr>
          <w:rFonts w:ascii="Garamond" w:hAnsi="Garamond"/>
          <w:sz w:val="24"/>
          <w:szCs w:val="24"/>
        </w:rPr>
        <w:t>kat. C2</w:t>
      </w:r>
      <w:r w:rsidR="00760C4C" w:rsidRPr="00602310">
        <w:rPr>
          <w:rFonts w:ascii="Garamond" w:hAnsi="Garamond"/>
          <w:sz w:val="24"/>
          <w:szCs w:val="24"/>
        </w:rPr>
        <w:t xml:space="preserve"> </w:t>
      </w:r>
      <w:r w:rsidR="00DD5AB5" w:rsidRPr="00602310">
        <w:rPr>
          <w:rFonts w:ascii="Garamond" w:hAnsi="Garamond"/>
          <w:sz w:val="24"/>
          <w:szCs w:val="24"/>
        </w:rPr>
        <w:t>— układy</w:t>
      </w:r>
      <w:r w:rsidRPr="00602310">
        <w:rPr>
          <w:rFonts w:ascii="Garamond" w:hAnsi="Garamond"/>
          <w:sz w:val="24"/>
          <w:szCs w:val="24"/>
        </w:rPr>
        <w:t xml:space="preserve"> pomiarowe dla podmiotów przyłączonych na napięciu nie wyższym niż 1kV o mocy pobieranej większej niż 40kW lub rocznym zużyciu energii elektrycznej większym niż 200MWh.</w:t>
      </w:r>
    </w:p>
    <w:p w14:paraId="6A00CC7F" w14:textId="4A9C2E3F" w:rsidR="00C42DAF" w:rsidRPr="00AE3F1B" w:rsidRDefault="00C42DAF" w:rsidP="00FF23BB">
      <w:pPr>
        <w:spacing w:line="253" w:lineRule="auto"/>
        <w:ind w:left="708" w:right="-3"/>
        <w:jc w:val="left"/>
        <w:rPr>
          <w:rFonts w:ascii="Garamond" w:hAnsi="Garamond"/>
          <w:sz w:val="24"/>
          <w:szCs w:val="24"/>
        </w:rPr>
      </w:pPr>
      <w:r w:rsidRPr="00AE3F1B">
        <w:rPr>
          <w:rFonts w:ascii="Garamond" w:hAnsi="Garamond"/>
          <w:sz w:val="24"/>
          <w:szCs w:val="24"/>
        </w:rPr>
        <w:t>W przypadku układów pomiarowych kategorii B i C, kwalifikacja do poszczególnych kategorii jest</w:t>
      </w:r>
      <w:r w:rsidR="00602310">
        <w:rPr>
          <w:rFonts w:ascii="Garamond" w:hAnsi="Garamond"/>
          <w:sz w:val="24"/>
          <w:szCs w:val="24"/>
        </w:rPr>
        <w:t xml:space="preserve"> </w:t>
      </w:r>
      <w:r w:rsidRPr="00AE3F1B">
        <w:rPr>
          <w:rFonts w:ascii="Garamond" w:hAnsi="Garamond"/>
          <w:sz w:val="24"/>
          <w:szCs w:val="24"/>
        </w:rPr>
        <w:t>uwarunkowana przekroczeniem granicznej wartości jednego z dwóch wymienionych kryteriów tj. mocy pobieranej lub rocznego zużycia energii. Wartość mocy pobieranej ustalana jest z</w:t>
      </w:r>
      <w:r w:rsidR="00602310">
        <w:rPr>
          <w:rFonts w:ascii="Garamond" w:hAnsi="Garamond"/>
          <w:sz w:val="24"/>
          <w:szCs w:val="24"/>
        </w:rPr>
        <w:t xml:space="preserve"> </w:t>
      </w:r>
      <w:r w:rsidRPr="00AE3F1B">
        <w:rPr>
          <w:rFonts w:ascii="Garamond" w:hAnsi="Garamond"/>
          <w:sz w:val="24"/>
          <w:szCs w:val="24"/>
        </w:rPr>
        <w:t>uwzględnieniem wartości mocy przyłączeniowej podmiotu.</w:t>
      </w:r>
    </w:p>
    <w:p w14:paraId="3BB2252A" w14:textId="7622F286" w:rsidR="00C42DAF" w:rsidRPr="00AE3F1B" w:rsidRDefault="00C42DAF" w:rsidP="00FF23BB">
      <w:pPr>
        <w:spacing w:after="86" w:line="253" w:lineRule="auto"/>
        <w:ind w:left="708" w:right="-3"/>
        <w:jc w:val="left"/>
        <w:rPr>
          <w:rFonts w:ascii="Garamond" w:hAnsi="Garamond"/>
          <w:sz w:val="24"/>
          <w:szCs w:val="24"/>
        </w:rPr>
      </w:pPr>
      <w:r w:rsidRPr="00AE3F1B">
        <w:rPr>
          <w:rFonts w:ascii="Garamond" w:hAnsi="Garamond"/>
          <w:sz w:val="24"/>
          <w:szCs w:val="24"/>
        </w:rPr>
        <w:t xml:space="preserve">Zakwalifikowanie do poszczególnych kategorii dokonywane jest w momencie zaistnienia co najmniej jednego z </w:t>
      </w:r>
      <w:r w:rsidR="00DD5AB5" w:rsidRPr="00AE3F1B">
        <w:rPr>
          <w:rFonts w:ascii="Garamond" w:hAnsi="Garamond"/>
          <w:sz w:val="24"/>
          <w:szCs w:val="24"/>
        </w:rPr>
        <w:t>przypadków,</w:t>
      </w:r>
      <w:r w:rsidRPr="00AE3F1B">
        <w:rPr>
          <w:rFonts w:ascii="Garamond" w:hAnsi="Garamond"/>
          <w:sz w:val="24"/>
          <w:szCs w:val="24"/>
        </w:rPr>
        <w:t xml:space="preserve"> o których mowa w pkt. </w:t>
      </w:r>
      <w:r w:rsidR="00FF23BB">
        <w:rPr>
          <w:rFonts w:ascii="Garamond" w:hAnsi="Garamond"/>
          <w:sz w:val="24"/>
          <w:szCs w:val="24"/>
        </w:rPr>
        <w:t>II</w:t>
      </w:r>
      <w:r w:rsidRPr="00AE3F1B">
        <w:rPr>
          <w:rFonts w:ascii="Garamond" w:hAnsi="Garamond"/>
          <w:sz w:val="24"/>
          <w:szCs w:val="24"/>
        </w:rPr>
        <w:t>.</w:t>
      </w:r>
      <w:r w:rsidR="00973D79">
        <w:rPr>
          <w:rFonts w:ascii="Garamond" w:hAnsi="Garamond"/>
          <w:sz w:val="24"/>
          <w:szCs w:val="24"/>
        </w:rPr>
        <w:t>5</w:t>
      </w:r>
      <w:r w:rsidRPr="00AE3F1B">
        <w:rPr>
          <w:rFonts w:ascii="Garamond" w:hAnsi="Garamond"/>
          <w:sz w:val="24"/>
          <w:szCs w:val="24"/>
        </w:rPr>
        <w:t>.7.1.1. a), b) oraz c).</w:t>
      </w:r>
    </w:p>
    <w:p w14:paraId="3C488DDB" w14:textId="3D910814" w:rsidR="00C42DAF" w:rsidRPr="00AE3F1B" w:rsidRDefault="00577ECF" w:rsidP="007606DB">
      <w:pPr>
        <w:spacing w:after="166" w:line="253" w:lineRule="auto"/>
        <w:ind w:left="708" w:right="-3" w:hanging="708"/>
        <w:jc w:val="left"/>
        <w:rPr>
          <w:rFonts w:ascii="Garamond" w:hAnsi="Garamond"/>
          <w:sz w:val="24"/>
          <w:szCs w:val="24"/>
        </w:rPr>
      </w:pPr>
      <w:r>
        <w:rPr>
          <w:rFonts w:ascii="Garamond" w:hAnsi="Garamond"/>
          <w:sz w:val="24"/>
          <w:szCs w:val="24"/>
        </w:rPr>
        <w:t>II</w:t>
      </w:r>
      <w:r w:rsidR="00C42DAF" w:rsidRPr="00AE3F1B">
        <w:rPr>
          <w:rFonts w:ascii="Garamond" w:hAnsi="Garamond"/>
          <w:sz w:val="24"/>
          <w:szCs w:val="24"/>
        </w:rPr>
        <w:t>.</w:t>
      </w:r>
      <w:r w:rsidR="00DD5AB5">
        <w:rPr>
          <w:rFonts w:ascii="Garamond" w:hAnsi="Garamond"/>
          <w:sz w:val="24"/>
          <w:szCs w:val="24"/>
        </w:rPr>
        <w:t>5</w:t>
      </w:r>
      <w:r w:rsidR="00C42DAF" w:rsidRPr="00AE3F1B">
        <w:rPr>
          <w:rFonts w:ascii="Garamond" w:hAnsi="Garamond"/>
          <w:sz w:val="24"/>
          <w:szCs w:val="24"/>
        </w:rPr>
        <w:t>.7.1.8.</w:t>
      </w:r>
      <w:r w:rsidR="00602310">
        <w:rPr>
          <w:rFonts w:ascii="Garamond" w:hAnsi="Garamond"/>
          <w:sz w:val="24"/>
          <w:szCs w:val="24"/>
        </w:rPr>
        <w:t xml:space="preserve"> </w:t>
      </w:r>
      <w:r w:rsidR="00C42DAF" w:rsidRPr="00AE3F1B">
        <w:rPr>
          <w:rFonts w:ascii="Garamond" w:hAnsi="Garamond"/>
          <w:sz w:val="24"/>
          <w:szCs w:val="24"/>
        </w:rPr>
        <w:t>Liczniki energii elektrycznej powinny posiadać, co najmniej klasę dokładności odpowied</w:t>
      </w:r>
      <w:r w:rsidR="007606DB">
        <w:rPr>
          <w:rFonts w:ascii="Garamond" w:hAnsi="Garamond"/>
          <w:sz w:val="24"/>
          <w:szCs w:val="24"/>
        </w:rPr>
        <w:t>nią</w:t>
      </w:r>
      <w:r w:rsidR="00645717">
        <w:rPr>
          <w:rFonts w:ascii="Garamond" w:hAnsi="Garamond"/>
          <w:sz w:val="24"/>
          <w:szCs w:val="24"/>
        </w:rPr>
        <w:t xml:space="preserve"> </w:t>
      </w:r>
      <w:r w:rsidR="00C42DAF" w:rsidRPr="00AE3F1B">
        <w:rPr>
          <w:rFonts w:ascii="Garamond" w:hAnsi="Garamond"/>
          <w:sz w:val="24"/>
          <w:szCs w:val="24"/>
        </w:rPr>
        <w:t>dla</w:t>
      </w:r>
      <w:r w:rsidR="00602310">
        <w:rPr>
          <w:rFonts w:ascii="Garamond" w:hAnsi="Garamond"/>
          <w:sz w:val="24"/>
          <w:szCs w:val="24"/>
        </w:rPr>
        <w:t xml:space="preserve"> </w:t>
      </w:r>
      <w:r w:rsidR="00C42DAF" w:rsidRPr="00AE3F1B">
        <w:rPr>
          <w:rFonts w:ascii="Garamond" w:hAnsi="Garamond"/>
          <w:sz w:val="24"/>
          <w:szCs w:val="24"/>
        </w:rPr>
        <w:t>kategorii pomiaru oraz umożliwiać:</w:t>
      </w:r>
    </w:p>
    <w:p w14:paraId="4676DCFB" w14:textId="77777777" w:rsidR="00C42DAF" w:rsidRPr="00AE3F1B" w:rsidRDefault="00C42DAF">
      <w:pPr>
        <w:numPr>
          <w:ilvl w:val="0"/>
          <w:numId w:val="34"/>
        </w:numPr>
        <w:spacing w:line="253" w:lineRule="auto"/>
        <w:ind w:left="851" w:right="-3" w:hanging="425"/>
        <w:jc w:val="left"/>
        <w:rPr>
          <w:rFonts w:ascii="Garamond" w:hAnsi="Garamond"/>
          <w:sz w:val="24"/>
          <w:szCs w:val="24"/>
        </w:rPr>
      </w:pPr>
      <w:r w:rsidRPr="00AE3F1B">
        <w:rPr>
          <w:rFonts w:ascii="Garamond" w:hAnsi="Garamond"/>
          <w:sz w:val="24"/>
          <w:szCs w:val="24"/>
        </w:rPr>
        <w:t>dwukierunkowy pomiar energii czynnej oraz biernej dla wytwórców i odbiorców posiadających źródła wytwórcze mierzony w czterech kwadrantach z rejestracją profili obciążenia,</w:t>
      </w:r>
    </w:p>
    <w:p w14:paraId="59085B87" w14:textId="16B57FF5" w:rsidR="00C42DAF" w:rsidRPr="00AE3F1B" w:rsidRDefault="00C42DAF">
      <w:pPr>
        <w:numPr>
          <w:ilvl w:val="0"/>
          <w:numId w:val="34"/>
        </w:numPr>
        <w:spacing w:line="253" w:lineRule="auto"/>
        <w:ind w:left="851" w:right="-3" w:hanging="425"/>
        <w:jc w:val="left"/>
        <w:rPr>
          <w:rFonts w:ascii="Garamond" w:hAnsi="Garamond"/>
          <w:sz w:val="24"/>
          <w:szCs w:val="24"/>
        </w:rPr>
      </w:pPr>
      <w:r w:rsidRPr="00AE3F1B">
        <w:rPr>
          <w:rFonts w:ascii="Garamond" w:hAnsi="Garamond"/>
          <w:sz w:val="24"/>
          <w:szCs w:val="24"/>
        </w:rPr>
        <w:t xml:space="preserve">jednokierunkowy pomiar energii czynnej i dwukierunkowy pomiar energii biernej z rejestracją profili obciążenia dla odbiorców </w:t>
      </w:r>
      <w:r w:rsidR="00DD5AB5" w:rsidRPr="00AE3F1B">
        <w:rPr>
          <w:rFonts w:ascii="Garamond" w:hAnsi="Garamond"/>
          <w:sz w:val="24"/>
          <w:szCs w:val="24"/>
        </w:rPr>
        <w:t>nieposiadających</w:t>
      </w:r>
      <w:r w:rsidRPr="00AE3F1B">
        <w:rPr>
          <w:rFonts w:ascii="Garamond" w:hAnsi="Garamond"/>
          <w:sz w:val="24"/>
          <w:szCs w:val="24"/>
        </w:rPr>
        <w:t xml:space="preserve"> źródeł wytwórczych oraz mocy przyłączeniowej nie mniejszej niż 40kW,</w:t>
      </w:r>
    </w:p>
    <w:p w14:paraId="7490C521" w14:textId="77777777" w:rsidR="000829BF" w:rsidRDefault="00C42DAF">
      <w:pPr>
        <w:numPr>
          <w:ilvl w:val="0"/>
          <w:numId w:val="34"/>
        </w:numPr>
        <w:spacing w:line="253" w:lineRule="auto"/>
        <w:ind w:left="851" w:right="-3" w:hanging="425"/>
        <w:jc w:val="left"/>
        <w:rPr>
          <w:rFonts w:ascii="Garamond" w:hAnsi="Garamond"/>
          <w:sz w:val="24"/>
          <w:szCs w:val="24"/>
        </w:rPr>
      </w:pPr>
      <w:r w:rsidRPr="00AE3F1B">
        <w:rPr>
          <w:rFonts w:ascii="Garamond" w:hAnsi="Garamond"/>
          <w:sz w:val="24"/>
          <w:szCs w:val="24"/>
        </w:rPr>
        <w:t>jednokierunkowy pomiar energii czynnej, a w uzasadnionych przypadkach pomiar energii biernej — dotyczy tylko układów pomiarowo-rozliczeniowych odbiorców zaliczonych do kategorii Cl,</w:t>
      </w:r>
      <w:r w:rsidR="00586005">
        <w:rPr>
          <w:rFonts w:ascii="Garamond" w:hAnsi="Garamond"/>
          <w:sz w:val="24"/>
          <w:szCs w:val="24"/>
        </w:rPr>
        <w:t xml:space="preserve"> </w:t>
      </w:r>
    </w:p>
    <w:p w14:paraId="30AC3BC9" w14:textId="37C3FB69" w:rsidR="00C42DAF" w:rsidRPr="00AE3F1B" w:rsidRDefault="00C42DAF">
      <w:pPr>
        <w:numPr>
          <w:ilvl w:val="0"/>
          <w:numId w:val="34"/>
        </w:numPr>
        <w:spacing w:line="253" w:lineRule="auto"/>
        <w:ind w:left="851" w:right="-3" w:hanging="425"/>
        <w:jc w:val="left"/>
        <w:rPr>
          <w:rFonts w:ascii="Garamond" w:hAnsi="Garamond"/>
          <w:sz w:val="24"/>
          <w:szCs w:val="24"/>
        </w:rPr>
      </w:pPr>
      <w:r w:rsidRPr="00AE3F1B">
        <w:rPr>
          <w:rFonts w:ascii="Garamond" w:hAnsi="Garamond"/>
          <w:sz w:val="24"/>
          <w:szCs w:val="24"/>
        </w:rPr>
        <w:t>jednokierunkowy pomiar energii czynnej z rejestracją profili obciążenia dla pomiaru na zaciskach generatora, w celu potwierdzania ilości wytworzonej energii dla potrzeb wydawania świadectw pochodzenia.</w:t>
      </w:r>
    </w:p>
    <w:p w14:paraId="5A7E5D84" w14:textId="51CB0054" w:rsidR="00C42DAF" w:rsidRDefault="00D356CE" w:rsidP="00D356CE">
      <w:pPr>
        <w:spacing w:after="158" w:line="253" w:lineRule="auto"/>
        <w:ind w:left="851" w:right="-3" w:hanging="851"/>
        <w:jc w:val="left"/>
        <w:rPr>
          <w:rFonts w:ascii="Garamond" w:hAnsi="Garamond"/>
          <w:sz w:val="24"/>
          <w:szCs w:val="24"/>
        </w:rPr>
      </w:pPr>
      <w:r w:rsidRPr="00D356CE">
        <w:rPr>
          <w:rFonts w:ascii="Garamond" w:hAnsi="Garamond"/>
          <w:sz w:val="24"/>
          <w:szCs w:val="24"/>
        </w:rPr>
        <w:t>II.5.7.1.</w:t>
      </w:r>
      <w:r>
        <w:rPr>
          <w:rFonts w:ascii="Garamond" w:hAnsi="Garamond"/>
          <w:sz w:val="24"/>
          <w:szCs w:val="24"/>
        </w:rPr>
        <w:t xml:space="preserve">9 </w:t>
      </w:r>
      <w:r w:rsidR="00C42DAF" w:rsidRPr="00AE3F1B">
        <w:rPr>
          <w:rFonts w:ascii="Garamond" w:hAnsi="Garamond"/>
          <w:sz w:val="24"/>
          <w:szCs w:val="24"/>
        </w:rPr>
        <w:t xml:space="preserve">Transmisja danych z układów pomiarowo-rozliczeniowych energii elektrycznej do </w:t>
      </w:r>
      <w:r w:rsidR="006A64B2" w:rsidRPr="00AE3F1B">
        <w:rPr>
          <w:rFonts w:ascii="Garamond" w:hAnsi="Garamond"/>
          <w:sz w:val="24"/>
          <w:szCs w:val="24"/>
        </w:rPr>
        <w:t>L</w:t>
      </w:r>
      <w:r w:rsidR="00C42DAF" w:rsidRPr="00AE3F1B">
        <w:rPr>
          <w:rFonts w:ascii="Garamond" w:hAnsi="Garamond"/>
          <w:sz w:val="24"/>
          <w:szCs w:val="24"/>
        </w:rPr>
        <w:t>SPR powinna być</w:t>
      </w:r>
      <w:r w:rsidR="00602310">
        <w:rPr>
          <w:rFonts w:ascii="Garamond" w:hAnsi="Garamond"/>
          <w:sz w:val="24"/>
          <w:szCs w:val="24"/>
        </w:rPr>
        <w:t xml:space="preserve"> </w:t>
      </w:r>
      <w:r w:rsidR="00C42DAF" w:rsidRPr="00AE3F1B">
        <w:rPr>
          <w:rFonts w:ascii="Garamond" w:hAnsi="Garamond"/>
          <w:sz w:val="24"/>
          <w:szCs w:val="24"/>
        </w:rPr>
        <w:t>realizowana za pośrednictwem:</w:t>
      </w:r>
    </w:p>
    <w:p w14:paraId="3CD68671" w14:textId="77777777" w:rsidR="00577ECF" w:rsidRPr="00577ECF" w:rsidRDefault="00C42DAF" w:rsidP="00586005">
      <w:pPr>
        <w:pStyle w:val="Akapitzlist"/>
        <w:numPr>
          <w:ilvl w:val="0"/>
          <w:numId w:val="222"/>
        </w:numPr>
        <w:spacing w:after="158" w:line="253" w:lineRule="auto"/>
        <w:ind w:left="851" w:right="-3" w:hanging="425"/>
        <w:jc w:val="left"/>
        <w:rPr>
          <w:rFonts w:ascii="Garamond" w:hAnsi="Garamond"/>
          <w:sz w:val="24"/>
          <w:szCs w:val="24"/>
        </w:rPr>
      </w:pPr>
      <w:r w:rsidRPr="00577ECF">
        <w:rPr>
          <w:rFonts w:ascii="Garamond" w:hAnsi="Garamond"/>
          <w:sz w:val="24"/>
          <w:szCs w:val="24"/>
        </w:rPr>
        <w:t>wyjść cyfrowych liczników energii elektrycznej,</w:t>
      </w:r>
    </w:p>
    <w:p w14:paraId="0CF06FB3" w14:textId="77777777" w:rsidR="00577ECF" w:rsidRDefault="00C42DAF" w:rsidP="00586005">
      <w:pPr>
        <w:pStyle w:val="Akapitzlist"/>
        <w:numPr>
          <w:ilvl w:val="0"/>
          <w:numId w:val="222"/>
        </w:numPr>
        <w:spacing w:after="117" w:line="248" w:lineRule="auto"/>
        <w:ind w:left="851" w:right="-3" w:hanging="425"/>
        <w:jc w:val="left"/>
        <w:rPr>
          <w:rFonts w:ascii="Garamond" w:hAnsi="Garamond"/>
          <w:sz w:val="24"/>
          <w:szCs w:val="24"/>
        </w:rPr>
      </w:pPr>
      <w:r w:rsidRPr="00577ECF">
        <w:rPr>
          <w:rFonts w:ascii="Garamond" w:hAnsi="Garamond"/>
          <w:sz w:val="24"/>
          <w:szCs w:val="24"/>
        </w:rPr>
        <w:t>wyjść cyfrowych rejestratorów (koncentratorów), które to rejestratory (koncentratory) będą pozyskiwały dane za pomocą wyjść cyfrowych liczników energii elektrycznej.</w:t>
      </w:r>
    </w:p>
    <w:p w14:paraId="7EF9E6E9" w14:textId="39F4053E" w:rsidR="00C42DAF" w:rsidRPr="00577ECF" w:rsidRDefault="00C42DAF" w:rsidP="00586005">
      <w:pPr>
        <w:pStyle w:val="Akapitzlist"/>
        <w:numPr>
          <w:ilvl w:val="0"/>
          <w:numId w:val="222"/>
        </w:numPr>
        <w:spacing w:after="117" w:line="248" w:lineRule="auto"/>
        <w:ind w:left="851" w:right="-3" w:hanging="425"/>
        <w:jc w:val="left"/>
        <w:rPr>
          <w:rFonts w:ascii="Garamond" w:hAnsi="Garamond"/>
          <w:sz w:val="24"/>
          <w:szCs w:val="24"/>
        </w:rPr>
      </w:pPr>
      <w:r w:rsidRPr="00577ECF">
        <w:rPr>
          <w:rFonts w:ascii="Garamond" w:hAnsi="Garamond"/>
          <w:sz w:val="24"/>
          <w:szCs w:val="24"/>
        </w:rPr>
        <w:t>wymagani</w:t>
      </w:r>
      <w:r w:rsidR="006A64B2" w:rsidRPr="00577ECF">
        <w:rPr>
          <w:rFonts w:ascii="Garamond" w:hAnsi="Garamond"/>
          <w:sz w:val="24"/>
          <w:szCs w:val="24"/>
        </w:rPr>
        <w:t>a</w:t>
      </w:r>
      <w:r w:rsidRPr="00577ECF">
        <w:rPr>
          <w:rFonts w:ascii="Garamond" w:hAnsi="Garamond"/>
          <w:sz w:val="24"/>
          <w:szCs w:val="24"/>
        </w:rPr>
        <w:t xml:space="preserve"> co do szybkości jakości transmisji danych kanałami telekomunikacyjnymi określa ID Sp. z o.o. w uzgodnieniu z PGE Dystrybucja</w:t>
      </w:r>
      <w:r w:rsidR="00645717">
        <w:rPr>
          <w:rFonts w:ascii="Garamond" w:hAnsi="Garamond"/>
          <w:sz w:val="24"/>
          <w:szCs w:val="24"/>
        </w:rPr>
        <w:t xml:space="preserve"> </w:t>
      </w:r>
      <w:r w:rsidRPr="00577ECF">
        <w:rPr>
          <w:rFonts w:ascii="Garamond" w:hAnsi="Garamond"/>
          <w:sz w:val="24"/>
          <w:szCs w:val="24"/>
        </w:rPr>
        <w:t>S.A.</w:t>
      </w:r>
    </w:p>
    <w:p w14:paraId="541C8463" w14:textId="5AA41F52" w:rsidR="00C42DAF" w:rsidRPr="00AE3F1B" w:rsidRDefault="00577ECF" w:rsidP="00175586">
      <w:pPr>
        <w:spacing w:after="220" w:line="226" w:lineRule="auto"/>
        <w:ind w:left="567" w:right="-3" w:hanging="567"/>
        <w:jc w:val="left"/>
        <w:rPr>
          <w:rFonts w:ascii="Garamond" w:hAnsi="Garamond"/>
          <w:sz w:val="24"/>
          <w:szCs w:val="24"/>
        </w:rPr>
      </w:pPr>
      <w:r>
        <w:rPr>
          <w:rFonts w:ascii="Garamond" w:hAnsi="Garamond"/>
          <w:sz w:val="24"/>
          <w:szCs w:val="24"/>
        </w:rPr>
        <w:t>II</w:t>
      </w:r>
      <w:r w:rsidR="00C42DAF" w:rsidRPr="00AE3F1B">
        <w:rPr>
          <w:rFonts w:ascii="Garamond" w:hAnsi="Garamond"/>
          <w:sz w:val="24"/>
          <w:szCs w:val="24"/>
        </w:rPr>
        <w:t>.</w:t>
      </w:r>
      <w:r w:rsidR="00DD5AB5">
        <w:rPr>
          <w:rFonts w:ascii="Garamond" w:hAnsi="Garamond"/>
          <w:sz w:val="24"/>
          <w:szCs w:val="24"/>
        </w:rPr>
        <w:t>5</w:t>
      </w:r>
      <w:r w:rsidR="00C42DAF" w:rsidRPr="00AE3F1B">
        <w:rPr>
          <w:rFonts w:ascii="Garamond" w:hAnsi="Garamond"/>
          <w:sz w:val="24"/>
          <w:szCs w:val="24"/>
        </w:rPr>
        <w:t xml:space="preserve">.7.1.10. Dla układów pomiarowych energii elektrycznej kategorii B2 wymagane jest </w:t>
      </w:r>
      <w:r w:rsidR="00DD5AB5" w:rsidRPr="00AE3F1B">
        <w:rPr>
          <w:rFonts w:ascii="Garamond" w:hAnsi="Garamond"/>
          <w:sz w:val="24"/>
          <w:szCs w:val="24"/>
        </w:rPr>
        <w:t xml:space="preserve">stosowanie </w:t>
      </w:r>
      <w:r w:rsidR="00DD5AB5">
        <w:rPr>
          <w:rFonts w:ascii="Garamond" w:hAnsi="Garamond"/>
          <w:sz w:val="24"/>
          <w:szCs w:val="24"/>
        </w:rPr>
        <w:t>dwóch</w:t>
      </w:r>
      <w:r w:rsidR="00C42DAF" w:rsidRPr="00AE3F1B">
        <w:rPr>
          <w:rFonts w:ascii="Garamond" w:hAnsi="Garamond"/>
          <w:sz w:val="24"/>
          <w:szCs w:val="24"/>
        </w:rPr>
        <w:t xml:space="preserve"> układów pomiarowych: układu pomiarowo rozliczeniowego i układu pomiarowo — kontrolnego.</w:t>
      </w:r>
    </w:p>
    <w:p w14:paraId="650F9AA9" w14:textId="00DEF067" w:rsidR="00C42DAF" w:rsidRPr="00AE3F1B" w:rsidRDefault="00C42DAF" w:rsidP="008F7C7B">
      <w:pPr>
        <w:spacing w:after="201" w:line="253" w:lineRule="auto"/>
        <w:ind w:left="567" w:right="-3"/>
        <w:jc w:val="left"/>
        <w:rPr>
          <w:rFonts w:ascii="Garamond" w:hAnsi="Garamond"/>
          <w:sz w:val="24"/>
          <w:szCs w:val="24"/>
        </w:rPr>
      </w:pPr>
      <w:r w:rsidRPr="00AE3F1B">
        <w:rPr>
          <w:rFonts w:ascii="Garamond" w:hAnsi="Garamond"/>
          <w:sz w:val="24"/>
          <w:szCs w:val="24"/>
        </w:rPr>
        <w:t>Dla pozostałych kategorii dopuszcza się stosowanie układów pomiarowo kontrolnych, przy czym mogą</w:t>
      </w:r>
      <w:r w:rsidR="00DD5AB5">
        <w:rPr>
          <w:rFonts w:ascii="Garamond" w:hAnsi="Garamond"/>
          <w:sz w:val="24"/>
          <w:szCs w:val="24"/>
        </w:rPr>
        <w:t xml:space="preserve"> </w:t>
      </w:r>
      <w:r w:rsidRPr="00AE3F1B">
        <w:rPr>
          <w:rFonts w:ascii="Garamond" w:hAnsi="Garamond"/>
          <w:sz w:val="24"/>
          <w:szCs w:val="24"/>
        </w:rPr>
        <w:t xml:space="preserve">być one przyłączone do uzwojenia przekładników układu </w:t>
      </w:r>
      <w:r w:rsidR="007606DB" w:rsidRPr="00AE3F1B">
        <w:rPr>
          <w:rFonts w:ascii="Garamond" w:hAnsi="Garamond"/>
          <w:sz w:val="24"/>
          <w:szCs w:val="24"/>
        </w:rPr>
        <w:t>pomiarowo rozliczeniowego</w:t>
      </w:r>
      <w:r w:rsidRPr="00AE3F1B">
        <w:rPr>
          <w:rFonts w:ascii="Garamond" w:hAnsi="Garamond"/>
          <w:sz w:val="24"/>
          <w:szCs w:val="24"/>
        </w:rPr>
        <w:t>. W tym przypadku jako układ pomiarowo kontrolny należy rozumieć licznik energii elektrycznej.</w:t>
      </w:r>
    </w:p>
    <w:p w14:paraId="22AD374A" w14:textId="11DD0D4E" w:rsidR="00C42DAF" w:rsidRPr="00AE3F1B" w:rsidRDefault="00577ECF" w:rsidP="00175586">
      <w:pPr>
        <w:spacing w:after="197" w:line="253" w:lineRule="auto"/>
        <w:ind w:left="567" w:right="-3" w:hanging="567"/>
        <w:jc w:val="left"/>
        <w:rPr>
          <w:rFonts w:ascii="Garamond" w:hAnsi="Garamond"/>
          <w:sz w:val="24"/>
          <w:szCs w:val="24"/>
        </w:rPr>
      </w:pPr>
      <w:r>
        <w:rPr>
          <w:rFonts w:ascii="Garamond" w:hAnsi="Garamond"/>
          <w:sz w:val="24"/>
          <w:szCs w:val="24"/>
        </w:rPr>
        <w:lastRenderedPageBreak/>
        <w:t>II</w:t>
      </w:r>
      <w:r w:rsidR="00C42DAF" w:rsidRPr="00AE3F1B">
        <w:rPr>
          <w:rFonts w:ascii="Garamond" w:hAnsi="Garamond"/>
          <w:sz w:val="24"/>
          <w:szCs w:val="24"/>
        </w:rPr>
        <w:t>.</w:t>
      </w:r>
      <w:r w:rsidR="00934120">
        <w:rPr>
          <w:rFonts w:ascii="Garamond" w:hAnsi="Garamond"/>
          <w:sz w:val="24"/>
          <w:szCs w:val="24"/>
        </w:rPr>
        <w:t>5</w:t>
      </w:r>
      <w:r w:rsidR="00C42DAF" w:rsidRPr="00AE3F1B">
        <w:rPr>
          <w:rFonts w:ascii="Garamond" w:hAnsi="Garamond"/>
          <w:sz w:val="24"/>
          <w:szCs w:val="24"/>
        </w:rPr>
        <w:t>.7.1.11. Miejsce zainstalowania układu pomiarowego określa ID Sp. z o.o. w warunkach przyłączenia lub umowie dystrybucji lub umowie kompleksowej.</w:t>
      </w:r>
    </w:p>
    <w:p w14:paraId="6A2EC8F4" w14:textId="7EDF1DDA" w:rsidR="00C42DAF" w:rsidRPr="00AE3F1B" w:rsidRDefault="00577ECF" w:rsidP="00175586">
      <w:pPr>
        <w:spacing w:after="165" w:line="253" w:lineRule="auto"/>
        <w:ind w:left="567" w:right="-3" w:hanging="567"/>
        <w:jc w:val="left"/>
        <w:rPr>
          <w:rFonts w:ascii="Garamond" w:hAnsi="Garamond"/>
          <w:sz w:val="24"/>
          <w:szCs w:val="24"/>
        </w:rPr>
      </w:pPr>
      <w:r>
        <w:rPr>
          <w:rFonts w:ascii="Garamond" w:hAnsi="Garamond"/>
          <w:sz w:val="24"/>
          <w:szCs w:val="24"/>
        </w:rPr>
        <w:t>II</w:t>
      </w:r>
      <w:r w:rsidR="00C42DAF" w:rsidRPr="00AE3F1B">
        <w:rPr>
          <w:rFonts w:ascii="Garamond" w:hAnsi="Garamond"/>
          <w:sz w:val="24"/>
          <w:szCs w:val="24"/>
        </w:rPr>
        <w:t>.</w:t>
      </w:r>
      <w:r w:rsidR="00934120">
        <w:rPr>
          <w:rFonts w:ascii="Garamond" w:hAnsi="Garamond"/>
          <w:sz w:val="24"/>
          <w:szCs w:val="24"/>
        </w:rPr>
        <w:t>5</w:t>
      </w:r>
      <w:r w:rsidR="00C42DAF" w:rsidRPr="00AE3F1B">
        <w:rPr>
          <w:rFonts w:ascii="Garamond" w:hAnsi="Garamond"/>
          <w:sz w:val="24"/>
          <w:szCs w:val="24"/>
        </w:rPr>
        <w:t>.7.1.12. Przekładniki prądowe powinny być tak dobrane, aby prąd pierwotny wynikający z mocy umownej mieścił się w granicach 20-120 % ich prądu znamionowego. W szczególnie uzasadnionych przypadkach, za zgodą ID Sp. z o.o. dopuszcza się stosowanie przekładników prądowych o przeciążalności do 200 % prądu znamionowego, przy zachowaniu dokładności pomiaru wymaganego w danej klasie.</w:t>
      </w:r>
    </w:p>
    <w:p w14:paraId="1FE025E3" w14:textId="2C61CAF3" w:rsidR="00C42DAF" w:rsidRPr="00AE3F1B" w:rsidRDefault="00C42DAF" w:rsidP="00645717">
      <w:pPr>
        <w:spacing w:after="81" w:line="253" w:lineRule="auto"/>
        <w:ind w:left="567" w:right="-3"/>
        <w:jc w:val="left"/>
        <w:rPr>
          <w:rFonts w:ascii="Garamond" w:hAnsi="Garamond"/>
          <w:sz w:val="24"/>
          <w:szCs w:val="24"/>
        </w:rPr>
      </w:pPr>
      <w:r w:rsidRPr="00AE3F1B">
        <w:rPr>
          <w:rFonts w:ascii="Garamond" w:hAnsi="Garamond"/>
          <w:sz w:val="24"/>
          <w:szCs w:val="24"/>
        </w:rPr>
        <w:t>W przypadku źródeł, przekładniki prądowe powinny być tak dobrane, aby prąd pierwotny wynikający z mocy umownej mieścił się w granicach:</w:t>
      </w:r>
    </w:p>
    <w:p w14:paraId="751A48DB" w14:textId="77777777" w:rsidR="00C42DAF" w:rsidRPr="00602310" w:rsidRDefault="00C42DAF">
      <w:pPr>
        <w:pStyle w:val="Akapitzlist"/>
        <w:numPr>
          <w:ilvl w:val="0"/>
          <w:numId w:val="97"/>
        </w:numPr>
        <w:spacing w:line="253" w:lineRule="auto"/>
        <w:ind w:right="-3"/>
        <w:jc w:val="left"/>
        <w:rPr>
          <w:rFonts w:ascii="Garamond" w:hAnsi="Garamond"/>
          <w:sz w:val="24"/>
          <w:szCs w:val="24"/>
        </w:rPr>
      </w:pPr>
      <w:r w:rsidRPr="00602310">
        <w:rPr>
          <w:rFonts w:ascii="Garamond" w:hAnsi="Garamond"/>
          <w:sz w:val="24"/>
          <w:szCs w:val="24"/>
        </w:rPr>
        <w:t>20-120 % prądu znamionowego przekładników o klasie dokładności 0,5,</w:t>
      </w:r>
    </w:p>
    <w:p w14:paraId="0C6A0022" w14:textId="77777777" w:rsidR="00C42DAF" w:rsidRPr="00602310" w:rsidRDefault="00C42DAF">
      <w:pPr>
        <w:pStyle w:val="Akapitzlist"/>
        <w:numPr>
          <w:ilvl w:val="0"/>
          <w:numId w:val="97"/>
        </w:numPr>
        <w:spacing w:line="253" w:lineRule="auto"/>
        <w:ind w:right="-3"/>
        <w:jc w:val="left"/>
        <w:rPr>
          <w:rFonts w:ascii="Garamond" w:hAnsi="Garamond"/>
          <w:sz w:val="24"/>
          <w:szCs w:val="24"/>
        </w:rPr>
      </w:pPr>
      <w:r w:rsidRPr="00602310">
        <w:rPr>
          <w:rFonts w:ascii="Garamond" w:hAnsi="Garamond"/>
          <w:sz w:val="24"/>
          <w:szCs w:val="24"/>
        </w:rPr>
        <w:t>5-120 % prądu znamionowego przekładników o klasie dokładności 0,5S i 0,2,</w:t>
      </w:r>
    </w:p>
    <w:p w14:paraId="5993D485" w14:textId="77777777" w:rsidR="00C42DAF" w:rsidRPr="00602310" w:rsidRDefault="00C42DAF">
      <w:pPr>
        <w:pStyle w:val="Akapitzlist"/>
        <w:numPr>
          <w:ilvl w:val="0"/>
          <w:numId w:val="97"/>
        </w:numPr>
        <w:spacing w:after="70" w:line="253" w:lineRule="auto"/>
        <w:ind w:right="-3"/>
        <w:jc w:val="left"/>
        <w:rPr>
          <w:rFonts w:ascii="Garamond" w:hAnsi="Garamond"/>
          <w:sz w:val="24"/>
          <w:szCs w:val="24"/>
        </w:rPr>
      </w:pPr>
      <w:r w:rsidRPr="00602310">
        <w:rPr>
          <w:rFonts w:ascii="Garamond" w:hAnsi="Garamond"/>
          <w:sz w:val="24"/>
          <w:szCs w:val="24"/>
        </w:rPr>
        <w:t>1-120 % prądu znamionowego przekładników o klasie dokładności 0,2S.</w:t>
      </w:r>
    </w:p>
    <w:p w14:paraId="174CC6B0" w14:textId="77777777" w:rsidR="00C42DAF" w:rsidRPr="00AE3F1B" w:rsidRDefault="00C42DAF" w:rsidP="00645717">
      <w:pPr>
        <w:spacing w:after="99" w:line="253" w:lineRule="auto"/>
        <w:ind w:left="567" w:right="-3"/>
        <w:jc w:val="left"/>
        <w:rPr>
          <w:rFonts w:ascii="Garamond" w:hAnsi="Garamond"/>
          <w:sz w:val="24"/>
          <w:szCs w:val="24"/>
        </w:rPr>
      </w:pPr>
      <w:r w:rsidRPr="00AE3F1B">
        <w:rPr>
          <w:rFonts w:ascii="Garamond" w:hAnsi="Garamond"/>
          <w:sz w:val="24"/>
          <w:szCs w:val="24"/>
        </w:rPr>
        <w:t>W przypadku zastosowania przekładników prądowych o klasie dokładności 0,5S lub 0,2S ich prąd znamionowy wtórny winien wynosić 5 A.</w:t>
      </w:r>
    </w:p>
    <w:p w14:paraId="776F15A4" w14:textId="119E679C" w:rsidR="00C42DAF" w:rsidRPr="00AE3F1B" w:rsidRDefault="00C42DAF" w:rsidP="00645717">
      <w:pPr>
        <w:spacing w:line="253" w:lineRule="auto"/>
        <w:ind w:left="567" w:right="-3"/>
        <w:jc w:val="left"/>
        <w:rPr>
          <w:rFonts w:ascii="Garamond" w:hAnsi="Garamond"/>
          <w:sz w:val="24"/>
          <w:szCs w:val="24"/>
        </w:rPr>
      </w:pPr>
      <w:r w:rsidRPr="00AE3F1B">
        <w:rPr>
          <w:rFonts w:ascii="Garamond" w:hAnsi="Garamond"/>
          <w:sz w:val="24"/>
          <w:szCs w:val="24"/>
        </w:rPr>
        <w:t xml:space="preserve">Przekładniki prądowe i napięciowe powinny być tak dobrane, aby obciążenie strony wtórnej zawierało się </w:t>
      </w:r>
      <w:r w:rsidR="00602310" w:rsidRPr="00AE3F1B">
        <w:rPr>
          <w:rFonts w:ascii="Garamond" w:hAnsi="Garamond"/>
          <w:sz w:val="24"/>
          <w:szCs w:val="24"/>
        </w:rPr>
        <w:t>między</w:t>
      </w:r>
      <w:r w:rsidRPr="00AE3F1B">
        <w:rPr>
          <w:rFonts w:ascii="Garamond" w:hAnsi="Garamond"/>
          <w:sz w:val="24"/>
          <w:szCs w:val="24"/>
        </w:rPr>
        <w:t xml:space="preserve"> 25 %, a 100 % wartości nominalnej mocy uzwojeń/rdzeni przekładników. </w:t>
      </w:r>
      <w:r w:rsidR="00645717">
        <w:rPr>
          <w:rFonts w:ascii="Garamond" w:hAnsi="Garamond"/>
          <w:sz w:val="24"/>
          <w:szCs w:val="24"/>
        </w:rPr>
        <w:br/>
      </w:r>
      <w:r w:rsidRPr="00AE3F1B">
        <w:rPr>
          <w:rFonts w:ascii="Garamond" w:hAnsi="Garamond"/>
          <w:sz w:val="24"/>
          <w:szCs w:val="24"/>
        </w:rPr>
        <w:t>W przypadku wystąpienia konieczności dociążenia rdzenia pomiarowego jako dociążenie należy zastosować atestowane rezystory instalowane w obudowach przystosowanych do plombowania.</w:t>
      </w:r>
    </w:p>
    <w:p w14:paraId="7B9E2E42" w14:textId="77777777" w:rsidR="00C42DAF" w:rsidRPr="00AE3F1B" w:rsidRDefault="00C42DAF" w:rsidP="00645717">
      <w:pPr>
        <w:spacing w:after="184" w:line="253" w:lineRule="auto"/>
        <w:ind w:left="567" w:right="-3"/>
        <w:jc w:val="left"/>
        <w:rPr>
          <w:rFonts w:ascii="Garamond" w:hAnsi="Garamond"/>
          <w:sz w:val="24"/>
          <w:szCs w:val="24"/>
        </w:rPr>
      </w:pPr>
      <w:r w:rsidRPr="00AE3F1B">
        <w:rPr>
          <w:rFonts w:ascii="Garamond" w:hAnsi="Garamond"/>
          <w:sz w:val="24"/>
          <w:szCs w:val="24"/>
        </w:rPr>
        <w:t>Do uzwojenia wtórnego przekładników prądowych w układach pomiarowych nie można przyłączać innych przyrządów poza licznikami energii elektrycznej oraz w uzasadnionych przypadkach rezystorów dociążających.</w:t>
      </w:r>
    </w:p>
    <w:p w14:paraId="7E619993" w14:textId="22313D95" w:rsidR="00C42DAF" w:rsidRPr="00AE3F1B" w:rsidRDefault="00C42DAF" w:rsidP="00645717">
      <w:pPr>
        <w:spacing w:after="182" w:line="253" w:lineRule="auto"/>
        <w:ind w:left="567" w:right="-3"/>
        <w:jc w:val="left"/>
        <w:rPr>
          <w:rFonts w:ascii="Garamond" w:hAnsi="Garamond"/>
          <w:sz w:val="24"/>
          <w:szCs w:val="24"/>
        </w:rPr>
      </w:pPr>
      <w:r w:rsidRPr="00AE3F1B">
        <w:rPr>
          <w:rFonts w:ascii="Garamond" w:hAnsi="Garamond"/>
          <w:sz w:val="24"/>
          <w:szCs w:val="24"/>
        </w:rPr>
        <w:t xml:space="preserve">Współczynnik bezpieczeństwa przyrządu (FS) dla przekładników prądowych w układach pomiarowych podstawowych i rezerwowych powinien być </w:t>
      </w:r>
      <w:r w:rsidR="00CE3642" w:rsidRPr="00AE3F1B">
        <w:rPr>
          <w:rFonts w:ascii="Garamond" w:hAnsi="Garamond"/>
          <w:sz w:val="24"/>
          <w:szCs w:val="24"/>
        </w:rPr>
        <w:t>≤</w:t>
      </w:r>
      <w:r w:rsidRPr="00AE3F1B">
        <w:rPr>
          <w:rFonts w:ascii="Garamond" w:hAnsi="Garamond"/>
          <w:sz w:val="24"/>
          <w:szCs w:val="24"/>
        </w:rPr>
        <w:t xml:space="preserve">5.Wprzypadku modernizacji układów pomiarowo-rozliczeniowych, dopuszcza się pozostawienie dotychczasowych przekładników prądowych o współczynniku FS &gt;5, o ile spełniają one pozostałe wymagania </w:t>
      </w:r>
      <w:r w:rsidR="005A49CC" w:rsidRPr="005A49CC">
        <w:rPr>
          <w:rFonts w:ascii="Garamond" w:hAnsi="Garamond"/>
          <w:sz w:val="24"/>
          <w:szCs w:val="24"/>
        </w:rPr>
        <w:t>IRiESD</w:t>
      </w:r>
      <w:r w:rsidRPr="00AE3F1B">
        <w:rPr>
          <w:rFonts w:ascii="Garamond" w:hAnsi="Garamond"/>
          <w:sz w:val="24"/>
          <w:szCs w:val="24"/>
        </w:rPr>
        <w:t>.</w:t>
      </w:r>
    </w:p>
    <w:p w14:paraId="014DA97F" w14:textId="00E764F4" w:rsidR="00C42DAF" w:rsidRDefault="00BA2FC6" w:rsidP="00175586">
      <w:pPr>
        <w:spacing w:after="194" w:line="253" w:lineRule="auto"/>
        <w:ind w:left="567" w:right="-3" w:hanging="567"/>
        <w:jc w:val="left"/>
        <w:rPr>
          <w:rFonts w:ascii="Garamond" w:hAnsi="Garamond"/>
          <w:sz w:val="24"/>
          <w:szCs w:val="24"/>
        </w:rPr>
      </w:pPr>
      <w:r>
        <w:rPr>
          <w:rFonts w:ascii="Garamond" w:hAnsi="Garamond"/>
          <w:sz w:val="24"/>
          <w:szCs w:val="24"/>
        </w:rPr>
        <w:t>II</w:t>
      </w:r>
      <w:r w:rsidR="00C42DAF" w:rsidRPr="00AE3F1B">
        <w:rPr>
          <w:rFonts w:ascii="Garamond" w:hAnsi="Garamond"/>
          <w:sz w:val="24"/>
          <w:szCs w:val="24"/>
        </w:rPr>
        <w:t>.</w:t>
      </w:r>
      <w:r w:rsidR="00934120">
        <w:rPr>
          <w:rFonts w:ascii="Garamond" w:hAnsi="Garamond"/>
          <w:sz w:val="24"/>
          <w:szCs w:val="24"/>
        </w:rPr>
        <w:t>5</w:t>
      </w:r>
      <w:r w:rsidR="00C42DAF" w:rsidRPr="00AE3F1B">
        <w:rPr>
          <w:rFonts w:ascii="Garamond" w:hAnsi="Garamond"/>
          <w:sz w:val="24"/>
          <w:szCs w:val="24"/>
        </w:rPr>
        <w:t>.7.1.</w:t>
      </w:r>
      <w:r w:rsidR="00586005">
        <w:rPr>
          <w:rFonts w:ascii="Garamond" w:hAnsi="Garamond"/>
          <w:sz w:val="24"/>
          <w:szCs w:val="24"/>
        </w:rPr>
        <w:t>13</w:t>
      </w:r>
      <w:r w:rsidR="00C42DAF" w:rsidRPr="00AE3F1B">
        <w:rPr>
          <w:rFonts w:ascii="Garamond" w:hAnsi="Garamond"/>
          <w:sz w:val="24"/>
          <w:szCs w:val="24"/>
        </w:rPr>
        <w:t>. Wszystkie elementy członu zasilającego oraz osłony i urządzenia wchodzące w skład układu pomiarowego energii elektrycznej muszą być przystosowane do plombowania w taki sposób, aby nie było możliwości dostępu do chronionych elementów bez zerwania plomb. Plombowanie musi zapewnić zabezpieczenie przed: zmianą parametrów lub nastaw urządzeń wchodzących w skład układu pomiarowego oraz ingerencją powodującą zafałszowanie jego wskazań.</w:t>
      </w:r>
    </w:p>
    <w:p w14:paraId="447B34F5" w14:textId="342BD838" w:rsidR="008F7C7B" w:rsidRPr="00AE3F1B" w:rsidRDefault="008F7C7B" w:rsidP="00175586">
      <w:pPr>
        <w:spacing w:after="194" w:line="253" w:lineRule="auto"/>
        <w:ind w:left="567" w:right="-3" w:hanging="567"/>
        <w:jc w:val="left"/>
        <w:rPr>
          <w:rFonts w:ascii="Garamond" w:hAnsi="Garamond"/>
          <w:sz w:val="24"/>
          <w:szCs w:val="24"/>
        </w:rPr>
      </w:pPr>
      <w:r>
        <w:rPr>
          <w:rFonts w:ascii="Garamond" w:hAnsi="Garamond"/>
          <w:sz w:val="24"/>
          <w:szCs w:val="24"/>
        </w:rPr>
        <w:t>II</w:t>
      </w:r>
      <w:r w:rsidRPr="00AE3F1B">
        <w:rPr>
          <w:rFonts w:ascii="Garamond" w:hAnsi="Garamond"/>
          <w:sz w:val="24"/>
          <w:szCs w:val="24"/>
        </w:rPr>
        <w:t>.</w:t>
      </w:r>
      <w:r>
        <w:rPr>
          <w:rFonts w:ascii="Garamond" w:hAnsi="Garamond"/>
          <w:sz w:val="24"/>
          <w:szCs w:val="24"/>
        </w:rPr>
        <w:t>5</w:t>
      </w:r>
      <w:r w:rsidRPr="00AE3F1B">
        <w:rPr>
          <w:rFonts w:ascii="Garamond" w:hAnsi="Garamond"/>
          <w:sz w:val="24"/>
          <w:szCs w:val="24"/>
        </w:rPr>
        <w:t>.7.1.</w:t>
      </w:r>
      <w:r w:rsidR="00586005">
        <w:rPr>
          <w:rFonts w:ascii="Garamond" w:hAnsi="Garamond"/>
          <w:sz w:val="24"/>
          <w:szCs w:val="24"/>
        </w:rPr>
        <w:t>14</w:t>
      </w:r>
      <w:r w:rsidRPr="00AE3F1B">
        <w:rPr>
          <w:rFonts w:ascii="Garamond" w:hAnsi="Garamond"/>
          <w:sz w:val="24"/>
          <w:szCs w:val="24"/>
        </w:rPr>
        <w:t>.</w:t>
      </w:r>
      <w:r>
        <w:rPr>
          <w:rFonts w:ascii="Garamond" w:hAnsi="Garamond"/>
          <w:sz w:val="24"/>
          <w:szCs w:val="24"/>
        </w:rPr>
        <w:t xml:space="preserve"> </w:t>
      </w:r>
      <w:r w:rsidRPr="00AE3F1B">
        <w:rPr>
          <w:rFonts w:ascii="Garamond" w:hAnsi="Garamond"/>
          <w:sz w:val="24"/>
          <w:szCs w:val="24"/>
        </w:rPr>
        <w:t>W przypadku zmian mocy umownej lub ilości pobieranej energii elektrycznej</w:t>
      </w:r>
      <w:r>
        <w:rPr>
          <w:rFonts w:ascii="Garamond" w:hAnsi="Garamond"/>
          <w:sz w:val="24"/>
          <w:szCs w:val="24"/>
        </w:rPr>
        <w:t>, zmiana kwalifikacji</w:t>
      </w:r>
      <w:r w:rsidRPr="008F7C7B">
        <w:rPr>
          <w:rFonts w:ascii="Garamond" w:hAnsi="Garamond"/>
          <w:sz w:val="24"/>
          <w:szCs w:val="24"/>
        </w:rPr>
        <w:t xml:space="preserve"> </w:t>
      </w:r>
      <w:r w:rsidRPr="00AE3F1B">
        <w:rPr>
          <w:rFonts w:ascii="Garamond" w:hAnsi="Garamond"/>
          <w:sz w:val="24"/>
          <w:szCs w:val="24"/>
        </w:rPr>
        <w:t xml:space="preserve">układu pomiarowego do kategorii określonej w pkt. </w:t>
      </w:r>
      <w:r>
        <w:rPr>
          <w:rFonts w:ascii="Garamond" w:hAnsi="Garamond"/>
          <w:sz w:val="24"/>
          <w:szCs w:val="24"/>
        </w:rPr>
        <w:t>II</w:t>
      </w:r>
      <w:r w:rsidRPr="00AE3F1B">
        <w:rPr>
          <w:rFonts w:ascii="Garamond" w:hAnsi="Garamond"/>
          <w:sz w:val="24"/>
          <w:szCs w:val="24"/>
        </w:rPr>
        <w:t>.</w:t>
      </w:r>
      <w:r w:rsidR="001F2207">
        <w:rPr>
          <w:rFonts w:ascii="Garamond" w:hAnsi="Garamond"/>
          <w:sz w:val="24"/>
          <w:szCs w:val="24"/>
        </w:rPr>
        <w:t>5</w:t>
      </w:r>
      <w:r w:rsidRPr="00AE3F1B">
        <w:rPr>
          <w:rFonts w:ascii="Garamond" w:hAnsi="Garamond"/>
          <w:sz w:val="24"/>
          <w:szCs w:val="24"/>
        </w:rPr>
        <w:t>.7.1.7., następuje na wniosek odbiorcy lub ID Sp. z o.o. Dostosowanie układu do wymagań nowej kategorii spoczywa na właścicielu układu pomiarowego.</w:t>
      </w:r>
    </w:p>
    <w:p w14:paraId="1E59F6A4" w14:textId="5E38D6B8" w:rsidR="00C42DAF" w:rsidRPr="00AE3F1B" w:rsidRDefault="00577ECF" w:rsidP="00175586">
      <w:pPr>
        <w:spacing w:after="164" w:line="253" w:lineRule="auto"/>
        <w:ind w:left="567" w:right="-3" w:hanging="567"/>
        <w:jc w:val="left"/>
        <w:rPr>
          <w:rFonts w:ascii="Garamond" w:hAnsi="Garamond"/>
          <w:sz w:val="24"/>
          <w:szCs w:val="24"/>
        </w:rPr>
      </w:pPr>
      <w:r>
        <w:rPr>
          <w:rFonts w:ascii="Garamond" w:hAnsi="Garamond"/>
          <w:sz w:val="24"/>
          <w:szCs w:val="24"/>
        </w:rPr>
        <w:t>II</w:t>
      </w:r>
      <w:r w:rsidR="00C42DAF" w:rsidRPr="00AE3F1B">
        <w:rPr>
          <w:rFonts w:ascii="Garamond" w:hAnsi="Garamond"/>
          <w:sz w:val="24"/>
          <w:szCs w:val="24"/>
        </w:rPr>
        <w:t>.</w:t>
      </w:r>
      <w:r w:rsidR="00934120">
        <w:rPr>
          <w:rFonts w:ascii="Garamond" w:hAnsi="Garamond"/>
          <w:sz w:val="24"/>
          <w:szCs w:val="24"/>
        </w:rPr>
        <w:t>5</w:t>
      </w:r>
      <w:r w:rsidR="00C42DAF" w:rsidRPr="00AE3F1B">
        <w:rPr>
          <w:rFonts w:ascii="Garamond" w:hAnsi="Garamond"/>
          <w:sz w:val="24"/>
          <w:szCs w:val="24"/>
        </w:rPr>
        <w:t>.7.1.</w:t>
      </w:r>
      <w:r w:rsidR="00586005">
        <w:rPr>
          <w:rFonts w:ascii="Garamond" w:hAnsi="Garamond"/>
          <w:sz w:val="24"/>
          <w:szCs w:val="24"/>
        </w:rPr>
        <w:t>15</w:t>
      </w:r>
      <w:r w:rsidR="00C42DAF" w:rsidRPr="00AE3F1B">
        <w:rPr>
          <w:rFonts w:ascii="Garamond" w:hAnsi="Garamond"/>
          <w:sz w:val="24"/>
          <w:szCs w:val="24"/>
        </w:rPr>
        <w:t>. W przypadku zmiany charakteru odbioru, ID Sp.</w:t>
      </w:r>
      <w:r w:rsidR="00645717">
        <w:rPr>
          <w:rFonts w:ascii="Garamond" w:hAnsi="Garamond"/>
          <w:sz w:val="24"/>
          <w:szCs w:val="24"/>
        </w:rPr>
        <w:t xml:space="preserve"> </w:t>
      </w:r>
      <w:r w:rsidR="00C42DAF" w:rsidRPr="00AE3F1B">
        <w:rPr>
          <w:rFonts w:ascii="Garamond" w:hAnsi="Garamond"/>
          <w:sz w:val="24"/>
          <w:szCs w:val="24"/>
        </w:rPr>
        <w:t xml:space="preserve">z o.o. może nakazać wprowadzeń </w:t>
      </w:r>
      <w:r w:rsidR="00CE3642" w:rsidRPr="00AE3F1B">
        <w:rPr>
          <w:rFonts w:ascii="Garamond" w:hAnsi="Garamond"/>
          <w:sz w:val="24"/>
          <w:szCs w:val="24"/>
        </w:rPr>
        <w:br/>
      </w:r>
      <w:r w:rsidR="00C42DAF" w:rsidRPr="00AE3F1B">
        <w:rPr>
          <w:rFonts w:ascii="Garamond" w:hAnsi="Garamond"/>
          <w:sz w:val="24"/>
          <w:szCs w:val="24"/>
        </w:rPr>
        <w:t>w istniejącym układzie pomiarowo-rozliczeniowym (np. pomiar energii biernej lub strat).</w:t>
      </w:r>
    </w:p>
    <w:p w14:paraId="7C57BAE4" w14:textId="4FF7B8DF" w:rsidR="00C42DAF" w:rsidRPr="00AE3F1B" w:rsidRDefault="00577ECF" w:rsidP="00175586">
      <w:pPr>
        <w:spacing w:after="183" w:line="253" w:lineRule="auto"/>
        <w:ind w:left="567" w:right="-3" w:hanging="567"/>
        <w:jc w:val="left"/>
        <w:rPr>
          <w:rFonts w:ascii="Garamond" w:hAnsi="Garamond"/>
          <w:sz w:val="24"/>
          <w:szCs w:val="24"/>
        </w:rPr>
      </w:pPr>
      <w:r>
        <w:rPr>
          <w:rFonts w:ascii="Garamond" w:hAnsi="Garamond"/>
          <w:sz w:val="24"/>
          <w:szCs w:val="24"/>
        </w:rPr>
        <w:t>II</w:t>
      </w:r>
      <w:r w:rsidR="00C42DAF" w:rsidRPr="00AE3F1B">
        <w:rPr>
          <w:rFonts w:ascii="Garamond" w:hAnsi="Garamond"/>
          <w:sz w:val="24"/>
          <w:szCs w:val="24"/>
        </w:rPr>
        <w:t>.</w:t>
      </w:r>
      <w:r w:rsidR="00934120">
        <w:rPr>
          <w:rFonts w:ascii="Garamond" w:hAnsi="Garamond"/>
          <w:sz w:val="24"/>
          <w:szCs w:val="24"/>
        </w:rPr>
        <w:t>5</w:t>
      </w:r>
      <w:r w:rsidR="00C42DAF" w:rsidRPr="00AE3F1B">
        <w:rPr>
          <w:rFonts w:ascii="Garamond" w:hAnsi="Garamond"/>
          <w:sz w:val="24"/>
          <w:szCs w:val="24"/>
        </w:rPr>
        <w:t>.7.1.</w:t>
      </w:r>
      <w:r w:rsidR="00586005">
        <w:rPr>
          <w:rFonts w:ascii="Garamond" w:hAnsi="Garamond"/>
          <w:sz w:val="24"/>
          <w:szCs w:val="24"/>
        </w:rPr>
        <w:t>16</w:t>
      </w:r>
      <w:r w:rsidR="00C42DAF" w:rsidRPr="00AE3F1B">
        <w:rPr>
          <w:rFonts w:ascii="Garamond" w:hAnsi="Garamond"/>
          <w:sz w:val="24"/>
          <w:szCs w:val="24"/>
        </w:rPr>
        <w:t>. Wszelkie stwierdzone nieprawidłowości w działaniu układu pomiarowego lub jego elementu winny być niezwłocznie wzajemnie zgłaszane przez odbiorcę, sprzedawcę lub ID Sp. z o.o. (zwanymi dalej „Stronami umowy o świadczenie usług dystrybucji lub umowy kompleksowej”).</w:t>
      </w:r>
    </w:p>
    <w:p w14:paraId="4CA9C60F" w14:textId="3B12D85B" w:rsidR="00C42DAF" w:rsidRPr="00AE3F1B" w:rsidRDefault="00577ECF" w:rsidP="00175586">
      <w:pPr>
        <w:spacing w:after="166" w:line="253" w:lineRule="auto"/>
        <w:ind w:left="567" w:right="-3" w:hanging="567"/>
        <w:jc w:val="left"/>
        <w:rPr>
          <w:rFonts w:ascii="Garamond" w:hAnsi="Garamond"/>
          <w:sz w:val="24"/>
          <w:szCs w:val="24"/>
        </w:rPr>
      </w:pPr>
      <w:r>
        <w:rPr>
          <w:rFonts w:ascii="Garamond" w:hAnsi="Garamond"/>
          <w:sz w:val="24"/>
          <w:szCs w:val="24"/>
        </w:rPr>
        <w:lastRenderedPageBreak/>
        <w:t>II</w:t>
      </w:r>
      <w:r w:rsidR="00C42DAF" w:rsidRPr="00AE3F1B">
        <w:rPr>
          <w:rFonts w:ascii="Garamond" w:hAnsi="Garamond"/>
          <w:sz w:val="24"/>
          <w:szCs w:val="24"/>
        </w:rPr>
        <w:t>.</w:t>
      </w:r>
      <w:r w:rsidR="00934120">
        <w:rPr>
          <w:rFonts w:ascii="Garamond" w:hAnsi="Garamond"/>
          <w:sz w:val="24"/>
          <w:szCs w:val="24"/>
        </w:rPr>
        <w:t>5</w:t>
      </w:r>
      <w:r w:rsidR="00C42DAF" w:rsidRPr="00AE3F1B">
        <w:rPr>
          <w:rFonts w:ascii="Garamond" w:hAnsi="Garamond"/>
          <w:sz w:val="24"/>
          <w:szCs w:val="24"/>
        </w:rPr>
        <w:t>.7.1.</w:t>
      </w:r>
      <w:r w:rsidR="00586005">
        <w:rPr>
          <w:rFonts w:ascii="Garamond" w:hAnsi="Garamond"/>
          <w:sz w:val="24"/>
          <w:szCs w:val="24"/>
        </w:rPr>
        <w:t>17</w:t>
      </w:r>
      <w:r w:rsidR="00C42DAF" w:rsidRPr="00AE3F1B">
        <w:rPr>
          <w:rFonts w:ascii="Garamond" w:hAnsi="Garamond"/>
          <w:sz w:val="24"/>
          <w:szCs w:val="24"/>
        </w:rPr>
        <w:t>. W przypadku podejrzenia nieprawidłowości działania układu pomiarowego lub jego elementu, każda ze Stron umowy o świadczenie usług dystrybucji lub umowy kompleksowej, ma prawo żądać laboratoryjnego sprawdzenia prawidłowości działania układu pomiarowego lub jego elementu.</w:t>
      </w:r>
    </w:p>
    <w:p w14:paraId="28200E09" w14:textId="58D78855" w:rsidR="00C42DAF" w:rsidRPr="00AE3F1B" w:rsidRDefault="00577ECF" w:rsidP="00175586">
      <w:pPr>
        <w:spacing w:line="253" w:lineRule="auto"/>
        <w:ind w:left="567" w:right="-3" w:hanging="567"/>
        <w:jc w:val="left"/>
        <w:rPr>
          <w:rFonts w:ascii="Garamond" w:hAnsi="Garamond"/>
          <w:sz w:val="24"/>
          <w:szCs w:val="24"/>
        </w:rPr>
      </w:pPr>
      <w:r>
        <w:rPr>
          <w:rFonts w:ascii="Garamond" w:hAnsi="Garamond"/>
          <w:sz w:val="24"/>
          <w:szCs w:val="24"/>
        </w:rPr>
        <w:t>II</w:t>
      </w:r>
      <w:r w:rsidR="00C42DAF" w:rsidRPr="00AE3F1B">
        <w:rPr>
          <w:rFonts w:ascii="Garamond" w:hAnsi="Garamond"/>
          <w:sz w:val="24"/>
          <w:szCs w:val="24"/>
        </w:rPr>
        <w:t>.</w:t>
      </w:r>
      <w:r w:rsidR="00934120">
        <w:rPr>
          <w:rFonts w:ascii="Garamond" w:hAnsi="Garamond"/>
          <w:sz w:val="24"/>
          <w:szCs w:val="24"/>
        </w:rPr>
        <w:t>5</w:t>
      </w:r>
      <w:r w:rsidR="00C42DAF" w:rsidRPr="00AE3F1B">
        <w:rPr>
          <w:rFonts w:ascii="Garamond" w:hAnsi="Garamond"/>
          <w:sz w:val="24"/>
          <w:szCs w:val="24"/>
        </w:rPr>
        <w:t>.7.1.</w:t>
      </w:r>
      <w:r w:rsidR="00586005">
        <w:rPr>
          <w:rFonts w:ascii="Garamond" w:hAnsi="Garamond"/>
          <w:sz w:val="24"/>
          <w:szCs w:val="24"/>
        </w:rPr>
        <w:t>18</w:t>
      </w:r>
      <w:r w:rsidR="00C42DAF" w:rsidRPr="00AE3F1B">
        <w:rPr>
          <w:rFonts w:ascii="Garamond" w:hAnsi="Garamond"/>
          <w:sz w:val="24"/>
          <w:szCs w:val="24"/>
        </w:rPr>
        <w:t xml:space="preserve">. W przypadku zgłoszenia żądania laboratoryjnego sprawdzenia prawidłowości działania układu pomiarowego lub jego elementu, właściciel układu pomiarowego zapewnia demontaż wskazanego elementu układu pomiarowego. Demontaż następuje w obecności przedstawiciela odbiorcy i ID Sp. </w:t>
      </w:r>
      <w:r w:rsidR="00934120" w:rsidRPr="00AE3F1B">
        <w:rPr>
          <w:rFonts w:ascii="Garamond" w:hAnsi="Garamond"/>
          <w:sz w:val="24"/>
          <w:szCs w:val="24"/>
        </w:rPr>
        <w:t>z o.o.</w:t>
      </w:r>
    </w:p>
    <w:p w14:paraId="70C727EA" w14:textId="2C3410BC" w:rsidR="00C42DAF" w:rsidRPr="00AE3F1B" w:rsidRDefault="00577ECF" w:rsidP="00175586">
      <w:pPr>
        <w:spacing w:line="253" w:lineRule="auto"/>
        <w:ind w:left="567" w:right="-3" w:hanging="567"/>
        <w:jc w:val="left"/>
        <w:rPr>
          <w:rFonts w:ascii="Garamond" w:hAnsi="Garamond"/>
          <w:sz w:val="24"/>
          <w:szCs w:val="24"/>
        </w:rPr>
      </w:pPr>
      <w:r>
        <w:rPr>
          <w:rFonts w:ascii="Garamond" w:hAnsi="Garamond"/>
          <w:sz w:val="24"/>
          <w:szCs w:val="24"/>
        </w:rPr>
        <w:t>II</w:t>
      </w:r>
      <w:r w:rsidR="00C42DAF" w:rsidRPr="00AE3F1B">
        <w:rPr>
          <w:rFonts w:ascii="Garamond" w:hAnsi="Garamond"/>
          <w:sz w:val="24"/>
          <w:szCs w:val="24"/>
        </w:rPr>
        <w:t>.</w:t>
      </w:r>
      <w:r w:rsidR="00934120">
        <w:rPr>
          <w:rFonts w:ascii="Garamond" w:hAnsi="Garamond"/>
          <w:sz w:val="24"/>
          <w:szCs w:val="24"/>
        </w:rPr>
        <w:t>5</w:t>
      </w:r>
      <w:r w:rsidR="00C42DAF" w:rsidRPr="00AE3F1B">
        <w:rPr>
          <w:rFonts w:ascii="Garamond" w:hAnsi="Garamond"/>
          <w:sz w:val="24"/>
          <w:szCs w:val="24"/>
        </w:rPr>
        <w:t>.7.1.</w:t>
      </w:r>
      <w:r w:rsidR="00586005">
        <w:rPr>
          <w:rFonts w:ascii="Garamond" w:hAnsi="Garamond"/>
          <w:sz w:val="24"/>
          <w:szCs w:val="24"/>
        </w:rPr>
        <w:t>19</w:t>
      </w:r>
      <w:r w:rsidR="00C42DAF" w:rsidRPr="00AE3F1B">
        <w:rPr>
          <w:rFonts w:ascii="Garamond" w:hAnsi="Garamond"/>
          <w:sz w:val="24"/>
          <w:szCs w:val="24"/>
        </w:rPr>
        <w:t>. ID Sp. z o.o. przekazuje zdemontowany element układu pomiarowego do laboratoryjnego sprawdzenia prawidłowości działania w terminie 14-stu dni od dnia zgłoszenia żądania. Jeżeli właścicielem układu pomiarowego jest podmiot inny niż ID Sp. z o.o., to podmiot ten ma obowiązek przekazać ID Sp. z o.o., zdemontowany element układu pomiarowego bezpośrednio po jego demontażu.</w:t>
      </w:r>
    </w:p>
    <w:p w14:paraId="23532223" w14:textId="7FB7EAB8" w:rsidR="00C42DAF" w:rsidRPr="00AE3F1B" w:rsidRDefault="00C42DAF" w:rsidP="008F7C7B">
      <w:pPr>
        <w:spacing w:line="253" w:lineRule="auto"/>
        <w:ind w:left="567" w:right="-3"/>
        <w:jc w:val="left"/>
        <w:rPr>
          <w:rFonts w:ascii="Garamond" w:hAnsi="Garamond"/>
          <w:sz w:val="24"/>
          <w:szCs w:val="24"/>
        </w:rPr>
      </w:pPr>
      <w:r w:rsidRPr="00AE3F1B">
        <w:rPr>
          <w:rFonts w:ascii="Garamond" w:hAnsi="Garamond"/>
          <w:sz w:val="24"/>
          <w:szCs w:val="24"/>
        </w:rPr>
        <w:t>Jeżeli laboratoryjne sprawdzenie nie wykaże błędów w działaniu zdemontowanego elementu układu</w:t>
      </w:r>
      <w:r w:rsidR="008F7C7B">
        <w:rPr>
          <w:rFonts w:ascii="Garamond" w:hAnsi="Garamond"/>
          <w:sz w:val="24"/>
          <w:szCs w:val="24"/>
        </w:rPr>
        <w:t xml:space="preserve"> </w:t>
      </w:r>
      <w:r w:rsidRPr="00AE3F1B">
        <w:rPr>
          <w:rFonts w:ascii="Garamond" w:hAnsi="Garamond"/>
          <w:sz w:val="24"/>
          <w:szCs w:val="24"/>
        </w:rPr>
        <w:t>pomiarowego, to podmiot wnioskujący o sprawdzenie ponosi koszty sprawdzenia oraz demontażu i montażu badanego elementu.</w:t>
      </w:r>
    </w:p>
    <w:p w14:paraId="4751625F" w14:textId="08979103" w:rsidR="00C42DAF" w:rsidRPr="00AE3F1B" w:rsidRDefault="00C42DAF" w:rsidP="008F7C7B">
      <w:pPr>
        <w:spacing w:after="183" w:line="253" w:lineRule="auto"/>
        <w:ind w:left="567" w:right="-3"/>
        <w:jc w:val="left"/>
        <w:rPr>
          <w:rFonts w:ascii="Garamond" w:hAnsi="Garamond"/>
          <w:sz w:val="24"/>
          <w:szCs w:val="24"/>
        </w:rPr>
      </w:pPr>
      <w:r w:rsidRPr="00AE3F1B">
        <w:rPr>
          <w:rFonts w:ascii="Garamond" w:hAnsi="Garamond"/>
          <w:sz w:val="24"/>
          <w:szCs w:val="24"/>
        </w:rPr>
        <w:t>ID Sp. z o.o. przekazuje odbiorcy/wytwórcy kopię wyniku laboratoryjnego sprawdzenia, niezwłocznie</w:t>
      </w:r>
      <w:r w:rsidR="008F7C7B">
        <w:rPr>
          <w:rFonts w:ascii="Garamond" w:hAnsi="Garamond"/>
          <w:sz w:val="24"/>
          <w:szCs w:val="24"/>
        </w:rPr>
        <w:t xml:space="preserve"> </w:t>
      </w:r>
      <w:r w:rsidRPr="00AE3F1B">
        <w:rPr>
          <w:rFonts w:ascii="Garamond" w:hAnsi="Garamond"/>
          <w:sz w:val="24"/>
          <w:szCs w:val="24"/>
        </w:rPr>
        <w:t>po jego otrzymaniu.</w:t>
      </w:r>
    </w:p>
    <w:p w14:paraId="18379F32" w14:textId="0BCE1445" w:rsidR="00C42DAF" w:rsidRPr="00AE3F1B" w:rsidRDefault="00577ECF" w:rsidP="00175586">
      <w:pPr>
        <w:spacing w:after="192" w:line="253" w:lineRule="auto"/>
        <w:ind w:left="567" w:right="-3" w:hanging="567"/>
        <w:jc w:val="left"/>
        <w:rPr>
          <w:rFonts w:ascii="Garamond" w:hAnsi="Garamond"/>
          <w:sz w:val="24"/>
          <w:szCs w:val="24"/>
        </w:rPr>
      </w:pPr>
      <w:r>
        <w:rPr>
          <w:rFonts w:ascii="Garamond" w:hAnsi="Garamond"/>
          <w:sz w:val="24"/>
          <w:szCs w:val="24"/>
        </w:rPr>
        <w:t>II</w:t>
      </w:r>
      <w:r w:rsidR="00C42DAF" w:rsidRPr="00AE3F1B">
        <w:rPr>
          <w:rFonts w:ascii="Garamond" w:hAnsi="Garamond"/>
          <w:sz w:val="24"/>
          <w:szCs w:val="24"/>
        </w:rPr>
        <w:t>.</w:t>
      </w:r>
      <w:r w:rsidR="00934120">
        <w:rPr>
          <w:rFonts w:ascii="Garamond" w:hAnsi="Garamond"/>
          <w:sz w:val="24"/>
          <w:szCs w:val="24"/>
        </w:rPr>
        <w:t>5</w:t>
      </w:r>
      <w:r w:rsidR="00C42DAF" w:rsidRPr="00AE3F1B">
        <w:rPr>
          <w:rFonts w:ascii="Garamond" w:hAnsi="Garamond"/>
          <w:sz w:val="24"/>
          <w:szCs w:val="24"/>
        </w:rPr>
        <w:t>.7.1.</w:t>
      </w:r>
      <w:r w:rsidR="00586005">
        <w:rPr>
          <w:rFonts w:ascii="Garamond" w:hAnsi="Garamond"/>
          <w:sz w:val="24"/>
          <w:szCs w:val="24"/>
        </w:rPr>
        <w:t>20</w:t>
      </w:r>
      <w:r w:rsidR="00C42DAF" w:rsidRPr="00AE3F1B">
        <w:rPr>
          <w:rFonts w:ascii="Garamond" w:hAnsi="Garamond"/>
          <w:sz w:val="24"/>
          <w:szCs w:val="24"/>
        </w:rPr>
        <w:t xml:space="preserve">. Jeżeli ID Sp. z o.o. nie jest właścicielem układu pomiarowego, to zwraca </w:t>
      </w:r>
      <w:r w:rsidR="00C42DAF" w:rsidRPr="00AE3F1B">
        <w:rPr>
          <w:rFonts w:ascii="Garamond" w:hAnsi="Garamond"/>
          <w:noProof/>
          <w:sz w:val="24"/>
          <w:szCs w:val="24"/>
          <w:lang w:eastAsia="pl-PL"/>
        </w:rPr>
        <w:drawing>
          <wp:inline distT="0" distB="0" distL="0" distR="0" wp14:anchorId="7DF0B095" wp14:editId="15B33F8A">
            <wp:extent cx="4569" cy="4568"/>
            <wp:effectExtent l="0" t="0" r="0" b="0"/>
            <wp:docPr id="102970" name="Picture 102970"/>
            <wp:cNvGraphicFramePr/>
            <a:graphic xmlns:a="http://schemas.openxmlformats.org/drawingml/2006/main">
              <a:graphicData uri="http://schemas.openxmlformats.org/drawingml/2006/picture">
                <pic:pic xmlns:pic="http://schemas.openxmlformats.org/drawingml/2006/picture">
                  <pic:nvPicPr>
                    <pic:cNvPr id="102970" name="Picture 102970"/>
                    <pic:cNvPicPr/>
                  </pic:nvPicPr>
                  <pic:blipFill>
                    <a:blip r:embed="rId10"/>
                    <a:stretch>
                      <a:fillRect/>
                    </a:stretch>
                  </pic:blipFill>
                  <pic:spPr>
                    <a:xfrm>
                      <a:off x="0" y="0"/>
                      <a:ext cx="4569" cy="4568"/>
                    </a:xfrm>
                    <a:prstGeom prst="rect">
                      <a:avLst/>
                    </a:prstGeom>
                  </pic:spPr>
                </pic:pic>
              </a:graphicData>
            </a:graphic>
          </wp:inline>
        </w:drawing>
      </w:r>
      <w:r w:rsidR="00C42DAF" w:rsidRPr="00AE3F1B">
        <w:rPr>
          <w:rFonts w:ascii="Garamond" w:hAnsi="Garamond"/>
          <w:sz w:val="24"/>
          <w:szCs w:val="24"/>
        </w:rPr>
        <w:t xml:space="preserve">zdemontowany element układu pomiarowego właścicielowi w terminie do 60-go dnia, od dnia jego otrzymania od podmiotu wykonującego laboratoryjne sprawdzenie prawidłowości jego działania, o ile żadna ze Stron nie wystąpi z wnioskiem, o którym mowa w pkt. </w:t>
      </w:r>
      <w:r w:rsidR="006A0092">
        <w:rPr>
          <w:rFonts w:ascii="Garamond" w:hAnsi="Garamond"/>
          <w:sz w:val="24"/>
          <w:szCs w:val="24"/>
        </w:rPr>
        <w:t>II</w:t>
      </w:r>
      <w:r w:rsidR="00C42DAF" w:rsidRPr="00AE3F1B">
        <w:rPr>
          <w:rFonts w:ascii="Garamond" w:hAnsi="Garamond"/>
          <w:sz w:val="24"/>
          <w:szCs w:val="24"/>
        </w:rPr>
        <w:t>.</w:t>
      </w:r>
      <w:r w:rsidR="001F2207">
        <w:rPr>
          <w:rFonts w:ascii="Garamond" w:hAnsi="Garamond"/>
          <w:sz w:val="24"/>
          <w:szCs w:val="24"/>
        </w:rPr>
        <w:t>5</w:t>
      </w:r>
      <w:r w:rsidR="00C42DAF" w:rsidRPr="00AE3F1B">
        <w:rPr>
          <w:rFonts w:ascii="Garamond" w:hAnsi="Garamond"/>
          <w:sz w:val="24"/>
          <w:szCs w:val="24"/>
        </w:rPr>
        <w:t>.7.1.2</w:t>
      </w:r>
      <w:r w:rsidR="00586005">
        <w:rPr>
          <w:rFonts w:ascii="Garamond" w:hAnsi="Garamond"/>
          <w:sz w:val="24"/>
          <w:szCs w:val="24"/>
        </w:rPr>
        <w:t>3</w:t>
      </w:r>
      <w:r w:rsidR="00C42DAF" w:rsidRPr="00AE3F1B">
        <w:rPr>
          <w:rFonts w:ascii="Garamond" w:hAnsi="Garamond"/>
          <w:sz w:val="24"/>
          <w:szCs w:val="24"/>
        </w:rPr>
        <w:t>.</w:t>
      </w:r>
    </w:p>
    <w:p w14:paraId="28E2FBFC" w14:textId="030A4EF8" w:rsidR="00C42DAF" w:rsidRPr="00AE3F1B" w:rsidRDefault="00577ECF" w:rsidP="00175586">
      <w:pPr>
        <w:spacing w:after="183" w:line="253" w:lineRule="auto"/>
        <w:ind w:left="567" w:right="-3" w:hanging="567"/>
        <w:jc w:val="left"/>
        <w:rPr>
          <w:rFonts w:ascii="Garamond" w:hAnsi="Garamond"/>
          <w:sz w:val="24"/>
          <w:szCs w:val="24"/>
        </w:rPr>
      </w:pPr>
      <w:r>
        <w:rPr>
          <w:rFonts w:ascii="Garamond" w:hAnsi="Garamond"/>
          <w:sz w:val="24"/>
          <w:szCs w:val="24"/>
        </w:rPr>
        <w:t>II</w:t>
      </w:r>
      <w:r w:rsidR="00C42DAF" w:rsidRPr="00AE3F1B">
        <w:rPr>
          <w:rFonts w:ascii="Garamond" w:hAnsi="Garamond"/>
          <w:sz w:val="24"/>
          <w:szCs w:val="24"/>
        </w:rPr>
        <w:t>.</w:t>
      </w:r>
      <w:r w:rsidR="00934120">
        <w:rPr>
          <w:rFonts w:ascii="Garamond" w:hAnsi="Garamond"/>
          <w:sz w:val="24"/>
          <w:szCs w:val="24"/>
        </w:rPr>
        <w:t>5</w:t>
      </w:r>
      <w:r w:rsidR="00C42DAF" w:rsidRPr="00AE3F1B">
        <w:rPr>
          <w:rFonts w:ascii="Garamond" w:hAnsi="Garamond"/>
          <w:sz w:val="24"/>
          <w:szCs w:val="24"/>
        </w:rPr>
        <w:t>.7.1.</w:t>
      </w:r>
      <w:r w:rsidR="00586005">
        <w:rPr>
          <w:rFonts w:ascii="Garamond" w:hAnsi="Garamond"/>
          <w:sz w:val="24"/>
          <w:szCs w:val="24"/>
        </w:rPr>
        <w:t>21</w:t>
      </w:r>
      <w:r w:rsidR="00C42DAF" w:rsidRPr="00AE3F1B">
        <w:rPr>
          <w:rFonts w:ascii="Garamond" w:hAnsi="Garamond"/>
          <w:sz w:val="24"/>
          <w:szCs w:val="24"/>
        </w:rPr>
        <w:t>. W ciągu 30-stu dni od dnia otrzymania kopii wyniku badania laboratoryjnego, każda ze Stron umowy o świadczenie usług dystrybucji lub umowy kompleksowej może zlecić wykonanie dodatkowej ekspertyzy badanego uprzednio zdemontowanego elementu układu pomiarowego ID Sp. z o.o. umożliwia przeprowadzenie takiej ekspertyzy.</w:t>
      </w:r>
    </w:p>
    <w:p w14:paraId="26E9BC94" w14:textId="45F6FD77" w:rsidR="00C42DAF" w:rsidRPr="00AE3F1B" w:rsidRDefault="00577ECF" w:rsidP="00175586">
      <w:pPr>
        <w:spacing w:after="182" w:line="253" w:lineRule="auto"/>
        <w:ind w:left="567" w:right="-3" w:hanging="567"/>
        <w:jc w:val="left"/>
        <w:rPr>
          <w:rFonts w:ascii="Garamond" w:hAnsi="Garamond"/>
          <w:sz w:val="24"/>
          <w:szCs w:val="24"/>
        </w:rPr>
      </w:pPr>
      <w:r>
        <w:rPr>
          <w:rFonts w:ascii="Garamond" w:hAnsi="Garamond"/>
          <w:sz w:val="24"/>
          <w:szCs w:val="24"/>
        </w:rPr>
        <w:t>II</w:t>
      </w:r>
      <w:r w:rsidR="00C42DAF" w:rsidRPr="00AE3F1B">
        <w:rPr>
          <w:rFonts w:ascii="Garamond" w:hAnsi="Garamond"/>
          <w:sz w:val="24"/>
          <w:szCs w:val="24"/>
        </w:rPr>
        <w:t>.</w:t>
      </w:r>
      <w:r w:rsidR="00934120">
        <w:rPr>
          <w:rFonts w:ascii="Garamond" w:hAnsi="Garamond"/>
          <w:sz w:val="24"/>
          <w:szCs w:val="24"/>
        </w:rPr>
        <w:t>5</w:t>
      </w:r>
      <w:r w:rsidR="00C42DAF" w:rsidRPr="00AE3F1B">
        <w:rPr>
          <w:rFonts w:ascii="Garamond" w:hAnsi="Garamond"/>
          <w:sz w:val="24"/>
          <w:szCs w:val="24"/>
        </w:rPr>
        <w:t>.7.1.</w:t>
      </w:r>
      <w:r w:rsidR="00586005">
        <w:rPr>
          <w:rFonts w:ascii="Garamond" w:hAnsi="Garamond"/>
          <w:sz w:val="24"/>
          <w:szCs w:val="24"/>
        </w:rPr>
        <w:t>22</w:t>
      </w:r>
      <w:r w:rsidR="00C42DAF" w:rsidRPr="00AE3F1B">
        <w:rPr>
          <w:rFonts w:ascii="Garamond" w:hAnsi="Garamond"/>
          <w:sz w:val="24"/>
          <w:szCs w:val="24"/>
        </w:rPr>
        <w:t xml:space="preserve">. Koszt ekspertyzy, o której mowa w pkt. </w:t>
      </w:r>
      <w:r w:rsidR="006A0092">
        <w:rPr>
          <w:rFonts w:ascii="Garamond" w:hAnsi="Garamond"/>
          <w:sz w:val="24"/>
          <w:szCs w:val="24"/>
        </w:rPr>
        <w:t>II</w:t>
      </w:r>
      <w:r w:rsidR="00C42DAF" w:rsidRPr="00AE3F1B">
        <w:rPr>
          <w:rFonts w:ascii="Garamond" w:hAnsi="Garamond"/>
          <w:sz w:val="24"/>
          <w:szCs w:val="24"/>
        </w:rPr>
        <w:t>.</w:t>
      </w:r>
      <w:r w:rsidR="001F2207">
        <w:rPr>
          <w:rFonts w:ascii="Garamond" w:hAnsi="Garamond"/>
          <w:sz w:val="24"/>
          <w:szCs w:val="24"/>
        </w:rPr>
        <w:t>5</w:t>
      </w:r>
      <w:r w:rsidR="00C42DAF" w:rsidRPr="00AE3F1B">
        <w:rPr>
          <w:rFonts w:ascii="Garamond" w:hAnsi="Garamond"/>
          <w:sz w:val="24"/>
          <w:szCs w:val="24"/>
        </w:rPr>
        <w:t>.7.1.</w:t>
      </w:r>
      <w:r w:rsidR="00586005">
        <w:rPr>
          <w:rFonts w:ascii="Garamond" w:hAnsi="Garamond"/>
          <w:sz w:val="24"/>
          <w:szCs w:val="24"/>
        </w:rPr>
        <w:t>18</w:t>
      </w:r>
      <w:r w:rsidR="00C42DAF" w:rsidRPr="00AE3F1B">
        <w:rPr>
          <w:rFonts w:ascii="Garamond" w:hAnsi="Garamond"/>
          <w:sz w:val="24"/>
          <w:szCs w:val="24"/>
        </w:rPr>
        <w:t>. pokrywa podmiot, który wnioskuje o jej przeprowadzenie.</w:t>
      </w:r>
    </w:p>
    <w:p w14:paraId="6FF43EEC" w14:textId="620EA417" w:rsidR="00C42DAF" w:rsidRPr="00AE3F1B" w:rsidRDefault="00577ECF" w:rsidP="00175586">
      <w:pPr>
        <w:spacing w:after="220" w:line="226" w:lineRule="auto"/>
        <w:ind w:left="567" w:right="-3" w:hanging="567"/>
        <w:jc w:val="left"/>
        <w:rPr>
          <w:rFonts w:ascii="Garamond" w:hAnsi="Garamond"/>
          <w:sz w:val="24"/>
          <w:szCs w:val="24"/>
        </w:rPr>
      </w:pPr>
      <w:r>
        <w:rPr>
          <w:rFonts w:ascii="Garamond" w:hAnsi="Garamond"/>
          <w:sz w:val="24"/>
          <w:szCs w:val="24"/>
        </w:rPr>
        <w:t>II</w:t>
      </w:r>
      <w:r w:rsidR="00C42DAF" w:rsidRPr="00AE3F1B">
        <w:rPr>
          <w:rFonts w:ascii="Garamond" w:hAnsi="Garamond"/>
          <w:sz w:val="24"/>
          <w:szCs w:val="24"/>
        </w:rPr>
        <w:t>.</w:t>
      </w:r>
      <w:r w:rsidR="00934120">
        <w:rPr>
          <w:rFonts w:ascii="Garamond" w:hAnsi="Garamond"/>
          <w:sz w:val="24"/>
          <w:szCs w:val="24"/>
        </w:rPr>
        <w:t>5</w:t>
      </w:r>
      <w:r w:rsidR="00C42DAF" w:rsidRPr="00AE3F1B">
        <w:rPr>
          <w:rFonts w:ascii="Garamond" w:hAnsi="Garamond"/>
          <w:sz w:val="24"/>
          <w:szCs w:val="24"/>
        </w:rPr>
        <w:t>.7.1.</w:t>
      </w:r>
      <w:r w:rsidR="00586005">
        <w:rPr>
          <w:rFonts w:ascii="Garamond" w:hAnsi="Garamond"/>
          <w:sz w:val="24"/>
          <w:szCs w:val="24"/>
        </w:rPr>
        <w:t>23</w:t>
      </w:r>
      <w:r>
        <w:rPr>
          <w:rFonts w:ascii="Garamond" w:hAnsi="Garamond"/>
          <w:sz w:val="24"/>
          <w:szCs w:val="24"/>
        </w:rPr>
        <w:t xml:space="preserve">. </w:t>
      </w:r>
      <w:r w:rsidR="00C42DAF" w:rsidRPr="00AE3F1B">
        <w:rPr>
          <w:rFonts w:ascii="Garamond" w:hAnsi="Garamond"/>
          <w:sz w:val="24"/>
          <w:szCs w:val="24"/>
        </w:rPr>
        <w:t>W okresie zdemontowania elementu układu pomiarowego, właściciel układu pomiarowego zapewni zastępczy element układu pomiarowego, którym będzie spełniał wymagania techniczne określone w niniejszej</w:t>
      </w:r>
      <w:r w:rsidR="00FF23BB">
        <w:rPr>
          <w:rFonts w:ascii="Garamond" w:hAnsi="Garamond"/>
          <w:sz w:val="24"/>
          <w:szCs w:val="24"/>
        </w:rPr>
        <w:t xml:space="preserve"> </w:t>
      </w:r>
      <w:r w:rsidR="00FF23BB" w:rsidRPr="00FF23BB">
        <w:rPr>
          <w:rFonts w:ascii="Garamond" w:hAnsi="Garamond"/>
          <w:sz w:val="24"/>
          <w:szCs w:val="24"/>
        </w:rPr>
        <w:t>IRiESD</w:t>
      </w:r>
      <w:r w:rsidR="00C42DAF" w:rsidRPr="00AE3F1B">
        <w:rPr>
          <w:rFonts w:ascii="Garamond" w:hAnsi="Garamond"/>
          <w:sz w:val="24"/>
          <w:szCs w:val="24"/>
        </w:rPr>
        <w:t>. W uzasadnionych przypadkach, na okres zdemontowania elementu układu pomiarowego, ID Sp. z o.o. może odpłatnie użyczyć zastępczy element układu pomiarowego.</w:t>
      </w:r>
    </w:p>
    <w:p w14:paraId="081ED6AE" w14:textId="113AF5DC" w:rsidR="00C42DAF" w:rsidRPr="00AE3F1B" w:rsidRDefault="00934120" w:rsidP="00175586">
      <w:pPr>
        <w:spacing w:after="209" w:line="253" w:lineRule="auto"/>
        <w:ind w:left="567" w:right="-3" w:hanging="567"/>
        <w:jc w:val="left"/>
        <w:rPr>
          <w:rFonts w:ascii="Garamond" w:hAnsi="Garamond"/>
          <w:sz w:val="24"/>
          <w:szCs w:val="24"/>
        </w:rPr>
      </w:pPr>
      <w:r>
        <w:rPr>
          <w:rFonts w:ascii="Garamond" w:hAnsi="Garamond"/>
          <w:sz w:val="24"/>
          <w:szCs w:val="24"/>
        </w:rPr>
        <w:t>II</w:t>
      </w:r>
      <w:r w:rsidR="00C42DAF" w:rsidRPr="00AE3F1B">
        <w:rPr>
          <w:rFonts w:ascii="Garamond" w:hAnsi="Garamond"/>
          <w:sz w:val="24"/>
          <w:szCs w:val="24"/>
        </w:rPr>
        <w:t>.</w:t>
      </w:r>
      <w:r>
        <w:rPr>
          <w:rFonts w:ascii="Garamond" w:hAnsi="Garamond"/>
          <w:sz w:val="24"/>
          <w:szCs w:val="24"/>
        </w:rPr>
        <w:t>5</w:t>
      </w:r>
      <w:r w:rsidR="00C42DAF" w:rsidRPr="00AE3F1B">
        <w:rPr>
          <w:rFonts w:ascii="Garamond" w:hAnsi="Garamond"/>
          <w:sz w:val="24"/>
          <w:szCs w:val="24"/>
        </w:rPr>
        <w:t>.7.1.</w:t>
      </w:r>
      <w:r w:rsidR="00586005">
        <w:rPr>
          <w:rFonts w:ascii="Garamond" w:hAnsi="Garamond"/>
          <w:sz w:val="24"/>
          <w:szCs w:val="24"/>
        </w:rPr>
        <w:t>24</w:t>
      </w:r>
      <w:r w:rsidR="00C42DAF" w:rsidRPr="00AE3F1B">
        <w:rPr>
          <w:rFonts w:ascii="Garamond" w:hAnsi="Garamond"/>
          <w:sz w:val="24"/>
          <w:szCs w:val="24"/>
        </w:rPr>
        <w:t xml:space="preserve">. W przypadku stwierdzenia nieprawidłowości w działaniu układu pomiarowego, </w:t>
      </w:r>
      <w:r w:rsidR="00645717">
        <w:rPr>
          <w:rFonts w:ascii="Garamond" w:hAnsi="Garamond"/>
          <w:sz w:val="24"/>
          <w:szCs w:val="24"/>
        </w:rPr>
        <w:br/>
      </w:r>
      <w:r w:rsidR="00C42DAF" w:rsidRPr="00AE3F1B">
        <w:rPr>
          <w:rFonts w:ascii="Garamond" w:hAnsi="Garamond"/>
          <w:sz w:val="24"/>
          <w:szCs w:val="24"/>
        </w:rPr>
        <w:t xml:space="preserve">z wyłączeniem nielegalnego poboru energii elektrycznej, właściciel układu pomiarowego zwraca koszty, o których mowa w pkt. </w:t>
      </w:r>
      <w:r w:rsidR="006A0092">
        <w:rPr>
          <w:rFonts w:ascii="Garamond" w:hAnsi="Garamond"/>
          <w:sz w:val="24"/>
          <w:szCs w:val="24"/>
        </w:rPr>
        <w:t>II</w:t>
      </w:r>
      <w:r w:rsidR="00C42DAF" w:rsidRPr="00AE3F1B">
        <w:rPr>
          <w:rFonts w:ascii="Garamond" w:hAnsi="Garamond"/>
          <w:sz w:val="24"/>
          <w:szCs w:val="24"/>
        </w:rPr>
        <w:t>.</w:t>
      </w:r>
      <w:r w:rsidR="001F2207">
        <w:rPr>
          <w:rFonts w:ascii="Garamond" w:hAnsi="Garamond"/>
          <w:sz w:val="24"/>
          <w:szCs w:val="24"/>
        </w:rPr>
        <w:t>5</w:t>
      </w:r>
      <w:r w:rsidR="00C42DAF" w:rsidRPr="00AE3F1B">
        <w:rPr>
          <w:rFonts w:ascii="Garamond" w:hAnsi="Garamond"/>
          <w:sz w:val="24"/>
          <w:szCs w:val="24"/>
        </w:rPr>
        <w:t>.7.1.</w:t>
      </w:r>
      <w:r w:rsidR="00586005">
        <w:rPr>
          <w:rFonts w:ascii="Garamond" w:hAnsi="Garamond"/>
          <w:sz w:val="24"/>
          <w:szCs w:val="24"/>
        </w:rPr>
        <w:t>18</w:t>
      </w:r>
      <w:r w:rsidR="00C42DAF" w:rsidRPr="00AE3F1B">
        <w:rPr>
          <w:rFonts w:ascii="Garamond" w:hAnsi="Garamond"/>
          <w:sz w:val="24"/>
          <w:szCs w:val="24"/>
        </w:rPr>
        <w:t xml:space="preserve">. i </w:t>
      </w:r>
      <w:r w:rsidR="006A0092">
        <w:rPr>
          <w:rFonts w:ascii="Garamond" w:hAnsi="Garamond"/>
          <w:sz w:val="24"/>
          <w:szCs w:val="24"/>
        </w:rPr>
        <w:t>II</w:t>
      </w:r>
      <w:r w:rsidR="00C42DAF" w:rsidRPr="00AE3F1B">
        <w:rPr>
          <w:rFonts w:ascii="Garamond" w:hAnsi="Garamond"/>
          <w:sz w:val="24"/>
          <w:szCs w:val="24"/>
        </w:rPr>
        <w:t>.</w:t>
      </w:r>
      <w:r w:rsidR="001F2207">
        <w:rPr>
          <w:rFonts w:ascii="Garamond" w:hAnsi="Garamond"/>
          <w:sz w:val="24"/>
          <w:szCs w:val="24"/>
        </w:rPr>
        <w:t>5</w:t>
      </w:r>
      <w:r w:rsidR="00C42DAF" w:rsidRPr="00AE3F1B">
        <w:rPr>
          <w:rFonts w:ascii="Garamond" w:hAnsi="Garamond"/>
          <w:sz w:val="24"/>
          <w:szCs w:val="24"/>
        </w:rPr>
        <w:t>.7.1.</w:t>
      </w:r>
      <w:r w:rsidR="00586005">
        <w:rPr>
          <w:rFonts w:ascii="Garamond" w:hAnsi="Garamond"/>
          <w:sz w:val="24"/>
          <w:szCs w:val="24"/>
        </w:rPr>
        <w:t>22</w:t>
      </w:r>
      <w:r w:rsidR="00C42DAF" w:rsidRPr="00AE3F1B">
        <w:rPr>
          <w:rFonts w:ascii="Garamond" w:hAnsi="Garamond"/>
          <w:sz w:val="24"/>
          <w:szCs w:val="24"/>
        </w:rPr>
        <w:t xml:space="preserve">., a ID Sp. z o.o. dokonuje korekty dostarczonej/odebranej energii elektrycznej, na podstawie której dokonywane są korekty rozliczeń pomiędzy podmiotami prowadzącymi rozliczenia tego podmiotu, o ile do rozliczeń </w:t>
      </w:r>
      <w:r w:rsidR="00645717">
        <w:rPr>
          <w:rFonts w:ascii="Garamond" w:hAnsi="Garamond"/>
          <w:sz w:val="24"/>
          <w:szCs w:val="24"/>
        </w:rPr>
        <w:br/>
      </w:r>
      <w:r w:rsidR="00C42DAF" w:rsidRPr="00AE3F1B">
        <w:rPr>
          <w:rFonts w:ascii="Garamond" w:hAnsi="Garamond"/>
          <w:sz w:val="24"/>
          <w:szCs w:val="24"/>
        </w:rPr>
        <w:t>nie można było wykorzystać wskazań innego układu pomiarowego.</w:t>
      </w:r>
    </w:p>
    <w:p w14:paraId="221E76E7" w14:textId="1E9E4A98" w:rsidR="00C42DAF" w:rsidRPr="00AE3F1B" w:rsidRDefault="00577ECF" w:rsidP="00175586">
      <w:pPr>
        <w:spacing w:after="200" w:line="253" w:lineRule="auto"/>
        <w:ind w:left="567" w:right="-3" w:hanging="567"/>
        <w:jc w:val="left"/>
        <w:rPr>
          <w:rFonts w:ascii="Garamond" w:hAnsi="Garamond"/>
          <w:sz w:val="24"/>
          <w:szCs w:val="24"/>
        </w:rPr>
      </w:pPr>
      <w:r>
        <w:rPr>
          <w:rFonts w:ascii="Garamond" w:hAnsi="Garamond"/>
          <w:sz w:val="24"/>
          <w:szCs w:val="24"/>
        </w:rPr>
        <w:t>II</w:t>
      </w:r>
      <w:r w:rsidR="00C42DAF" w:rsidRPr="00AE3F1B">
        <w:rPr>
          <w:rFonts w:ascii="Garamond" w:hAnsi="Garamond"/>
          <w:sz w:val="24"/>
          <w:szCs w:val="24"/>
        </w:rPr>
        <w:t>.</w:t>
      </w:r>
      <w:r w:rsidR="00934120">
        <w:rPr>
          <w:rFonts w:ascii="Garamond" w:hAnsi="Garamond"/>
          <w:sz w:val="24"/>
          <w:szCs w:val="24"/>
        </w:rPr>
        <w:t>5</w:t>
      </w:r>
      <w:r w:rsidR="00C42DAF" w:rsidRPr="00AE3F1B">
        <w:rPr>
          <w:rFonts w:ascii="Garamond" w:hAnsi="Garamond"/>
          <w:sz w:val="24"/>
          <w:szCs w:val="24"/>
        </w:rPr>
        <w:t>.7.1.</w:t>
      </w:r>
      <w:r w:rsidR="00586005">
        <w:rPr>
          <w:rFonts w:ascii="Garamond" w:hAnsi="Garamond"/>
          <w:sz w:val="24"/>
          <w:szCs w:val="24"/>
        </w:rPr>
        <w:t>25</w:t>
      </w:r>
      <w:r w:rsidR="00C42DAF" w:rsidRPr="00AE3F1B">
        <w:rPr>
          <w:rFonts w:ascii="Garamond" w:hAnsi="Garamond"/>
          <w:sz w:val="24"/>
          <w:szCs w:val="24"/>
        </w:rPr>
        <w:t xml:space="preserve">. W przypadku stwierdzenia poprawności w działaniu układu pomiarowego energii elektrycznej, strona wnioskująca o sprawdzenie układu pomiarowego pokrywa uzasadnione </w:t>
      </w:r>
      <w:r w:rsidR="00C42DAF" w:rsidRPr="00AE3F1B">
        <w:rPr>
          <w:rFonts w:ascii="Garamond" w:hAnsi="Garamond"/>
          <w:sz w:val="24"/>
          <w:szCs w:val="24"/>
        </w:rPr>
        <w:lastRenderedPageBreak/>
        <w:t>koszty związane z demontażem, montażem i wypożyczeniem zastępczego elementu układu pomiarowego.</w:t>
      </w:r>
    </w:p>
    <w:p w14:paraId="10AA57EB" w14:textId="70E788F5" w:rsidR="00586005" w:rsidRPr="00AE3F1B" w:rsidRDefault="00577ECF" w:rsidP="000829BF">
      <w:pPr>
        <w:spacing w:after="189" w:line="253" w:lineRule="auto"/>
        <w:ind w:left="567" w:right="-3" w:hanging="567"/>
        <w:jc w:val="left"/>
        <w:rPr>
          <w:rFonts w:ascii="Garamond" w:hAnsi="Garamond"/>
          <w:sz w:val="24"/>
          <w:szCs w:val="24"/>
        </w:rPr>
      </w:pPr>
      <w:r>
        <w:rPr>
          <w:rFonts w:ascii="Garamond" w:hAnsi="Garamond"/>
          <w:sz w:val="24"/>
          <w:szCs w:val="24"/>
        </w:rPr>
        <w:t>II</w:t>
      </w:r>
      <w:r w:rsidR="00C42DAF" w:rsidRPr="00AE3F1B">
        <w:rPr>
          <w:rFonts w:ascii="Garamond" w:hAnsi="Garamond"/>
          <w:sz w:val="24"/>
          <w:szCs w:val="24"/>
        </w:rPr>
        <w:t>.</w:t>
      </w:r>
      <w:r w:rsidR="00934120">
        <w:rPr>
          <w:rFonts w:ascii="Garamond" w:hAnsi="Garamond"/>
          <w:sz w:val="24"/>
          <w:szCs w:val="24"/>
        </w:rPr>
        <w:t>5</w:t>
      </w:r>
      <w:r w:rsidR="00C42DAF" w:rsidRPr="00AE3F1B">
        <w:rPr>
          <w:rFonts w:ascii="Garamond" w:hAnsi="Garamond"/>
          <w:sz w:val="24"/>
          <w:szCs w:val="24"/>
        </w:rPr>
        <w:t>.7.1.</w:t>
      </w:r>
      <w:r w:rsidR="00586005">
        <w:rPr>
          <w:rFonts w:ascii="Garamond" w:hAnsi="Garamond"/>
          <w:sz w:val="24"/>
          <w:szCs w:val="24"/>
        </w:rPr>
        <w:t>26</w:t>
      </w:r>
      <w:r w:rsidR="00C42DAF" w:rsidRPr="00AE3F1B">
        <w:rPr>
          <w:rFonts w:ascii="Garamond" w:hAnsi="Garamond"/>
          <w:sz w:val="24"/>
          <w:szCs w:val="24"/>
        </w:rPr>
        <w:t>. W przypadku wymiany układu pomiarowego lub jego elementu w trakcie dostarczania energii elektrycznej, a także po zakończeniu jej dostarczania, ID Sp. z o.o. wydaje odbiorcy/wytwórcy dokument zawierający dane identyfikujące układ pomiarowy i stan wskazań licznika w chwili demontażu.</w:t>
      </w:r>
    </w:p>
    <w:p w14:paraId="54748F2E" w14:textId="1EAE7D7B" w:rsidR="00CE3642" w:rsidRPr="0003418D" w:rsidRDefault="00577ECF" w:rsidP="00175586">
      <w:pPr>
        <w:tabs>
          <w:tab w:val="center" w:pos="5162"/>
        </w:tabs>
        <w:spacing w:after="16" w:line="248" w:lineRule="auto"/>
        <w:ind w:left="567" w:right="-3" w:hanging="567"/>
        <w:jc w:val="left"/>
        <w:rPr>
          <w:rFonts w:asciiTheme="majorHAnsi" w:hAnsiTheme="majorHAnsi"/>
          <w:b/>
          <w:bCs/>
          <w:sz w:val="24"/>
          <w:szCs w:val="24"/>
        </w:rPr>
      </w:pPr>
      <w:r w:rsidRPr="0003418D">
        <w:rPr>
          <w:rFonts w:asciiTheme="majorHAnsi" w:hAnsiTheme="majorHAnsi"/>
          <w:b/>
          <w:bCs/>
          <w:sz w:val="24"/>
          <w:szCs w:val="24"/>
        </w:rPr>
        <w:t>II</w:t>
      </w:r>
      <w:r w:rsidR="00CE3642" w:rsidRPr="0003418D">
        <w:rPr>
          <w:rFonts w:asciiTheme="majorHAnsi" w:hAnsiTheme="majorHAnsi"/>
          <w:b/>
          <w:bCs/>
          <w:sz w:val="24"/>
          <w:szCs w:val="24"/>
        </w:rPr>
        <w:t>.</w:t>
      </w:r>
      <w:r w:rsidR="00934120">
        <w:rPr>
          <w:rFonts w:asciiTheme="majorHAnsi" w:hAnsiTheme="majorHAnsi"/>
          <w:b/>
          <w:bCs/>
          <w:sz w:val="24"/>
          <w:szCs w:val="24"/>
        </w:rPr>
        <w:t>5</w:t>
      </w:r>
      <w:r w:rsidR="00CE3642" w:rsidRPr="0003418D">
        <w:rPr>
          <w:rFonts w:asciiTheme="majorHAnsi" w:hAnsiTheme="majorHAnsi"/>
          <w:b/>
          <w:bCs/>
          <w:sz w:val="24"/>
          <w:szCs w:val="24"/>
        </w:rPr>
        <w:t>.7.2.</w:t>
      </w:r>
      <w:r w:rsidR="00AE3F1B" w:rsidRPr="0003418D">
        <w:rPr>
          <w:rFonts w:asciiTheme="majorHAnsi" w:hAnsiTheme="majorHAnsi"/>
          <w:b/>
          <w:bCs/>
          <w:sz w:val="24"/>
          <w:szCs w:val="24"/>
        </w:rPr>
        <w:t xml:space="preserve">  Wymagania dla układów pomiarowo rozliczeniowych kategorii B</w:t>
      </w:r>
      <w:r w:rsidR="00CE3642" w:rsidRPr="0003418D">
        <w:rPr>
          <w:rFonts w:asciiTheme="majorHAnsi" w:hAnsiTheme="majorHAnsi"/>
          <w:b/>
          <w:bCs/>
          <w:sz w:val="24"/>
          <w:szCs w:val="24"/>
        </w:rPr>
        <w:tab/>
      </w:r>
    </w:p>
    <w:p w14:paraId="16A5ADBB" w14:textId="748CE47C" w:rsidR="00CE3642" w:rsidRPr="00AE3F1B" w:rsidRDefault="00CE3642" w:rsidP="008F7C7B">
      <w:pPr>
        <w:spacing w:line="253" w:lineRule="auto"/>
        <w:ind w:right="-3"/>
        <w:jc w:val="left"/>
        <w:rPr>
          <w:rFonts w:ascii="Garamond" w:hAnsi="Garamond"/>
          <w:sz w:val="24"/>
          <w:szCs w:val="24"/>
        </w:rPr>
      </w:pPr>
      <w:r w:rsidRPr="00AE3F1B">
        <w:rPr>
          <w:rFonts w:ascii="Garamond" w:hAnsi="Garamond"/>
          <w:sz w:val="24"/>
          <w:szCs w:val="24"/>
        </w:rPr>
        <w:t>Dla układów pomiarowych kategorii B</w:t>
      </w:r>
      <w:r w:rsidR="006370D7" w:rsidRPr="00AE3F1B">
        <w:rPr>
          <w:rFonts w:ascii="Garamond" w:hAnsi="Garamond"/>
          <w:sz w:val="24"/>
          <w:szCs w:val="24"/>
        </w:rPr>
        <w:t>3</w:t>
      </w:r>
      <w:r w:rsidRPr="00AE3F1B">
        <w:rPr>
          <w:rFonts w:ascii="Garamond" w:hAnsi="Garamond"/>
          <w:sz w:val="24"/>
          <w:szCs w:val="24"/>
        </w:rPr>
        <w:t xml:space="preserve">, </w:t>
      </w:r>
      <w:r w:rsidR="006370D7" w:rsidRPr="00AE3F1B">
        <w:rPr>
          <w:rFonts w:ascii="Garamond" w:hAnsi="Garamond"/>
          <w:sz w:val="24"/>
          <w:szCs w:val="24"/>
        </w:rPr>
        <w:t xml:space="preserve">B2, B1 </w:t>
      </w:r>
      <w:r w:rsidRPr="00AE3F1B">
        <w:rPr>
          <w:rFonts w:ascii="Garamond" w:hAnsi="Garamond"/>
          <w:sz w:val="24"/>
          <w:szCs w:val="24"/>
        </w:rPr>
        <w:t>powinny być spełnione następujące wymagania:</w:t>
      </w:r>
    </w:p>
    <w:p w14:paraId="6D06A67D" w14:textId="360FFCC9" w:rsidR="00CE3642" w:rsidRPr="008F7C7B" w:rsidRDefault="00CE3642">
      <w:pPr>
        <w:pStyle w:val="Akapitzlist"/>
        <w:numPr>
          <w:ilvl w:val="0"/>
          <w:numId w:val="98"/>
        </w:numPr>
        <w:spacing w:line="253" w:lineRule="auto"/>
        <w:ind w:right="-3"/>
        <w:jc w:val="left"/>
        <w:rPr>
          <w:rFonts w:ascii="Garamond" w:hAnsi="Garamond"/>
          <w:sz w:val="24"/>
          <w:szCs w:val="24"/>
        </w:rPr>
      </w:pPr>
      <w:r w:rsidRPr="008F7C7B">
        <w:rPr>
          <w:rFonts w:ascii="Garamond" w:hAnsi="Garamond"/>
          <w:sz w:val="24"/>
          <w:szCs w:val="24"/>
        </w:rPr>
        <w:t xml:space="preserve">przekładniki prądowe </w:t>
      </w:r>
      <w:r w:rsidR="006370D7" w:rsidRPr="008F7C7B">
        <w:rPr>
          <w:rFonts w:ascii="Garamond" w:hAnsi="Garamond"/>
          <w:sz w:val="24"/>
          <w:szCs w:val="24"/>
        </w:rPr>
        <w:t xml:space="preserve">mają klasę dokładności nie gorszą </w:t>
      </w:r>
      <w:r w:rsidR="00602310" w:rsidRPr="008F7C7B">
        <w:rPr>
          <w:rFonts w:ascii="Garamond" w:hAnsi="Garamond"/>
          <w:sz w:val="24"/>
          <w:szCs w:val="24"/>
        </w:rPr>
        <w:t>niż 0</w:t>
      </w:r>
      <w:r w:rsidRPr="008F7C7B">
        <w:rPr>
          <w:rFonts w:ascii="Garamond" w:hAnsi="Garamond"/>
          <w:sz w:val="24"/>
          <w:szCs w:val="24"/>
        </w:rPr>
        <w:t>,</w:t>
      </w:r>
      <w:r w:rsidR="006370D7" w:rsidRPr="008F7C7B">
        <w:rPr>
          <w:rFonts w:ascii="Garamond" w:hAnsi="Garamond"/>
          <w:sz w:val="24"/>
          <w:szCs w:val="24"/>
        </w:rPr>
        <w:t>2S,</w:t>
      </w:r>
    </w:p>
    <w:p w14:paraId="332DF528" w14:textId="1D58476D" w:rsidR="006370D7" w:rsidRPr="008F7C7B" w:rsidRDefault="006370D7">
      <w:pPr>
        <w:pStyle w:val="Akapitzlist"/>
        <w:numPr>
          <w:ilvl w:val="0"/>
          <w:numId w:val="98"/>
        </w:numPr>
        <w:spacing w:line="253" w:lineRule="auto"/>
        <w:ind w:right="-3"/>
        <w:jc w:val="left"/>
        <w:rPr>
          <w:rFonts w:ascii="Garamond" w:hAnsi="Garamond"/>
          <w:sz w:val="24"/>
          <w:szCs w:val="24"/>
        </w:rPr>
      </w:pPr>
      <w:r w:rsidRPr="008F7C7B">
        <w:rPr>
          <w:rFonts w:ascii="Garamond" w:hAnsi="Garamond"/>
          <w:sz w:val="24"/>
          <w:szCs w:val="24"/>
        </w:rPr>
        <w:t xml:space="preserve">przekładniki napięciowe mają klasę dokładności nie gorszą </w:t>
      </w:r>
      <w:r w:rsidR="00602310" w:rsidRPr="008F7C7B">
        <w:rPr>
          <w:rFonts w:ascii="Garamond" w:hAnsi="Garamond"/>
          <w:sz w:val="24"/>
          <w:szCs w:val="24"/>
        </w:rPr>
        <w:t>niż 0</w:t>
      </w:r>
      <w:r w:rsidRPr="008F7C7B">
        <w:rPr>
          <w:rFonts w:ascii="Garamond" w:hAnsi="Garamond"/>
          <w:sz w:val="24"/>
          <w:szCs w:val="24"/>
        </w:rPr>
        <w:t>,2,</w:t>
      </w:r>
    </w:p>
    <w:p w14:paraId="0522E12B" w14:textId="77777777" w:rsidR="006370D7" w:rsidRPr="008F7C7B" w:rsidRDefault="006370D7">
      <w:pPr>
        <w:pStyle w:val="Akapitzlist"/>
        <w:numPr>
          <w:ilvl w:val="0"/>
          <w:numId w:val="98"/>
        </w:numPr>
        <w:spacing w:line="253" w:lineRule="auto"/>
        <w:ind w:right="-3"/>
        <w:jc w:val="left"/>
        <w:rPr>
          <w:rFonts w:ascii="Garamond" w:hAnsi="Garamond"/>
          <w:sz w:val="24"/>
          <w:szCs w:val="24"/>
        </w:rPr>
      </w:pPr>
      <w:r w:rsidRPr="008F7C7B">
        <w:rPr>
          <w:rFonts w:ascii="Garamond" w:hAnsi="Garamond"/>
          <w:sz w:val="24"/>
          <w:szCs w:val="24"/>
        </w:rPr>
        <w:t xml:space="preserve">liczniki zdalnego odczytu mają klasę dokładności nie gorszą niż C dla pomiaru </w:t>
      </w:r>
      <w:r w:rsidRPr="008F7C7B">
        <w:rPr>
          <w:rFonts w:ascii="Garamond" w:hAnsi="Garamond"/>
          <w:sz w:val="24"/>
          <w:szCs w:val="24"/>
        </w:rPr>
        <w:br/>
        <w:t>energii czynnej i nie gorszą niż 1 lub 1S dla pomiaru energii biernej,</w:t>
      </w:r>
    </w:p>
    <w:p w14:paraId="6E286017" w14:textId="1579A417" w:rsidR="006370D7" w:rsidRPr="008F7C7B" w:rsidRDefault="006370D7">
      <w:pPr>
        <w:pStyle w:val="Akapitzlist"/>
        <w:numPr>
          <w:ilvl w:val="0"/>
          <w:numId w:val="98"/>
        </w:numPr>
        <w:spacing w:line="253" w:lineRule="auto"/>
        <w:ind w:right="-3"/>
        <w:jc w:val="left"/>
        <w:rPr>
          <w:rFonts w:ascii="Garamond" w:hAnsi="Garamond"/>
          <w:sz w:val="24"/>
          <w:szCs w:val="24"/>
        </w:rPr>
      </w:pPr>
      <w:r w:rsidRPr="008F7C7B">
        <w:rPr>
          <w:rFonts w:ascii="Garamond" w:hAnsi="Garamond"/>
          <w:sz w:val="24"/>
          <w:szCs w:val="24"/>
        </w:rPr>
        <w:t xml:space="preserve">w przypadku kategorii B3 liczniki zdalnego odczytu w układzie pomiarowo </w:t>
      </w:r>
      <w:r w:rsidRPr="008F7C7B">
        <w:rPr>
          <w:rFonts w:ascii="Garamond" w:hAnsi="Garamond"/>
          <w:sz w:val="24"/>
          <w:szCs w:val="24"/>
        </w:rPr>
        <w:br/>
        <w:t xml:space="preserve">rozliczeniowym podstawowym i rezerwowym mogą być zasilane z jednego rdzenia </w:t>
      </w:r>
      <w:r w:rsidRPr="008F7C7B">
        <w:rPr>
          <w:rFonts w:ascii="Garamond" w:hAnsi="Garamond"/>
          <w:sz w:val="24"/>
          <w:szCs w:val="24"/>
        </w:rPr>
        <w:br/>
        <w:t>lub uzwojenia przekładników.</w:t>
      </w:r>
    </w:p>
    <w:p w14:paraId="1DFB478C" w14:textId="5C73BA6E" w:rsidR="00CE3642" w:rsidRPr="0003418D" w:rsidRDefault="00577ECF" w:rsidP="00175586">
      <w:pPr>
        <w:tabs>
          <w:tab w:val="center" w:pos="4853"/>
        </w:tabs>
        <w:spacing w:after="147" w:line="253" w:lineRule="auto"/>
        <w:ind w:left="567" w:right="-3" w:hanging="567"/>
        <w:jc w:val="left"/>
        <w:rPr>
          <w:rFonts w:asciiTheme="majorHAnsi" w:hAnsiTheme="majorHAnsi"/>
          <w:b/>
          <w:bCs/>
          <w:sz w:val="24"/>
          <w:szCs w:val="24"/>
        </w:rPr>
      </w:pPr>
      <w:r w:rsidRPr="0003418D">
        <w:rPr>
          <w:rFonts w:asciiTheme="majorHAnsi" w:hAnsiTheme="majorHAnsi"/>
          <w:b/>
          <w:bCs/>
          <w:sz w:val="24"/>
          <w:szCs w:val="24"/>
        </w:rPr>
        <w:t>II</w:t>
      </w:r>
      <w:r w:rsidR="00CE3642" w:rsidRPr="0003418D">
        <w:rPr>
          <w:rFonts w:asciiTheme="majorHAnsi" w:hAnsiTheme="majorHAnsi"/>
          <w:b/>
          <w:bCs/>
          <w:sz w:val="24"/>
          <w:szCs w:val="24"/>
        </w:rPr>
        <w:t>.</w:t>
      </w:r>
      <w:r w:rsidR="00934120">
        <w:rPr>
          <w:rFonts w:asciiTheme="majorHAnsi" w:hAnsiTheme="majorHAnsi"/>
          <w:b/>
          <w:bCs/>
          <w:sz w:val="24"/>
          <w:szCs w:val="24"/>
        </w:rPr>
        <w:t>5</w:t>
      </w:r>
      <w:r w:rsidR="00CE3642" w:rsidRPr="0003418D">
        <w:rPr>
          <w:rFonts w:asciiTheme="majorHAnsi" w:hAnsiTheme="majorHAnsi"/>
          <w:b/>
          <w:bCs/>
          <w:sz w:val="24"/>
          <w:szCs w:val="24"/>
        </w:rPr>
        <w:t>.7.3.</w:t>
      </w:r>
      <w:r w:rsidR="00A675C1" w:rsidRPr="0003418D">
        <w:rPr>
          <w:rFonts w:asciiTheme="majorHAnsi" w:hAnsiTheme="majorHAnsi"/>
          <w:b/>
          <w:bCs/>
          <w:sz w:val="24"/>
          <w:szCs w:val="24"/>
        </w:rPr>
        <w:t xml:space="preserve">   Wymagania dla układów pomiarowo rozliczeniowych dla </w:t>
      </w:r>
      <w:r w:rsidR="00313325" w:rsidRPr="0003418D">
        <w:rPr>
          <w:rFonts w:asciiTheme="majorHAnsi" w:hAnsiTheme="majorHAnsi"/>
          <w:b/>
          <w:bCs/>
          <w:sz w:val="24"/>
          <w:szCs w:val="24"/>
        </w:rPr>
        <w:t>kategorii</w:t>
      </w:r>
      <w:r w:rsidR="00A675C1" w:rsidRPr="0003418D">
        <w:rPr>
          <w:rFonts w:asciiTheme="majorHAnsi" w:hAnsiTheme="majorHAnsi"/>
          <w:b/>
          <w:bCs/>
          <w:sz w:val="24"/>
          <w:szCs w:val="24"/>
        </w:rPr>
        <w:t xml:space="preserve"> C</w:t>
      </w:r>
      <w:r w:rsidR="00CE3642" w:rsidRPr="0003418D">
        <w:rPr>
          <w:rFonts w:asciiTheme="majorHAnsi" w:hAnsiTheme="majorHAnsi"/>
          <w:b/>
          <w:bCs/>
          <w:sz w:val="24"/>
          <w:szCs w:val="24"/>
        </w:rPr>
        <w:tab/>
      </w:r>
    </w:p>
    <w:p w14:paraId="4BF47CA2" w14:textId="0198AA91" w:rsidR="00CE3642" w:rsidRPr="00AE3F1B" w:rsidRDefault="00577ECF" w:rsidP="00175586">
      <w:pPr>
        <w:tabs>
          <w:tab w:val="center" w:pos="4637"/>
        </w:tabs>
        <w:spacing w:after="51" w:line="248" w:lineRule="auto"/>
        <w:ind w:left="567" w:right="-3" w:hanging="567"/>
        <w:jc w:val="left"/>
        <w:rPr>
          <w:rFonts w:ascii="Garamond" w:hAnsi="Garamond"/>
          <w:sz w:val="24"/>
          <w:szCs w:val="24"/>
        </w:rPr>
      </w:pPr>
      <w:r>
        <w:rPr>
          <w:rFonts w:ascii="Garamond" w:hAnsi="Garamond"/>
          <w:sz w:val="24"/>
          <w:szCs w:val="24"/>
        </w:rPr>
        <w:t>II</w:t>
      </w:r>
      <w:r w:rsidR="00CE3642" w:rsidRPr="00AE3F1B">
        <w:rPr>
          <w:rFonts w:ascii="Garamond" w:hAnsi="Garamond"/>
          <w:sz w:val="24"/>
          <w:szCs w:val="24"/>
        </w:rPr>
        <w:t>.</w:t>
      </w:r>
      <w:r w:rsidR="00934120">
        <w:rPr>
          <w:rFonts w:ascii="Garamond" w:hAnsi="Garamond"/>
          <w:sz w:val="24"/>
          <w:szCs w:val="24"/>
        </w:rPr>
        <w:t>5</w:t>
      </w:r>
      <w:r w:rsidR="00CE3642" w:rsidRPr="00AE3F1B">
        <w:rPr>
          <w:rFonts w:ascii="Garamond" w:hAnsi="Garamond"/>
          <w:sz w:val="24"/>
          <w:szCs w:val="24"/>
        </w:rPr>
        <w:t>.7.3.1</w:t>
      </w:r>
      <w:r w:rsidR="00CE3642" w:rsidRPr="00AE3F1B">
        <w:rPr>
          <w:rFonts w:ascii="Garamond" w:hAnsi="Garamond"/>
          <w:sz w:val="24"/>
          <w:szCs w:val="24"/>
        </w:rPr>
        <w:tab/>
      </w:r>
      <w:r w:rsidR="006370D7" w:rsidRPr="00AE3F1B">
        <w:rPr>
          <w:rFonts w:ascii="Garamond" w:hAnsi="Garamond"/>
          <w:sz w:val="24"/>
          <w:szCs w:val="24"/>
        </w:rPr>
        <w:t>Układy pomiarowo rozliczeniowe kategorii C1 spełniają następujące wymagania:</w:t>
      </w:r>
    </w:p>
    <w:p w14:paraId="7D5E2438" w14:textId="77777777" w:rsidR="006370D7" w:rsidRPr="008F7C7B" w:rsidRDefault="006370D7">
      <w:pPr>
        <w:pStyle w:val="Akapitzlist"/>
        <w:numPr>
          <w:ilvl w:val="0"/>
          <w:numId w:val="100"/>
        </w:numPr>
        <w:spacing w:line="253" w:lineRule="auto"/>
        <w:ind w:right="-3"/>
        <w:jc w:val="left"/>
        <w:rPr>
          <w:rFonts w:ascii="Garamond" w:hAnsi="Garamond"/>
          <w:sz w:val="24"/>
          <w:szCs w:val="24"/>
        </w:rPr>
      </w:pPr>
      <w:r w:rsidRPr="008F7C7B">
        <w:rPr>
          <w:rFonts w:ascii="Garamond" w:hAnsi="Garamond"/>
          <w:sz w:val="24"/>
          <w:szCs w:val="24"/>
        </w:rPr>
        <w:t>przekładniki prądowe o ile występują w układzie pomiarowo rozliczeniowym mają klasę dokładności nie gorszą niż 0,2,</w:t>
      </w:r>
    </w:p>
    <w:p w14:paraId="1FA08297" w14:textId="78D420EC" w:rsidR="006370D7" w:rsidRPr="008F7C7B" w:rsidRDefault="00A06FEE">
      <w:pPr>
        <w:pStyle w:val="Akapitzlist"/>
        <w:numPr>
          <w:ilvl w:val="0"/>
          <w:numId w:val="100"/>
        </w:numPr>
        <w:spacing w:line="253" w:lineRule="auto"/>
        <w:ind w:right="-3"/>
        <w:jc w:val="left"/>
        <w:rPr>
          <w:rFonts w:ascii="Garamond" w:hAnsi="Garamond"/>
          <w:sz w:val="24"/>
          <w:szCs w:val="24"/>
        </w:rPr>
      </w:pPr>
      <w:r w:rsidRPr="008F7C7B">
        <w:rPr>
          <w:rFonts w:ascii="Garamond" w:hAnsi="Garamond"/>
          <w:sz w:val="24"/>
          <w:szCs w:val="24"/>
        </w:rPr>
        <w:t>l</w:t>
      </w:r>
      <w:r w:rsidR="006370D7" w:rsidRPr="008F7C7B">
        <w:rPr>
          <w:rFonts w:ascii="Garamond" w:hAnsi="Garamond"/>
          <w:sz w:val="24"/>
          <w:szCs w:val="24"/>
        </w:rPr>
        <w:t xml:space="preserve">iczniki konwencjonalne i liczniki zdalnego odczytu </w:t>
      </w:r>
      <w:r w:rsidR="00934120" w:rsidRPr="008F7C7B">
        <w:rPr>
          <w:rFonts w:ascii="Garamond" w:hAnsi="Garamond"/>
          <w:sz w:val="24"/>
          <w:szCs w:val="24"/>
        </w:rPr>
        <w:t>mają</w:t>
      </w:r>
      <w:r w:rsidR="006370D7" w:rsidRPr="008F7C7B">
        <w:rPr>
          <w:rFonts w:ascii="Garamond" w:hAnsi="Garamond"/>
          <w:sz w:val="24"/>
          <w:szCs w:val="24"/>
        </w:rPr>
        <w:t xml:space="preserve"> klasę dokładności nie gorszą niż B dla pomiaru energii czynnej oraz nie gorszą niż 1 dla pomiaru energii biernej,</w:t>
      </w:r>
    </w:p>
    <w:p w14:paraId="6BBE9346" w14:textId="07A68D27" w:rsidR="00CE3642" w:rsidRPr="00AE3F1B" w:rsidRDefault="00577ECF" w:rsidP="00175586">
      <w:pPr>
        <w:tabs>
          <w:tab w:val="center" w:pos="4630"/>
        </w:tabs>
        <w:spacing w:after="173" w:line="248" w:lineRule="auto"/>
        <w:ind w:left="567" w:right="-3" w:hanging="567"/>
        <w:jc w:val="left"/>
        <w:rPr>
          <w:rFonts w:ascii="Garamond" w:hAnsi="Garamond"/>
          <w:sz w:val="24"/>
          <w:szCs w:val="24"/>
        </w:rPr>
      </w:pPr>
      <w:r>
        <w:rPr>
          <w:rFonts w:ascii="Garamond" w:hAnsi="Garamond"/>
          <w:sz w:val="24"/>
          <w:szCs w:val="24"/>
        </w:rPr>
        <w:t>II</w:t>
      </w:r>
      <w:r w:rsidR="00CE3642" w:rsidRPr="00AE3F1B">
        <w:rPr>
          <w:rFonts w:ascii="Garamond" w:hAnsi="Garamond"/>
          <w:sz w:val="24"/>
          <w:szCs w:val="24"/>
        </w:rPr>
        <w:t>.</w:t>
      </w:r>
      <w:r w:rsidR="00934120">
        <w:rPr>
          <w:rFonts w:ascii="Garamond" w:hAnsi="Garamond"/>
          <w:sz w:val="24"/>
          <w:szCs w:val="24"/>
        </w:rPr>
        <w:t>5</w:t>
      </w:r>
      <w:r w:rsidR="00CE3642" w:rsidRPr="00AE3F1B">
        <w:rPr>
          <w:rFonts w:ascii="Garamond" w:hAnsi="Garamond"/>
          <w:sz w:val="24"/>
          <w:szCs w:val="24"/>
        </w:rPr>
        <w:t>.7.3.2.</w:t>
      </w:r>
      <w:r w:rsidR="00CE3642" w:rsidRPr="00AE3F1B">
        <w:rPr>
          <w:rFonts w:ascii="Garamond" w:hAnsi="Garamond"/>
          <w:sz w:val="24"/>
          <w:szCs w:val="24"/>
        </w:rPr>
        <w:tab/>
        <w:t xml:space="preserve">Wymagania dla układów pomiarowych kategorii C2 </w:t>
      </w:r>
      <w:r w:rsidR="00A06FEE" w:rsidRPr="00AE3F1B">
        <w:rPr>
          <w:rFonts w:ascii="Garamond" w:hAnsi="Garamond"/>
          <w:sz w:val="24"/>
          <w:szCs w:val="24"/>
        </w:rPr>
        <w:t>spełniają następujące wymagania</w:t>
      </w:r>
      <w:r w:rsidR="00CE3642" w:rsidRPr="00AE3F1B">
        <w:rPr>
          <w:rFonts w:ascii="Garamond" w:hAnsi="Garamond"/>
          <w:sz w:val="24"/>
          <w:szCs w:val="24"/>
        </w:rPr>
        <w:t>:</w:t>
      </w:r>
    </w:p>
    <w:p w14:paraId="0924DC05" w14:textId="77777777" w:rsidR="00CE3642" w:rsidRPr="008F7C7B" w:rsidRDefault="00A06FEE">
      <w:pPr>
        <w:pStyle w:val="Akapitzlist"/>
        <w:numPr>
          <w:ilvl w:val="0"/>
          <w:numId w:val="101"/>
        </w:numPr>
        <w:spacing w:line="253" w:lineRule="auto"/>
        <w:ind w:right="-3"/>
        <w:jc w:val="left"/>
        <w:rPr>
          <w:rFonts w:ascii="Garamond" w:hAnsi="Garamond"/>
          <w:sz w:val="24"/>
          <w:szCs w:val="24"/>
        </w:rPr>
      </w:pPr>
      <w:r w:rsidRPr="008F7C7B">
        <w:rPr>
          <w:rFonts w:ascii="Garamond" w:hAnsi="Garamond"/>
          <w:sz w:val="24"/>
          <w:szCs w:val="24"/>
        </w:rPr>
        <w:t>przekładniki prądowe o ile występują mają klasę dokładności nie gorszą niż 0,2;</w:t>
      </w:r>
    </w:p>
    <w:p w14:paraId="66195B65" w14:textId="5D9B1184" w:rsidR="00CE3642" w:rsidRPr="008F7C7B" w:rsidRDefault="00A06FEE">
      <w:pPr>
        <w:pStyle w:val="Akapitzlist"/>
        <w:numPr>
          <w:ilvl w:val="0"/>
          <w:numId w:val="101"/>
        </w:numPr>
        <w:spacing w:line="253" w:lineRule="auto"/>
        <w:ind w:right="-3"/>
        <w:jc w:val="left"/>
        <w:rPr>
          <w:rFonts w:ascii="Garamond" w:hAnsi="Garamond"/>
          <w:sz w:val="24"/>
          <w:szCs w:val="24"/>
        </w:rPr>
      </w:pPr>
      <w:r w:rsidRPr="008F7C7B">
        <w:rPr>
          <w:rFonts w:ascii="Garamond" w:hAnsi="Garamond"/>
          <w:sz w:val="24"/>
          <w:szCs w:val="24"/>
        </w:rPr>
        <w:t xml:space="preserve">liczniki konwencjonalne i liczniki zdalnego odczytu </w:t>
      </w:r>
      <w:r w:rsidR="00934120" w:rsidRPr="008F7C7B">
        <w:rPr>
          <w:rFonts w:ascii="Garamond" w:hAnsi="Garamond"/>
          <w:sz w:val="24"/>
          <w:szCs w:val="24"/>
        </w:rPr>
        <w:t>mają</w:t>
      </w:r>
      <w:r w:rsidRPr="008F7C7B">
        <w:rPr>
          <w:rFonts w:ascii="Garamond" w:hAnsi="Garamond"/>
          <w:sz w:val="24"/>
          <w:szCs w:val="24"/>
        </w:rPr>
        <w:t xml:space="preserve"> klasę dokładności nie gorszą niż C dla pomiaru energii czynnej oraz nie gorszą niż 1 lub 1S dla pomiaru energii biernej</w:t>
      </w:r>
      <w:r w:rsidR="00CE3642" w:rsidRPr="008F7C7B">
        <w:rPr>
          <w:rFonts w:ascii="Garamond" w:hAnsi="Garamond"/>
          <w:sz w:val="24"/>
          <w:szCs w:val="24"/>
        </w:rPr>
        <w:t>,</w:t>
      </w:r>
    </w:p>
    <w:p w14:paraId="4072DEEC" w14:textId="7AFD2E32" w:rsidR="008F7C7B" w:rsidRPr="00AE3F1B" w:rsidRDefault="008F7C7B" w:rsidP="008F7C7B">
      <w:pPr>
        <w:spacing w:line="253" w:lineRule="auto"/>
        <w:ind w:left="708" w:right="-3" w:hanging="708"/>
        <w:jc w:val="left"/>
        <w:rPr>
          <w:rFonts w:ascii="Garamond" w:hAnsi="Garamond"/>
          <w:sz w:val="24"/>
          <w:szCs w:val="24"/>
        </w:rPr>
      </w:pPr>
      <w:r w:rsidRPr="00AE3F1B">
        <w:rPr>
          <w:rFonts w:ascii="Garamond" w:hAnsi="Garamond"/>
          <w:sz w:val="24"/>
          <w:szCs w:val="24"/>
        </w:rPr>
        <w:t>II.</w:t>
      </w:r>
      <w:r>
        <w:rPr>
          <w:rFonts w:ascii="Garamond" w:hAnsi="Garamond"/>
          <w:sz w:val="24"/>
          <w:szCs w:val="24"/>
        </w:rPr>
        <w:t>5</w:t>
      </w:r>
      <w:r w:rsidRPr="00AE3F1B">
        <w:rPr>
          <w:rFonts w:ascii="Garamond" w:hAnsi="Garamond"/>
          <w:sz w:val="24"/>
          <w:szCs w:val="24"/>
        </w:rPr>
        <w:t>.7.3.3.</w:t>
      </w:r>
      <w:r>
        <w:rPr>
          <w:rFonts w:ascii="Garamond" w:hAnsi="Garamond"/>
          <w:sz w:val="24"/>
          <w:szCs w:val="24"/>
        </w:rPr>
        <w:t xml:space="preserve"> </w:t>
      </w:r>
      <w:r w:rsidR="00D1071A" w:rsidRPr="00AE3F1B">
        <w:rPr>
          <w:rFonts w:ascii="Garamond" w:hAnsi="Garamond"/>
          <w:sz w:val="24"/>
          <w:szCs w:val="24"/>
        </w:rPr>
        <w:t xml:space="preserve">Wymagania dla układów pomiarowo rozliczeniowych określone w </w:t>
      </w:r>
      <w:r w:rsidR="005B3AD1" w:rsidRPr="005B3AD1">
        <w:rPr>
          <w:rFonts w:ascii="Garamond" w:hAnsi="Garamond"/>
          <w:sz w:val="24"/>
          <w:szCs w:val="24"/>
        </w:rPr>
        <w:t>IRiESD</w:t>
      </w:r>
      <w:r w:rsidR="00D1071A" w:rsidRPr="00AE3F1B">
        <w:rPr>
          <w:rFonts w:ascii="Garamond" w:hAnsi="Garamond"/>
          <w:sz w:val="24"/>
          <w:szCs w:val="24"/>
        </w:rPr>
        <w:t xml:space="preserve"> dotyczą</w:t>
      </w:r>
      <w:r>
        <w:rPr>
          <w:rFonts w:ascii="Garamond" w:hAnsi="Garamond"/>
          <w:sz w:val="24"/>
          <w:szCs w:val="24"/>
        </w:rPr>
        <w:t xml:space="preserve"> </w:t>
      </w:r>
      <w:r w:rsidR="00D1071A" w:rsidRPr="00AE3F1B">
        <w:rPr>
          <w:rFonts w:ascii="Garamond" w:hAnsi="Garamond"/>
          <w:sz w:val="24"/>
          <w:szCs w:val="24"/>
        </w:rPr>
        <w:t>układów</w:t>
      </w:r>
      <w:r>
        <w:rPr>
          <w:rFonts w:ascii="Garamond" w:hAnsi="Garamond"/>
          <w:sz w:val="24"/>
          <w:szCs w:val="24"/>
        </w:rPr>
        <w:t xml:space="preserve"> </w:t>
      </w:r>
      <w:r w:rsidR="00D1071A" w:rsidRPr="00AE3F1B">
        <w:rPr>
          <w:rFonts w:ascii="Garamond" w:hAnsi="Garamond"/>
          <w:sz w:val="24"/>
          <w:szCs w:val="24"/>
        </w:rPr>
        <w:t>pomiarowo rozliczeniowych instalowanych lub modernizowanych objętych postępowaniami przetargowymi wszczętymi po dniu wejścia w życie rozporządzenia pomiarowego.</w:t>
      </w:r>
    </w:p>
    <w:p w14:paraId="64C23B72" w14:textId="7E096141" w:rsidR="00CE3642" w:rsidRPr="0003418D" w:rsidRDefault="00D1071A" w:rsidP="00645717">
      <w:pPr>
        <w:keepNext/>
        <w:keepLines/>
        <w:tabs>
          <w:tab w:val="center" w:pos="4385"/>
        </w:tabs>
        <w:spacing w:after="16" w:line="248" w:lineRule="auto"/>
        <w:ind w:left="851" w:right="-3" w:hanging="851"/>
        <w:jc w:val="left"/>
        <w:outlineLvl w:val="0"/>
        <w:rPr>
          <w:rFonts w:asciiTheme="majorHAnsi" w:hAnsiTheme="majorHAnsi"/>
          <w:b/>
          <w:bCs/>
          <w:sz w:val="24"/>
          <w:szCs w:val="24"/>
        </w:rPr>
      </w:pPr>
      <w:bookmarkStart w:id="45" w:name="_Toc171860235"/>
      <w:bookmarkStart w:id="46" w:name="_Toc171861049"/>
      <w:r w:rsidRPr="0003418D">
        <w:rPr>
          <w:rFonts w:asciiTheme="majorHAnsi" w:hAnsiTheme="majorHAnsi"/>
          <w:b/>
          <w:bCs/>
          <w:sz w:val="24"/>
          <w:szCs w:val="24"/>
        </w:rPr>
        <w:t>II</w:t>
      </w:r>
      <w:r w:rsidR="00586005">
        <w:rPr>
          <w:rFonts w:asciiTheme="majorHAnsi" w:hAnsiTheme="majorHAnsi"/>
          <w:b/>
          <w:bCs/>
          <w:sz w:val="24"/>
          <w:szCs w:val="24"/>
        </w:rPr>
        <w:t>.</w:t>
      </w:r>
      <w:r w:rsidR="00934120">
        <w:rPr>
          <w:rFonts w:asciiTheme="majorHAnsi" w:hAnsiTheme="majorHAnsi"/>
          <w:b/>
          <w:bCs/>
          <w:sz w:val="24"/>
          <w:szCs w:val="24"/>
        </w:rPr>
        <w:t>5</w:t>
      </w:r>
      <w:r w:rsidR="00934120" w:rsidRPr="0003418D">
        <w:rPr>
          <w:rFonts w:asciiTheme="majorHAnsi" w:hAnsiTheme="majorHAnsi"/>
          <w:b/>
          <w:bCs/>
          <w:sz w:val="24"/>
          <w:szCs w:val="24"/>
        </w:rPr>
        <w:t>.8.</w:t>
      </w:r>
      <w:r w:rsidR="00934120">
        <w:rPr>
          <w:rFonts w:asciiTheme="majorHAnsi" w:hAnsiTheme="majorHAnsi"/>
          <w:b/>
          <w:bCs/>
          <w:sz w:val="24"/>
          <w:szCs w:val="24"/>
        </w:rPr>
        <w:t xml:space="preserve"> Wymagania</w:t>
      </w:r>
      <w:r w:rsidR="00DE0503" w:rsidRPr="0003418D">
        <w:rPr>
          <w:rFonts w:asciiTheme="majorHAnsi" w:hAnsiTheme="majorHAnsi"/>
          <w:b/>
          <w:bCs/>
          <w:sz w:val="24"/>
          <w:szCs w:val="24"/>
        </w:rPr>
        <w:t xml:space="preserve"> związane z systemami teletransmisyjnymi</w:t>
      </w:r>
      <w:bookmarkEnd w:id="45"/>
      <w:bookmarkEnd w:id="46"/>
    </w:p>
    <w:p w14:paraId="0A6F659A" w14:textId="250AB280" w:rsidR="00CE3642" w:rsidRPr="00AE3F1B" w:rsidRDefault="008F7C7B" w:rsidP="008F7C7B">
      <w:pPr>
        <w:spacing w:after="205" w:line="253" w:lineRule="auto"/>
        <w:ind w:left="567" w:right="-3" w:hanging="567"/>
        <w:jc w:val="left"/>
        <w:rPr>
          <w:rFonts w:ascii="Garamond" w:hAnsi="Garamond"/>
          <w:sz w:val="24"/>
          <w:szCs w:val="24"/>
        </w:rPr>
      </w:pPr>
      <w:r>
        <w:rPr>
          <w:rFonts w:ascii="Garamond" w:hAnsi="Garamond"/>
          <w:sz w:val="24"/>
          <w:szCs w:val="24"/>
        </w:rPr>
        <w:t>II</w:t>
      </w:r>
      <w:r w:rsidRPr="00AE3F1B">
        <w:rPr>
          <w:rFonts w:ascii="Garamond" w:hAnsi="Garamond"/>
          <w:sz w:val="24"/>
          <w:szCs w:val="24"/>
        </w:rPr>
        <w:t>.</w:t>
      </w:r>
      <w:r>
        <w:rPr>
          <w:rFonts w:ascii="Garamond" w:hAnsi="Garamond"/>
          <w:sz w:val="24"/>
          <w:szCs w:val="24"/>
        </w:rPr>
        <w:t>5</w:t>
      </w:r>
      <w:r w:rsidRPr="00AE3F1B">
        <w:rPr>
          <w:rFonts w:ascii="Garamond" w:hAnsi="Garamond"/>
          <w:sz w:val="24"/>
          <w:szCs w:val="24"/>
        </w:rPr>
        <w:t>.8.1.</w:t>
      </w:r>
      <w:r>
        <w:rPr>
          <w:rFonts w:ascii="Garamond" w:hAnsi="Garamond"/>
          <w:sz w:val="24"/>
          <w:szCs w:val="24"/>
        </w:rPr>
        <w:t xml:space="preserve"> </w:t>
      </w:r>
      <w:r w:rsidR="00CE3642" w:rsidRPr="00AE3F1B">
        <w:rPr>
          <w:rFonts w:ascii="Garamond" w:hAnsi="Garamond"/>
          <w:sz w:val="24"/>
          <w:szCs w:val="24"/>
        </w:rPr>
        <w:t>ID Sp. z o.o. odpowiada za utrzymanie infrastruktury telekomunikacyjnej i informatycznej niezbędnej do właściwego prowadzenia ruchu sieci dla obszaru swojego działania.</w:t>
      </w:r>
    </w:p>
    <w:p w14:paraId="6E99689C" w14:textId="04984B0B" w:rsidR="00CE3642" w:rsidRPr="00AE3F1B" w:rsidRDefault="008F7C7B" w:rsidP="008F7C7B">
      <w:pPr>
        <w:spacing w:after="145" w:line="253" w:lineRule="auto"/>
        <w:ind w:left="567" w:right="-3" w:hanging="567"/>
        <w:jc w:val="left"/>
        <w:rPr>
          <w:rFonts w:ascii="Garamond" w:hAnsi="Garamond"/>
          <w:sz w:val="24"/>
          <w:szCs w:val="24"/>
        </w:rPr>
      </w:pPr>
      <w:r>
        <w:rPr>
          <w:rFonts w:ascii="Garamond" w:hAnsi="Garamond"/>
          <w:sz w:val="24"/>
          <w:szCs w:val="24"/>
        </w:rPr>
        <w:t>II</w:t>
      </w:r>
      <w:r w:rsidRPr="00AE3F1B">
        <w:rPr>
          <w:rFonts w:ascii="Garamond" w:hAnsi="Garamond"/>
          <w:sz w:val="24"/>
          <w:szCs w:val="24"/>
        </w:rPr>
        <w:t>.</w:t>
      </w:r>
      <w:r>
        <w:rPr>
          <w:rFonts w:ascii="Garamond" w:hAnsi="Garamond"/>
          <w:sz w:val="24"/>
          <w:szCs w:val="24"/>
        </w:rPr>
        <w:t>5</w:t>
      </w:r>
      <w:r w:rsidRPr="00AE3F1B">
        <w:rPr>
          <w:rFonts w:ascii="Garamond" w:hAnsi="Garamond"/>
          <w:sz w:val="24"/>
          <w:szCs w:val="24"/>
        </w:rPr>
        <w:t>.8.2.</w:t>
      </w:r>
      <w:r>
        <w:rPr>
          <w:rFonts w:ascii="Garamond" w:hAnsi="Garamond"/>
          <w:sz w:val="24"/>
          <w:szCs w:val="24"/>
        </w:rPr>
        <w:t xml:space="preserve"> </w:t>
      </w:r>
      <w:r w:rsidR="00CE3642" w:rsidRPr="00AE3F1B">
        <w:rPr>
          <w:rFonts w:ascii="Garamond" w:hAnsi="Garamond"/>
          <w:sz w:val="24"/>
          <w:szCs w:val="24"/>
        </w:rPr>
        <w:t xml:space="preserve">Infrastruktura telekomunikacyjna powinna umożliwiać współpracę z PGE Dystrybucja S.A., a w przypadkach określonych przez ID Sp. z o.o. również z podmiotami zakwalifikowanymi </w:t>
      </w:r>
      <w:r w:rsidR="00DE0503">
        <w:rPr>
          <w:rFonts w:ascii="Garamond" w:hAnsi="Garamond"/>
          <w:sz w:val="24"/>
          <w:szCs w:val="24"/>
        </w:rPr>
        <w:br/>
      </w:r>
      <w:r w:rsidR="00CE3642" w:rsidRPr="00AE3F1B">
        <w:rPr>
          <w:rFonts w:ascii="Garamond" w:hAnsi="Garamond"/>
          <w:sz w:val="24"/>
          <w:szCs w:val="24"/>
        </w:rPr>
        <w:t>do III, IV, V, VI grupy przyłączeniowej.</w:t>
      </w:r>
    </w:p>
    <w:p w14:paraId="0E4F1433" w14:textId="5C27814A" w:rsidR="00D1071A" w:rsidRDefault="008F7C7B" w:rsidP="008F7C7B">
      <w:pPr>
        <w:spacing w:after="223" w:line="253" w:lineRule="auto"/>
        <w:ind w:left="567" w:right="-3" w:hanging="567"/>
        <w:jc w:val="left"/>
        <w:rPr>
          <w:rFonts w:ascii="Garamond" w:hAnsi="Garamond"/>
          <w:sz w:val="24"/>
          <w:szCs w:val="24"/>
        </w:rPr>
      </w:pPr>
      <w:r>
        <w:rPr>
          <w:rFonts w:ascii="Garamond" w:hAnsi="Garamond"/>
          <w:sz w:val="24"/>
          <w:szCs w:val="24"/>
        </w:rPr>
        <w:t>II</w:t>
      </w:r>
      <w:r w:rsidRPr="00AE3F1B">
        <w:rPr>
          <w:rFonts w:ascii="Garamond" w:hAnsi="Garamond"/>
          <w:sz w:val="24"/>
          <w:szCs w:val="24"/>
        </w:rPr>
        <w:t>.</w:t>
      </w:r>
      <w:r>
        <w:rPr>
          <w:rFonts w:ascii="Garamond" w:hAnsi="Garamond"/>
          <w:sz w:val="24"/>
          <w:szCs w:val="24"/>
        </w:rPr>
        <w:t>5</w:t>
      </w:r>
      <w:r w:rsidRPr="00AE3F1B">
        <w:rPr>
          <w:rFonts w:ascii="Garamond" w:hAnsi="Garamond"/>
          <w:sz w:val="24"/>
          <w:szCs w:val="24"/>
        </w:rPr>
        <w:t xml:space="preserve">.8.3. </w:t>
      </w:r>
      <w:r w:rsidR="00CE3642" w:rsidRPr="00AE3F1B">
        <w:rPr>
          <w:rFonts w:ascii="Garamond" w:hAnsi="Garamond"/>
          <w:sz w:val="24"/>
          <w:szCs w:val="24"/>
        </w:rPr>
        <w:t xml:space="preserve">W zakresach, gdzie wymagane jest dostosowanie infrastruktury do potrzeb wymienionych w pkt. </w:t>
      </w:r>
      <w:r w:rsidR="006A0092">
        <w:rPr>
          <w:rFonts w:ascii="Garamond" w:hAnsi="Garamond"/>
          <w:sz w:val="24"/>
          <w:szCs w:val="24"/>
        </w:rPr>
        <w:t>II</w:t>
      </w:r>
      <w:r w:rsidR="00CE3642" w:rsidRPr="00AE3F1B">
        <w:rPr>
          <w:rFonts w:ascii="Garamond" w:hAnsi="Garamond"/>
          <w:sz w:val="24"/>
          <w:szCs w:val="24"/>
        </w:rPr>
        <w:t>.</w:t>
      </w:r>
      <w:r w:rsidR="00771D65">
        <w:rPr>
          <w:rFonts w:ascii="Garamond" w:hAnsi="Garamond"/>
          <w:sz w:val="24"/>
          <w:szCs w:val="24"/>
        </w:rPr>
        <w:t>5</w:t>
      </w:r>
      <w:r w:rsidR="00CE3642" w:rsidRPr="00AE3F1B">
        <w:rPr>
          <w:rFonts w:ascii="Garamond" w:hAnsi="Garamond"/>
          <w:sz w:val="24"/>
          <w:szCs w:val="24"/>
        </w:rPr>
        <w:t>.8.1. zainteresowane strony wzajemnie uzgadniają między sobą zakres i szczegółowe wymagania, wraz z określeniem sposobów sfinansowania niezbędnych działań (uwzględniając również postanowienia IRiESP).</w:t>
      </w:r>
    </w:p>
    <w:p w14:paraId="54BF4A8D" w14:textId="77777777" w:rsidR="008F7C7B" w:rsidRDefault="008F7C7B" w:rsidP="008F7C7B">
      <w:pPr>
        <w:spacing w:after="223" w:line="253" w:lineRule="auto"/>
        <w:ind w:left="567" w:right="-3" w:hanging="567"/>
        <w:jc w:val="left"/>
        <w:rPr>
          <w:rFonts w:ascii="Garamond" w:hAnsi="Garamond"/>
          <w:sz w:val="24"/>
          <w:szCs w:val="24"/>
        </w:rPr>
      </w:pPr>
    </w:p>
    <w:p w14:paraId="47EE2D72" w14:textId="77777777" w:rsidR="008F7C7B" w:rsidRDefault="008F7C7B" w:rsidP="008F7C7B">
      <w:pPr>
        <w:spacing w:after="223" w:line="253" w:lineRule="auto"/>
        <w:ind w:left="567" w:right="-3" w:hanging="567"/>
        <w:jc w:val="left"/>
        <w:rPr>
          <w:rFonts w:ascii="Garamond" w:hAnsi="Garamond"/>
          <w:sz w:val="24"/>
          <w:szCs w:val="24"/>
        </w:rPr>
      </w:pPr>
    </w:p>
    <w:p w14:paraId="126BEB40" w14:textId="77777777" w:rsidR="008F7C7B" w:rsidRDefault="008F7C7B" w:rsidP="008F7C7B">
      <w:pPr>
        <w:spacing w:after="223" w:line="253" w:lineRule="auto"/>
        <w:ind w:left="567" w:right="-3" w:hanging="567"/>
        <w:jc w:val="left"/>
        <w:rPr>
          <w:rFonts w:ascii="Garamond" w:hAnsi="Garamond"/>
          <w:sz w:val="24"/>
          <w:szCs w:val="24"/>
        </w:rPr>
      </w:pPr>
    </w:p>
    <w:p w14:paraId="720AA3BB" w14:textId="77777777" w:rsidR="008F7C7B" w:rsidRDefault="008F7C7B" w:rsidP="008F7C7B">
      <w:pPr>
        <w:spacing w:after="223" w:line="253" w:lineRule="auto"/>
        <w:ind w:left="567" w:right="-3" w:hanging="567"/>
        <w:jc w:val="left"/>
        <w:rPr>
          <w:rFonts w:ascii="Garamond" w:hAnsi="Garamond"/>
          <w:sz w:val="24"/>
          <w:szCs w:val="24"/>
        </w:rPr>
      </w:pPr>
    </w:p>
    <w:p w14:paraId="3F02C604" w14:textId="77777777" w:rsidR="008F7C7B" w:rsidRDefault="008F7C7B" w:rsidP="008F7C7B">
      <w:pPr>
        <w:spacing w:after="223" w:line="253" w:lineRule="auto"/>
        <w:ind w:left="567" w:right="-3" w:hanging="567"/>
        <w:jc w:val="left"/>
        <w:rPr>
          <w:rFonts w:ascii="Garamond" w:hAnsi="Garamond"/>
          <w:sz w:val="24"/>
          <w:szCs w:val="24"/>
        </w:rPr>
      </w:pPr>
    </w:p>
    <w:p w14:paraId="3B947DEE" w14:textId="77777777" w:rsidR="008F7C7B" w:rsidRDefault="008F7C7B" w:rsidP="008F7C7B">
      <w:pPr>
        <w:spacing w:after="223" w:line="253" w:lineRule="auto"/>
        <w:ind w:left="567" w:right="-3" w:hanging="567"/>
        <w:jc w:val="left"/>
        <w:rPr>
          <w:rFonts w:ascii="Garamond" w:hAnsi="Garamond"/>
          <w:sz w:val="24"/>
          <w:szCs w:val="24"/>
        </w:rPr>
      </w:pPr>
    </w:p>
    <w:p w14:paraId="0AC68ED2" w14:textId="3845131B" w:rsidR="00D1071A" w:rsidRPr="006C5B5C" w:rsidRDefault="00D1071A" w:rsidP="006C5B5C">
      <w:pPr>
        <w:pStyle w:val="Nagwek3"/>
        <w:rPr>
          <w:rFonts w:asciiTheme="majorHAnsi" w:hAnsiTheme="majorHAnsi"/>
          <w:b/>
          <w:bCs/>
        </w:rPr>
      </w:pPr>
      <w:r w:rsidRPr="006C5B5C">
        <w:rPr>
          <w:rFonts w:asciiTheme="majorHAnsi" w:hAnsiTheme="majorHAnsi"/>
          <w:b/>
          <w:bCs/>
        </w:rPr>
        <w:t>III.</w:t>
      </w:r>
      <w:r w:rsidR="00BD127A">
        <w:rPr>
          <w:rFonts w:asciiTheme="majorHAnsi" w:hAnsiTheme="majorHAnsi"/>
          <w:b/>
          <w:bCs/>
        </w:rPr>
        <w:t xml:space="preserve">  </w:t>
      </w:r>
      <w:r w:rsidR="00DE0503" w:rsidRPr="006C5B5C">
        <w:rPr>
          <w:rFonts w:asciiTheme="majorHAnsi" w:hAnsiTheme="majorHAnsi"/>
          <w:b/>
          <w:bCs/>
        </w:rPr>
        <w:t>Eksploatacja urządzeń instalacji i sieci</w:t>
      </w:r>
    </w:p>
    <w:p w14:paraId="7E61BACB" w14:textId="77777777" w:rsidR="00D1071A" w:rsidRPr="00D72FB3" w:rsidRDefault="00DE0503" w:rsidP="00175586">
      <w:pPr>
        <w:keepNext/>
        <w:keepLines/>
        <w:tabs>
          <w:tab w:val="center" w:pos="2191"/>
        </w:tabs>
        <w:spacing w:after="190" w:line="248" w:lineRule="auto"/>
        <w:ind w:left="567" w:right="-3" w:hanging="567"/>
        <w:jc w:val="left"/>
        <w:outlineLvl w:val="1"/>
        <w:rPr>
          <w:rFonts w:asciiTheme="majorHAnsi" w:hAnsiTheme="majorHAnsi"/>
          <w:sz w:val="24"/>
          <w:szCs w:val="24"/>
        </w:rPr>
      </w:pPr>
      <w:bookmarkStart w:id="47" w:name="_Toc171860236"/>
      <w:bookmarkStart w:id="48" w:name="_Toc171861050"/>
      <w:r w:rsidRPr="00D72FB3">
        <w:rPr>
          <w:rFonts w:asciiTheme="majorHAnsi" w:hAnsiTheme="majorHAnsi"/>
          <w:sz w:val="24"/>
          <w:szCs w:val="24"/>
        </w:rPr>
        <w:t>III</w:t>
      </w:r>
      <w:r w:rsidR="00D1071A" w:rsidRPr="00D72FB3">
        <w:rPr>
          <w:rFonts w:asciiTheme="majorHAnsi" w:hAnsiTheme="majorHAnsi"/>
          <w:sz w:val="24"/>
          <w:szCs w:val="24"/>
        </w:rPr>
        <w:t>.1</w:t>
      </w:r>
      <w:r w:rsidR="00D1071A" w:rsidRPr="00D72FB3">
        <w:rPr>
          <w:rFonts w:asciiTheme="majorHAnsi" w:hAnsiTheme="majorHAnsi"/>
          <w:sz w:val="24"/>
          <w:szCs w:val="24"/>
        </w:rPr>
        <w:tab/>
      </w:r>
      <w:r w:rsidR="0009313F" w:rsidRPr="00D72FB3">
        <w:rPr>
          <w:rFonts w:asciiTheme="majorHAnsi" w:hAnsiTheme="majorHAnsi"/>
          <w:sz w:val="24"/>
          <w:szCs w:val="24"/>
        </w:rPr>
        <w:t>Przepisy ogólne</w:t>
      </w:r>
      <w:bookmarkEnd w:id="47"/>
      <w:bookmarkEnd w:id="48"/>
    </w:p>
    <w:p w14:paraId="3DE4E715" w14:textId="77777777" w:rsidR="00BD127A" w:rsidRDefault="00D1071A" w:rsidP="00BD127A">
      <w:pPr>
        <w:spacing w:after="0" w:line="253" w:lineRule="auto"/>
        <w:ind w:left="567" w:right="-3" w:hanging="567"/>
        <w:jc w:val="left"/>
        <w:rPr>
          <w:rFonts w:ascii="Garamond" w:hAnsi="Garamond"/>
          <w:sz w:val="24"/>
          <w:szCs w:val="24"/>
        </w:rPr>
      </w:pPr>
      <w:r w:rsidRPr="00AE3F1B">
        <w:rPr>
          <w:rFonts w:ascii="Garamond" w:hAnsi="Garamond"/>
          <w:sz w:val="24"/>
          <w:szCs w:val="24"/>
        </w:rPr>
        <w:t xml:space="preserve">III. 1.1. Urządzenia przyłączone do sieci dystrybucyjnej </w:t>
      </w:r>
      <w:r w:rsidR="00E53E27" w:rsidRPr="00AE3F1B">
        <w:rPr>
          <w:rFonts w:ascii="Garamond" w:hAnsi="Garamond"/>
          <w:sz w:val="24"/>
          <w:szCs w:val="24"/>
        </w:rPr>
        <w:t>ID</w:t>
      </w:r>
      <w:r w:rsidRPr="00AE3F1B">
        <w:rPr>
          <w:rFonts w:ascii="Garamond" w:hAnsi="Garamond"/>
          <w:sz w:val="24"/>
          <w:szCs w:val="24"/>
        </w:rPr>
        <w:t xml:space="preserve"> Sp. z o.o. muszą spełniać warunki legalizacji, uzyskiwania homologacji i/lub certyfikatów, znaku CE oraz innych wymagań określonych odrębnymi przepisami.</w:t>
      </w:r>
      <w:r w:rsidR="00BD127A">
        <w:rPr>
          <w:rFonts w:ascii="Garamond" w:hAnsi="Garamond"/>
          <w:sz w:val="24"/>
          <w:szCs w:val="24"/>
        </w:rPr>
        <w:t xml:space="preserve"> </w:t>
      </w:r>
    </w:p>
    <w:p w14:paraId="124AEC03" w14:textId="6B232239" w:rsidR="00D1071A" w:rsidRPr="00AE3F1B" w:rsidRDefault="00D1071A" w:rsidP="00BD127A">
      <w:pPr>
        <w:spacing w:after="0" w:line="253" w:lineRule="auto"/>
        <w:ind w:left="567" w:right="-3"/>
        <w:jc w:val="left"/>
        <w:rPr>
          <w:rFonts w:ascii="Garamond" w:hAnsi="Garamond"/>
          <w:sz w:val="24"/>
          <w:szCs w:val="24"/>
        </w:rPr>
      </w:pPr>
      <w:r w:rsidRPr="00AE3F1B">
        <w:rPr>
          <w:rFonts w:ascii="Garamond" w:hAnsi="Garamond"/>
          <w:sz w:val="24"/>
          <w:szCs w:val="24"/>
        </w:rPr>
        <w:t xml:space="preserve">Projektowanie oraz eksploatacja urządzeń, instalacji i sieci powinny zapewniać racjonalne </w:t>
      </w:r>
      <w:r w:rsidR="00DE0503">
        <w:rPr>
          <w:rFonts w:ascii="Garamond" w:hAnsi="Garamond"/>
          <w:sz w:val="24"/>
          <w:szCs w:val="24"/>
        </w:rPr>
        <w:br/>
      </w:r>
      <w:r w:rsidRPr="00AE3F1B">
        <w:rPr>
          <w:rFonts w:ascii="Garamond" w:hAnsi="Garamond"/>
          <w:sz w:val="24"/>
          <w:szCs w:val="24"/>
        </w:rPr>
        <w:t>i oszczędne zużycie paliw lub energii przy zachowaniu:</w:t>
      </w:r>
    </w:p>
    <w:p w14:paraId="5F4CE171" w14:textId="77777777" w:rsidR="00D1071A" w:rsidRPr="00BD127A" w:rsidRDefault="00D1071A">
      <w:pPr>
        <w:pStyle w:val="Akapitzlist"/>
        <w:numPr>
          <w:ilvl w:val="0"/>
          <w:numId w:val="105"/>
        </w:numPr>
        <w:spacing w:line="253" w:lineRule="auto"/>
        <w:ind w:right="-3"/>
        <w:jc w:val="left"/>
        <w:rPr>
          <w:rFonts w:ascii="Garamond" w:hAnsi="Garamond"/>
          <w:sz w:val="24"/>
          <w:szCs w:val="24"/>
        </w:rPr>
      </w:pPr>
      <w:r w:rsidRPr="00BD127A">
        <w:rPr>
          <w:rFonts w:ascii="Garamond" w:hAnsi="Garamond"/>
          <w:sz w:val="24"/>
          <w:szCs w:val="24"/>
        </w:rPr>
        <w:t>niezawodności współdziałania z siecią,</w:t>
      </w:r>
    </w:p>
    <w:p w14:paraId="2371884A" w14:textId="77777777" w:rsidR="00D1071A" w:rsidRPr="00BD127A" w:rsidRDefault="00D1071A">
      <w:pPr>
        <w:pStyle w:val="Akapitzlist"/>
        <w:numPr>
          <w:ilvl w:val="0"/>
          <w:numId w:val="105"/>
        </w:numPr>
        <w:spacing w:line="253" w:lineRule="auto"/>
        <w:ind w:right="-3"/>
        <w:jc w:val="left"/>
        <w:rPr>
          <w:rFonts w:ascii="Garamond" w:hAnsi="Garamond"/>
          <w:sz w:val="24"/>
          <w:szCs w:val="24"/>
        </w:rPr>
      </w:pPr>
      <w:r w:rsidRPr="00BD127A">
        <w:rPr>
          <w:rFonts w:ascii="Garamond" w:hAnsi="Garamond"/>
          <w:sz w:val="24"/>
          <w:szCs w:val="24"/>
        </w:rPr>
        <w:t>bezpieczeństwa obsługi i otoczenia po spełnieniu wymagań ochrony środowiska,</w:t>
      </w:r>
    </w:p>
    <w:p w14:paraId="5586495C" w14:textId="77777777" w:rsidR="00D1071A" w:rsidRPr="00BD127A" w:rsidRDefault="00D1071A">
      <w:pPr>
        <w:pStyle w:val="Akapitzlist"/>
        <w:numPr>
          <w:ilvl w:val="0"/>
          <w:numId w:val="105"/>
        </w:numPr>
        <w:spacing w:after="136" w:line="253" w:lineRule="auto"/>
        <w:ind w:right="-3"/>
        <w:jc w:val="left"/>
        <w:rPr>
          <w:rFonts w:ascii="Garamond" w:hAnsi="Garamond"/>
          <w:sz w:val="24"/>
          <w:szCs w:val="24"/>
        </w:rPr>
      </w:pPr>
      <w:r w:rsidRPr="00BD127A">
        <w:rPr>
          <w:rFonts w:ascii="Garamond" w:hAnsi="Garamond"/>
          <w:sz w:val="24"/>
          <w:szCs w:val="24"/>
        </w:rPr>
        <w:t>zgodności z wymaganiami odrębnych przepisów, a w szczególności przepisów: prawa budowlanego, o ochronie przeciwporażeniowej, o ochronie przeciwpożarowej, o dozorze technicznym, Polskich Norm wprowadzonych do obowiązkowego stosowania.</w:t>
      </w:r>
    </w:p>
    <w:p w14:paraId="1BB93D65" w14:textId="77777777" w:rsidR="00D1071A" w:rsidRPr="00AE3F1B" w:rsidRDefault="003F57FB" w:rsidP="00175586">
      <w:pPr>
        <w:spacing w:after="144" w:line="253" w:lineRule="auto"/>
        <w:ind w:left="567" w:right="-3" w:hanging="567"/>
        <w:jc w:val="left"/>
        <w:rPr>
          <w:rFonts w:ascii="Garamond" w:hAnsi="Garamond"/>
          <w:sz w:val="24"/>
          <w:szCs w:val="24"/>
        </w:rPr>
      </w:pPr>
      <w:r>
        <w:rPr>
          <w:rFonts w:ascii="Garamond" w:hAnsi="Garamond"/>
          <w:sz w:val="24"/>
          <w:szCs w:val="24"/>
        </w:rPr>
        <w:t>III</w:t>
      </w:r>
      <w:r w:rsidR="00D1071A" w:rsidRPr="00AE3F1B">
        <w:rPr>
          <w:rFonts w:ascii="Garamond" w:hAnsi="Garamond"/>
          <w:sz w:val="24"/>
          <w:szCs w:val="24"/>
        </w:rPr>
        <w:t>.1.2. Zasady i standardy techniczne eksploatacji sieci dystrybucyjnej ID Sp. z o.o. obejmują zagadnienia związane z:</w:t>
      </w:r>
    </w:p>
    <w:p w14:paraId="2C74FF8B" w14:textId="77777777" w:rsidR="00D1071A" w:rsidRPr="00BD127A" w:rsidRDefault="00D1071A">
      <w:pPr>
        <w:pStyle w:val="Akapitzlist"/>
        <w:numPr>
          <w:ilvl w:val="0"/>
          <w:numId w:val="106"/>
        </w:numPr>
        <w:spacing w:line="253" w:lineRule="auto"/>
        <w:ind w:right="-3"/>
        <w:jc w:val="left"/>
        <w:rPr>
          <w:rFonts w:ascii="Garamond" w:hAnsi="Garamond"/>
          <w:sz w:val="24"/>
          <w:szCs w:val="24"/>
        </w:rPr>
      </w:pPr>
      <w:r w:rsidRPr="00BD127A">
        <w:rPr>
          <w:rFonts w:ascii="Garamond" w:hAnsi="Garamond"/>
          <w:sz w:val="24"/>
          <w:szCs w:val="24"/>
        </w:rPr>
        <w:t>przyjmowaniem urządzeń, instalacji i sieci do eksploatacji,</w:t>
      </w:r>
    </w:p>
    <w:p w14:paraId="1F7C45A6" w14:textId="77777777" w:rsidR="00D1071A" w:rsidRPr="00BD127A" w:rsidRDefault="00D1071A">
      <w:pPr>
        <w:pStyle w:val="Akapitzlist"/>
        <w:numPr>
          <w:ilvl w:val="0"/>
          <w:numId w:val="106"/>
        </w:numPr>
        <w:spacing w:line="253" w:lineRule="auto"/>
        <w:ind w:right="-3"/>
        <w:jc w:val="left"/>
        <w:rPr>
          <w:rFonts w:ascii="Garamond" w:hAnsi="Garamond"/>
          <w:sz w:val="24"/>
          <w:szCs w:val="24"/>
        </w:rPr>
      </w:pPr>
      <w:r w:rsidRPr="00BD127A">
        <w:rPr>
          <w:rFonts w:ascii="Garamond" w:hAnsi="Garamond"/>
          <w:sz w:val="24"/>
          <w:szCs w:val="24"/>
        </w:rPr>
        <w:t>prowadzeniem prac eksploatacyjnych,</w:t>
      </w:r>
    </w:p>
    <w:p w14:paraId="228722BA" w14:textId="5B291235" w:rsidR="00D1071A" w:rsidRPr="00BD127A" w:rsidRDefault="00D1071A">
      <w:pPr>
        <w:pStyle w:val="Akapitzlist"/>
        <w:numPr>
          <w:ilvl w:val="0"/>
          <w:numId w:val="106"/>
        </w:numPr>
        <w:spacing w:line="253" w:lineRule="auto"/>
        <w:ind w:right="-3"/>
        <w:jc w:val="left"/>
        <w:rPr>
          <w:rFonts w:ascii="Garamond" w:hAnsi="Garamond"/>
          <w:sz w:val="24"/>
          <w:szCs w:val="24"/>
        </w:rPr>
      </w:pPr>
      <w:r w:rsidRPr="00BD127A">
        <w:rPr>
          <w:rFonts w:ascii="Garamond" w:hAnsi="Garamond"/>
          <w:sz w:val="24"/>
          <w:szCs w:val="24"/>
        </w:rPr>
        <w:t>przekazaniem urządzeń, instalacji i sieci do remontu lub wycofywaniem z eksploatacji,</w:t>
      </w:r>
      <w:r w:rsidR="00BD127A">
        <w:rPr>
          <w:rFonts w:ascii="Garamond" w:hAnsi="Garamond"/>
          <w:sz w:val="24"/>
          <w:szCs w:val="24"/>
        </w:rPr>
        <w:t xml:space="preserve"> </w:t>
      </w:r>
      <w:r w:rsidRPr="00BD127A">
        <w:rPr>
          <w:rFonts w:ascii="Garamond" w:hAnsi="Garamond"/>
          <w:sz w:val="24"/>
          <w:szCs w:val="24"/>
        </w:rPr>
        <w:t xml:space="preserve">dokonywaniem uzgodnień z PGE Dystrybucja S.A. przy wykonywaniu prac </w:t>
      </w:r>
      <w:r w:rsidR="00DE0503" w:rsidRPr="00BD127A">
        <w:rPr>
          <w:rFonts w:ascii="Garamond" w:hAnsi="Garamond"/>
          <w:sz w:val="24"/>
          <w:szCs w:val="24"/>
        </w:rPr>
        <w:t>e</w:t>
      </w:r>
      <w:r w:rsidRPr="00BD127A">
        <w:rPr>
          <w:rFonts w:ascii="Garamond" w:hAnsi="Garamond"/>
          <w:sz w:val="24"/>
          <w:szCs w:val="24"/>
        </w:rPr>
        <w:t>ksploatacyjnych,</w:t>
      </w:r>
      <w:r w:rsidR="00BD127A">
        <w:rPr>
          <w:rFonts w:ascii="Garamond" w:hAnsi="Garamond"/>
          <w:sz w:val="24"/>
          <w:szCs w:val="24"/>
        </w:rPr>
        <w:t xml:space="preserve"> </w:t>
      </w:r>
      <w:r w:rsidRPr="00BD127A">
        <w:rPr>
          <w:rFonts w:ascii="Garamond" w:hAnsi="Garamond"/>
          <w:sz w:val="24"/>
          <w:szCs w:val="24"/>
        </w:rPr>
        <w:t>prowadzeniem dokumentacji technicznej i prawnej.</w:t>
      </w:r>
    </w:p>
    <w:p w14:paraId="354BF238" w14:textId="000BCF90" w:rsidR="00D1071A" w:rsidRPr="00AE3F1B" w:rsidRDefault="00BD127A" w:rsidP="00BD127A">
      <w:pPr>
        <w:spacing w:after="220" w:line="226" w:lineRule="auto"/>
        <w:ind w:left="360" w:right="-3" w:hanging="360"/>
        <w:jc w:val="left"/>
        <w:rPr>
          <w:rFonts w:ascii="Garamond" w:hAnsi="Garamond"/>
          <w:sz w:val="24"/>
          <w:szCs w:val="24"/>
        </w:rPr>
      </w:pPr>
      <w:r>
        <w:rPr>
          <w:rFonts w:ascii="Garamond" w:hAnsi="Garamond"/>
          <w:sz w:val="24"/>
          <w:szCs w:val="24"/>
        </w:rPr>
        <w:t>III</w:t>
      </w:r>
      <w:r w:rsidRPr="00AE3F1B">
        <w:rPr>
          <w:rFonts w:ascii="Garamond" w:hAnsi="Garamond"/>
          <w:sz w:val="24"/>
          <w:szCs w:val="24"/>
        </w:rPr>
        <w:t>. 1.3.</w:t>
      </w:r>
      <w:r>
        <w:rPr>
          <w:rFonts w:ascii="Garamond" w:hAnsi="Garamond"/>
          <w:sz w:val="24"/>
          <w:szCs w:val="24"/>
        </w:rPr>
        <w:t xml:space="preserve"> </w:t>
      </w:r>
      <w:r w:rsidR="00D1071A" w:rsidRPr="00AE3F1B">
        <w:rPr>
          <w:rFonts w:ascii="Garamond" w:hAnsi="Garamond"/>
          <w:sz w:val="24"/>
          <w:szCs w:val="24"/>
        </w:rPr>
        <w:t xml:space="preserve">Właściciel urządzeń, instalacji lub sieci odpowiada za ich należyty stan techniczny w tym </w:t>
      </w:r>
      <w:r w:rsidR="00DE0503">
        <w:rPr>
          <w:rFonts w:ascii="Garamond" w:hAnsi="Garamond"/>
          <w:sz w:val="24"/>
          <w:szCs w:val="24"/>
        </w:rPr>
        <w:br/>
      </w:r>
      <w:r w:rsidR="00D1071A" w:rsidRPr="00AE3F1B">
        <w:rPr>
          <w:rFonts w:ascii="Garamond" w:hAnsi="Garamond"/>
          <w:sz w:val="24"/>
          <w:szCs w:val="24"/>
        </w:rPr>
        <w:t>za prawidłowe ich utrzymanie oraz prowadzenie eksploatacji poprzez m.in. wykonywanie oględzin, przeglądów, konserwacji i remontów oraz badań, pomiarów i prób eksploatacyjnych.</w:t>
      </w:r>
    </w:p>
    <w:p w14:paraId="3D98199C" w14:textId="5DE23B7C" w:rsidR="00D1071A" w:rsidRPr="00AE3F1B" w:rsidRDefault="00BD127A" w:rsidP="00BD127A">
      <w:pPr>
        <w:spacing w:line="253" w:lineRule="auto"/>
        <w:ind w:left="360" w:right="-3" w:hanging="360"/>
        <w:jc w:val="left"/>
        <w:rPr>
          <w:rFonts w:ascii="Garamond" w:hAnsi="Garamond"/>
          <w:sz w:val="24"/>
          <w:szCs w:val="24"/>
        </w:rPr>
      </w:pPr>
      <w:r>
        <w:rPr>
          <w:rFonts w:ascii="Garamond" w:hAnsi="Garamond"/>
          <w:sz w:val="24"/>
          <w:szCs w:val="24"/>
        </w:rPr>
        <w:t>III</w:t>
      </w:r>
      <w:r w:rsidRPr="00AE3F1B">
        <w:rPr>
          <w:rFonts w:ascii="Garamond" w:hAnsi="Garamond"/>
          <w:sz w:val="24"/>
          <w:szCs w:val="24"/>
        </w:rPr>
        <w:t>.1.4.</w:t>
      </w:r>
      <w:r>
        <w:rPr>
          <w:rFonts w:ascii="Garamond" w:hAnsi="Garamond"/>
          <w:sz w:val="24"/>
          <w:szCs w:val="24"/>
        </w:rPr>
        <w:t xml:space="preserve"> </w:t>
      </w:r>
      <w:r>
        <w:rPr>
          <w:rFonts w:ascii="Garamond" w:hAnsi="Garamond"/>
          <w:sz w:val="24"/>
          <w:szCs w:val="24"/>
        </w:rPr>
        <w:tab/>
      </w:r>
      <w:r w:rsidR="00D1071A" w:rsidRPr="00AE3F1B">
        <w:rPr>
          <w:rFonts w:ascii="Garamond" w:hAnsi="Garamond"/>
          <w:sz w:val="24"/>
          <w:szCs w:val="24"/>
        </w:rPr>
        <w:t xml:space="preserve">Dopuszcza się w umowie zawartej pomiędzy właścicielem urządzeń, instalacji lub sieci oraz ID Sp. z o.o., uzgodnienie innych niż określone </w:t>
      </w:r>
      <w:r w:rsidR="00FF23BB" w:rsidRPr="00AE3F1B">
        <w:rPr>
          <w:rFonts w:ascii="Garamond" w:hAnsi="Garamond"/>
          <w:sz w:val="24"/>
          <w:szCs w:val="24"/>
        </w:rPr>
        <w:t xml:space="preserve">w </w:t>
      </w:r>
      <w:r w:rsidR="005A49CC" w:rsidRPr="005A49CC">
        <w:rPr>
          <w:rFonts w:ascii="Garamond" w:hAnsi="Garamond"/>
          <w:sz w:val="24"/>
          <w:szCs w:val="24"/>
        </w:rPr>
        <w:t>IRiESD</w:t>
      </w:r>
      <w:r w:rsidR="005A49CC">
        <w:rPr>
          <w:rFonts w:ascii="Garamond" w:hAnsi="Garamond"/>
          <w:sz w:val="24"/>
          <w:szCs w:val="24"/>
        </w:rPr>
        <w:t xml:space="preserve"> </w:t>
      </w:r>
      <w:r w:rsidR="00FF23BB" w:rsidRPr="00AE3F1B">
        <w:rPr>
          <w:rFonts w:ascii="Garamond" w:hAnsi="Garamond"/>
          <w:sz w:val="24"/>
          <w:szCs w:val="24"/>
        </w:rPr>
        <w:t>standardów</w:t>
      </w:r>
      <w:r w:rsidR="00D1071A" w:rsidRPr="00AE3F1B">
        <w:rPr>
          <w:rFonts w:ascii="Garamond" w:hAnsi="Garamond"/>
          <w:sz w:val="24"/>
          <w:szCs w:val="24"/>
        </w:rPr>
        <w:t xml:space="preserve"> eksploatacji urządzeń, instalacji lub sieci.</w:t>
      </w:r>
    </w:p>
    <w:p w14:paraId="0F1B4DE7" w14:textId="4B10DFAF" w:rsidR="00D1071A" w:rsidRPr="00AE3F1B" w:rsidRDefault="00EB0DD5" w:rsidP="00EB0DD5">
      <w:pPr>
        <w:spacing w:line="253" w:lineRule="auto"/>
        <w:ind w:left="360" w:right="-3" w:hanging="360"/>
        <w:jc w:val="left"/>
        <w:rPr>
          <w:rFonts w:ascii="Garamond" w:hAnsi="Garamond"/>
          <w:sz w:val="24"/>
          <w:szCs w:val="24"/>
        </w:rPr>
      </w:pPr>
      <w:r>
        <w:rPr>
          <w:rFonts w:ascii="Garamond" w:hAnsi="Garamond"/>
          <w:sz w:val="24"/>
          <w:szCs w:val="24"/>
        </w:rPr>
        <w:t>III</w:t>
      </w:r>
      <w:r w:rsidRPr="00AE3F1B">
        <w:rPr>
          <w:rFonts w:ascii="Garamond" w:hAnsi="Garamond"/>
          <w:sz w:val="24"/>
          <w:szCs w:val="24"/>
        </w:rPr>
        <w:t>.1.5.</w:t>
      </w:r>
      <w:r>
        <w:rPr>
          <w:rFonts w:ascii="Garamond" w:hAnsi="Garamond"/>
          <w:sz w:val="24"/>
          <w:szCs w:val="24"/>
        </w:rPr>
        <w:t xml:space="preserve"> </w:t>
      </w:r>
      <w:r w:rsidR="00D1071A" w:rsidRPr="00AE3F1B">
        <w:rPr>
          <w:rFonts w:ascii="Garamond" w:hAnsi="Garamond"/>
          <w:sz w:val="24"/>
          <w:szCs w:val="24"/>
        </w:rPr>
        <w:t xml:space="preserve">ID Sp. z o.o. prowadzi eksploatację urządzeń elektroenergetycznych, zgodnie z zapisami </w:t>
      </w:r>
      <w:r w:rsidR="00FF23BB" w:rsidRPr="00AE3F1B">
        <w:rPr>
          <w:rFonts w:ascii="Garamond" w:hAnsi="Garamond"/>
          <w:sz w:val="24"/>
          <w:szCs w:val="24"/>
        </w:rPr>
        <w:t>niniejszej</w:t>
      </w:r>
      <w:r w:rsidR="005A49CC">
        <w:rPr>
          <w:rFonts w:ascii="Garamond" w:hAnsi="Garamond"/>
          <w:sz w:val="24"/>
          <w:szCs w:val="24"/>
        </w:rPr>
        <w:t xml:space="preserve"> </w:t>
      </w:r>
      <w:r w:rsidR="005A49CC" w:rsidRPr="005A49CC">
        <w:rPr>
          <w:rFonts w:ascii="Garamond" w:hAnsi="Garamond"/>
          <w:sz w:val="24"/>
          <w:szCs w:val="24"/>
        </w:rPr>
        <w:t>IRiESD</w:t>
      </w:r>
      <w:r w:rsidR="00FF23BB" w:rsidRPr="00AE3F1B">
        <w:rPr>
          <w:rFonts w:ascii="Garamond" w:hAnsi="Garamond"/>
          <w:sz w:val="24"/>
          <w:szCs w:val="24"/>
        </w:rPr>
        <w:t xml:space="preserve"> oraz</w:t>
      </w:r>
      <w:r w:rsidR="00D1071A" w:rsidRPr="00AE3F1B">
        <w:rPr>
          <w:rFonts w:ascii="Garamond" w:hAnsi="Garamond"/>
          <w:sz w:val="24"/>
          <w:szCs w:val="24"/>
        </w:rPr>
        <w:t xml:space="preserve"> w oparciu o zasady i instrukcje eksploatacji sieci, instalacji, grup urządzeń lub poszczególnych urządzeń, w tym układów automatyki i zabezpieczeń, pomiarowych, regulacyjnych i sterowniczo-sygnalizacyjnych.</w:t>
      </w:r>
    </w:p>
    <w:p w14:paraId="1EC4D54D" w14:textId="77777777" w:rsidR="00EB0DD5" w:rsidRDefault="00EB0DD5" w:rsidP="00EB0DD5">
      <w:pPr>
        <w:spacing w:after="182" w:line="253" w:lineRule="auto"/>
        <w:ind w:left="360" w:right="-3" w:hanging="360"/>
        <w:jc w:val="left"/>
        <w:rPr>
          <w:rFonts w:ascii="Garamond" w:hAnsi="Garamond"/>
          <w:sz w:val="24"/>
          <w:szCs w:val="24"/>
        </w:rPr>
      </w:pPr>
      <w:r>
        <w:rPr>
          <w:rFonts w:ascii="Garamond" w:hAnsi="Garamond"/>
          <w:sz w:val="24"/>
          <w:szCs w:val="24"/>
        </w:rPr>
        <w:t>III</w:t>
      </w:r>
      <w:r w:rsidRPr="00AE3F1B">
        <w:rPr>
          <w:rFonts w:ascii="Garamond" w:hAnsi="Garamond"/>
          <w:sz w:val="24"/>
          <w:szCs w:val="24"/>
        </w:rPr>
        <w:t xml:space="preserve">.1.6. </w:t>
      </w:r>
      <w:r>
        <w:rPr>
          <w:rFonts w:ascii="Garamond" w:hAnsi="Garamond"/>
          <w:sz w:val="24"/>
          <w:szCs w:val="24"/>
        </w:rPr>
        <w:tab/>
      </w:r>
      <w:r w:rsidR="00D1071A" w:rsidRPr="00AE3F1B">
        <w:rPr>
          <w:rFonts w:ascii="Garamond" w:hAnsi="Garamond"/>
          <w:sz w:val="24"/>
          <w:szCs w:val="24"/>
        </w:rPr>
        <w:t>Podmioty przyłączone do sieci dystrybucyjnej ID Sp. z o.o. zobowiązane są do eksploatowania sieci, urządzeń i instalacji będących ich własnością w sposób nie zagrażający bezpiecznej pracy systemu dystrybucyjnego. Granicę eksploatacji sieci, urządzeń i instalacji (w tym układy automatyki zabezpieczeniowej i telemechaniki), a tym samym obowiązek utrzymywania tych elementów w należytym stanie technicznym, reguluje umowa o świadczenie usług dystrybucyjnych lub umowa kompleksowa.</w:t>
      </w:r>
    </w:p>
    <w:p w14:paraId="7ACB5D24" w14:textId="1E32D291" w:rsidR="00D1071A" w:rsidRPr="00AE3F1B" w:rsidRDefault="00D1071A" w:rsidP="00EB0DD5">
      <w:pPr>
        <w:spacing w:after="182" w:line="253" w:lineRule="auto"/>
        <w:ind w:left="360" w:right="-3"/>
        <w:jc w:val="left"/>
        <w:rPr>
          <w:rFonts w:ascii="Garamond" w:hAnsi="Garamond"/>
          <w:sz w:val="24"/>
          <w:szCs w:val="24"/>
        </w:rPr>
      </w:pPr>
      <w:r w:rsidRPr="00AE3F1B">
        <w:rPr>
          <w:rFonts w:ascii="Garamond" w:hAnsi="Garamond"/>
          <w:sz w:val="24"/>
          <w:szCs w:val="24"/>
        </w:rPr>
        <w:lastRenderedPageBreak/>
        <w:t xml:space="preserve">ID Sp. z o.o. może zażądać od podmiotu, któremu świadczy usługę dystrybucji wglądu </w:t>
      </w:r>
      <w:r w:rsidR="003F57FB">
        <w:rPr>
          <w:rFonts w:ascii="Garamond" w:hAnsi="Garamond"/>
          <w:sz w:val="24"/>
          <w:szCs w:val="24"/>
        </w:rPr>
        <w:br/>
      </w:r>
      <w:r w:rsidRPr="00AE3F1B">
        <w:rPr>
          <w:rFonts w:ascii="Garamond" w:hAnsi="Garamond"/>
          <w:sz w:val="24"/>
          <w:szCs w:val="24"/>
        </w:rPr>
        <w:t>w dokumentację eksploatacyjną potwierdzającą terminowość i zakres prowadzonych prac eksploatacyjnych sieci, urządzeń i instalacji, których stan techniczny może mieć wpływ na pracę sieci dystrybucyjnej.</w:t>
      </w:r>
    </w:p>
    <w:p w14:paraId="66C12FDA" w14:textId="5042BD3B" w:rsidR="00D1071A" w:rsidRPr="00AE3F1B" w:rsidRDefault="00EB0DD5" w:rsidP="00EB0DD5">
      <w:pPr>
        <w:spacing w:after="153" w:line="253" w:lineRule="auto"/>
        <w:ind w:left="360" w:right="-3" w:hanging="360"/>
        <w:jc w:val="left"/>
        <w:rPr>
          <w:rFonts w:ascii="Garamond" w:hAnsi="Garamond"/>
          <w:sz w:val="24"/>
          <w:szCs w:val="24"/>
        </w:rPr>
      </w:pPr>
      <w:r>
        <w:rPr>
          <w:rFonts w:ascii="Garamond" w:hAnsi="Garamond"/>
          <w:sz w:val="24"/>
          <w:szCs w:val="24"/>
        </w:rPr>
        <w:t>III</w:t>
      </w:r>
      <w:r w:rsidRPr="00AE3F1B">
        <w:rPr>
          <w:rFonts w:ascii="Garamond" w:hAnsi="Garamond"/>
          <w:sz w:val="24"/>
          <w:szCs w:val="24"/>
        </w:rPr>
        <w:t>. 1.7.</w:t>
      </w:r>
      <w:r>
        <w:rPr>
          <w:rFonts w:ascii="Garamond" w:hAnsi="Garamond"/>
          <w:sz w:val="24"/>
          <w:szCs w:val="24"/>
        </w:rPr>
        <w:t xml:space="preserve"> </w:t>
      </w:r>
      <w:r w:rsidR="00D1071A" w:rsidRPr="00AE3F1B">
        <w:rPr>
          <w:rFonts w:ascii="Garamond" w:hAnsi="Garamond"/>
          <w:sz w:val="24"/>
          <w:szCs w:val="24"/>
        </w:rPr>
        <w:t>Wykonywanie oględzin, przeglądów, oceny stanu technicznego oraz konserwacji i remontów</w:t>
      </w:r>
      <w:r>
        <w:rPr>
          <w:rFonts w:ascii="Garamond" w:hAnsi="Garamond"/>
          <w:sz w:val="24"/>
          <w:szCs w:val="24"/>
        </w:rPr>
        <w:t xml:space="preserve"> </w:t>
      </w:r>
      <w:r w:rsidR="00D1071A" w:rsidRPr="00AE3F1B">
        <w:rPr>
          <w:rFonts w:ascii="Garamond" w:hAnsi="Garamond"/>
          <w:sz w:val="24"/>
          <w:szCs w:val="24"/>
        </w:rPr>
        <w:t>urządzeń, instalacji oraz sieci dystrybucyjnych określa ID Sp. z o.o.</w:t>
      </w:r>
    </w:p>
    <w:p w14:paraId="1C55AF1D" w14:textId="77777777" w:rsidR="00D1071A" w:rsidRPr="00D72FB3" w:rsidRDefault="003F57FB" w:rsidP="00175586">
      <w:pPr>
        <w:keepNext/>
        <w:keepLines/>
        <w:tabs>
          <w:tab w:val="center" w:pos="4601"/>
        </w:tabs>
        <w:spacing w:after="16" w:line="248" w:lineRule="auto"/>
        <w:ind w:left="567" w:right="-3" w:hanging="567"/>
        <w:jc w:val="left"/>
        <w:outlineLvl w:val="1"/>
        <w:rPr>
          <w:rFonts w:asciiTheme="majorHAnsi" w:hAnsiTheme="majorHAnsi"/>
          <w:b/>
          <w:bCs/>
          <w:sz w:val="24"/>
          <w:szCs w:val="24"/>
        </w:rPr>
      </w:pPr>
      <w:bookmarkStart w:id="49" w:name="_Toc171860237"/>
      <w:bookmarkStart w:id="50" w:name="_Toc171861051"/>
      <w:r w:rsidRPr="00D72FB3">
        <w:rPr>
          <w:rFonts w:asciiTheme="majorHAnsi" w:hAnsiTheme="majorHAnsi"/>
          <w:b/>
          <w:bCs/>
          <w:sz w:val="24"/>
          <w:szCs w:val="24"/>
        </w:rPr>
        <w:t>III</w:t>
      </w:r>
      <w:r w:rsidR="00D1071A" w:rsidRPr="00D72FB3">
        <w:rPr>
          <w:rFonts w:asciiTheme="majorHAnsi" w:hAnsiTheme="majorHAnsi"/>
          <w:b/>
          <w:bCs/>
          <w:sz w:val="24"/>
          <w:szCs w:val="24"/>
        </w:rPr>
        <w:t>.2.</w:t>
      </w:r>
      <w:r w:rsidR="00D1071A" w:rsidRPr="00D72FB3">
        <w:rPr>
          <w:rFonts w:asciiTheme="majorHAnsi" w:hAnsiTheme="majorHAnsi"/>
          <w:b/>
          <w:bCs/>
          <w:sz w:val="24"/>
          <w:szCs w:val="24"/>
        </w:rPr>
        <w:tab/>
      </w:r>
      <w:r w:rsidRPr="00D72FB3">
        <w:rPr>
          <w:rFonts w:asciiTheme="majorHAnsi" w:hAnsiTheme="majorHAnsi"/>
          <w:b/>
          <w:bCs/>
          <w:sz w:val="24"/>
          <w:szCs w:val="24"/>
        </w:rPr>
        <w:t>Przyjmowanie urządzeń, instalacji i sieci do eksploatacji</w:t>
      </w:r>
      <w:bookmarkEnd w:id="49"/>
      <w:bookmarkEnd w:id="50"/>
    </w:p>
    <w:p w14:paraId="1E2BBB1D" w14:textId="77777777" w:rsidR="00D1071A" w:rsidRPr="00AE3F1B" w:rsidRDefault="003F57FB" w:rsidP="00175586">
      <w:pPr>
        <w:spacing w:after="74" w:line="253" w:lineRule="auto"/>
        <w:ind w:left="567" w:right="-3" w:hanging="567"/>
        <w:jc w:val="left"/>
        <w:rPr>
          <w:rFonts w:ascii="Garamond" w:hAnsi="Garamond"/>
          <w:sz w:val="24"/>
          <w:szCs w:val="24"/>
        </w:rPr>
      </w:pPr>
      <w:r>
        <w:rPr>
          <w:rFonts w:ascii="Garamond" w:hAnsi="Garamond"/>
          <w:sz w:val="24"/>
          <w:szCs w:val="24"/>
        </w:rPr>
        <w:t>III</w:t>
      </w:r>
      <w:r w:rsidR="00D1071A" w:rsidRPr="00AE3F1B">
        <w:rPr>
          <w:rFonts w:ascii="Garamond" w:hAnsi="Garamond"/>
          <w:sz w:val="24"/>
          <w:szCs w:val="24"/>
        </w:rPr>
        <w:t xml:space="preserve">.2. 1. Przyjęcie do eksploatacji urządzeń, instalacji i sieci: nowych, przebudowanych i po remoncie następuje po przeprowadzeniu prób i pomiarów oraz stwierdzeniu spełnienia warunków określonych w niniejszej instrukcji, w zawartych umowach, a także warunków zawartych </w:t>
      </w:r>
      <w:r>
        <w:rPr>
          <w:rFonts w:ascii="Garamond" w:hAnsi="Garamond"/>
          <w:sz w:val="24"/>
          <w:szCs w:val="24"/>
        </w:rPr>
        <w:br/>
      </w:r>
      <w:r w:rsidR="00D1071A" w:rsidRPr="00AE3F1B">
        <w:rPr>
          <w:rFonts w:ascii="Garamond" w:hAnsi="Garamond"/>
          <w:sz w:val="24"/>
          <w:szCs w:val="24"/>
        </w:rPr>
        <w:t>w dokumentacji projektowej i fabrycznej oraz spełnieniu ich wymagań. Przyjmowane do eksploatacji urządzenia, instalacje i sieci w zależności od potrzeb, powinny posiadać wymaganą dokumentację prawną i techniczną.</w:t>
      </w:r>
    </w:p>
    <w:p w14:paraId="0EB5F745" w14:textId="683C97D1" w:rsidR="00D1071A" w:rsidRPr="00AE3F1B" w:rsidRDefault="003F57FB" w:rsidP="00175586">
      <w:pPr>
        <w:spacing w:after="170" w:line="253" w:lineRule="auto"/>
        <w:ind w:left="567" w:right="-3" w:hanging="567"/>
        <w:jc w:val="left"/>
        <w:rPr>
          <w:rFonts w:ascii="Garamond" w:hAnsi="Garamond"/>
          <w:sz w:val="24"/>
          <w:szCs w:val="24"/>
        </w:rPr>
      </w:pPr>
      <w:r>
        <w:rPr>
          <w:rFonts w:ascii="Garamond" w:hAnsi="Garamond"/>
          <w:sz w:val="24"/>
          <w:szCs w:val="24"/>
        </w:rPr>
        <w:t>III</w:t>
      </w:r>
      <w:r w:rsidR="00D1071A" w:rsidRPr="00AE3F1B">
        <w:rPr>
          <w:rFonts w:ascii="Garamond" w:hAnsi="Garamond"/>
          <w:sz w:val="24"/>
          <w:szCs w:val="24"/>
        </w:rPr>
        <w:t>.2.2. Urządzenia przyłączane lub przyłączone do sieci 110kV, SN i nN, po dokonaniu remontu lub przebudowy, przed przyjęciem do eksploatacji są poddawane specjalnej procedurze przy wprowadzaniu do eksploatacji np. ruchowi próbnemu.</w:t>
      </w:r>
    </w:p>
    <w:p w14:paraId="75DBBA3A" w14:textId="11870937" w:rsidR="00D1071A" w:rsidRPr="00AE3F1B" w:rsidRDefault="00EB0DD5" w:rsidP="00175586">
      <w:pPr>
        <w:spacing w:after="188" w:line="253" w:lineRule="auto"/>
        <w:ind w:left="567" w:right="-3" w:hanging="567"/>
        <w:jc w:val="left"/>
        <w:rPr>
          <w:rFonts w:ascii="Garamond" w:hAnsi="Garamond"/>
          <w:sz w:val="24"/>
          <w:szCs w:val="24"/>
        </w:rPr>
      </w:pPr>
      <w:r>
        <w:rPr>
          <w:rFonts w:ascii="Garamond" w:hAnsi="Garamond"/>
          <w:sz w:val="24"/>
          <w:szCs w:val="24"/>
        </w:rPr>
        <w:t>III</w:t>
      </w:r>
      <w:r w:rsidRPr="00AE3F1B">
        <w:rPr>
          <w:rFonts w:ascii="Garamond" w:hAnsi="Garamond"/>
          <w:sz w:val="24"/>
          <w:szCs w:val="24"/>
        </w:rPr>
        <w:t>.</w:t>
      </w:r>
      <w:r w:rsidR="00D1071A" w:rsidRPr="00AE3F1B">
        <w:rPr>
          <w:rFonts w:ascii="Garamond" w:hAnsi="Garamond"/>
          <w:sz w:val="24"/>
          <w:szCs w:val="24"/>
        </w:rPr>
        <w:t xml:space="preserve">2.3. Specjalne procedury o których mowa w pkt. </w:t>
      </w:r>
      <w:r w:rsidR="00EF3F0E">
        <w:rPr>
          <w:rFonts w:ascii="Garamond" w:hAnsi="Garamond"/>
          <w:sz w:val="24"/>
          <w:szCs w:val="24"/>
        </w:rPr>
        <w:t>III</w:t>
      </w:r>
      <w:r w:rsidR="00D1071A" w:rsidRPr="00AE3F1B">
        <w:rPr>
          <w:rFonts w:ascii="Garamond" w:hAnsi="Garamond"/>
          <w:sz w:val="24"/>
          <w:szCs w:val="24"/>
        </w:rPr>
        <w:t>.2.2. są ustalane pomiędzy właścicielem lub podmiotem prowadzącym eksploatację urządzeń, ID Sp. z o.o. i wykonawcą prac, z uwzględnieniem wymagań producenta urządzeń.</w:t>
      </w:r>
    </w:p>
    <w:p w14:paraId="09842AB3" w14:textId="61621C08" w:rsidR="00D1071A" w:rsidRPr="00AE3F1B" w:rsidRDefault="003F57FB" w:rsidP="00175586">
      <w:pPr>
        <w:spacing w:line="253" w:lineRule="auto"/>
        <w:ind w:left="567" w:right="-3" w:hanging="567"/>
        <w:jc w:val="left"/>
        <w:rPr>
          <w:rFonts w:ascii="Garamond" w:hAnsi="Garamond"/>
          <w:sz w:val="24"/>
          <w:szCs w:val="24"/>
        </w:rPr>
      </w:pPr>
      <w:r>
        <w:rPr>
          <w:rFonts w:ascii="Garamond" w:hAnsi="Garamond"/>
          <w:sz w:val="24"/>
          <w:szCs w:val="24"/>
        </w:rPr>
        <w:t>III</w:t>
      </w:r>
      <w:r w:rsidR="00D1071A" w:rsidRPr="00AE3F1B">
        <w:rPr>
          <w:rFonts w:ascii="Garamond" w:hAnsi="Garamond"/>
          <w:sz w:val="24"/>
          <w:szCs w:val="24"/>
        </w:rPr>
        <w:t xml:space="preserve">.2.4. Właściciel urządzeń, instalacji i sieci (w porozumieniu z ID Sp. </w:t>
      </w:r>
      <w:r w:rsidR="00EB0DD5" w:rsidRPr="00AE3F1B">
        <w:rPr>
          <w:rFonts w:ascii="Garamond" w:hAnsi="Garamond"/>
          <w:sz w:val="24"/>
          <w:szCs w:val="24"/>
        </w:rPr>
        <w:t>z o.o.,</w:t>
      </w:r>
      <w:r w:rsidR="00D1071A" w:rsidRPr="00AE3F1B">
        <w:rPr>
          <w:rFonts w:ascii="Garamond" w:hAnsi="Garamond"/>
          <w:sz w:val="24"/>
          <w:szCs w:val="24"/>
        </w:rPr>
        <w:t xml:space="preserve"> jeżeli właścicielem nie jest ID Sp. </w:t>
      </w:r>
      <w:r w:rsidR="00EB0DD5" w:rsidRPr="00AE3F1B">
        <w:rPr>
          <w:rFonts w:ascii="Garamond" w:hAnsi="Garamond"/>
          <w:sz w:val="24"/>
          <w:szCs w:val="24"/>
        </w:rPr>
        <w:t>z o.o.)</w:t>
      </w:r>
      <w:r w:rsidR="00D1071A" w:rsidRPr="00AE3F1B">
        <w:rPr>
          <w:rFonts w:ascii="Garamond" w:hAnsi="Garamond"/>
          <w:sz w:val="24"/>
          <w:szCs w:val="24"/>
        </w:rPr>
        <w:t xml:space="preserve"> dokonuje odbioru urządzeń, instalacji i sieci oraz sporządza protokół stwierdzający spełnienie przez przyjmowane do eksploatacji urządzenia, instalacje i sieci wymagań określonych w niniejszej </w:t>
      </w:r>
      <w:r w:rsidR="005B3AD1" w:rsidRPr="005B3AD1">
        <w:rPr>
          <w:rFonts w:ascii="Garamond" w:hAnsi="Garamond"/>
          <w:sz w:val="24"/>
          <w:szCs w:val="24"/>
        </w:rPr>
        <w:t>IRiESD</w:t>
      </w:r>
      <w:r w:rsidR="00D1071A" w:rsidRPr="00AE3F1B">
        <w:rPr>
          <w:rFonts w:ascii="Garamond" w:hAnsi="Garamond"/>
          <w:sz w:val="24"/>
          <w:szCs w:val="24"/>
        </w:rPr>
        <w:t>.</w:t>
      </w:r>
    </w:p>
    <w:p w14:paraId="2E66D099" w14:textId="6D8DD3D2" w:rsidR="00D1071A" w:rsidRPr="00EB0DD5" w:rsidRDefault="00EB0DD5" w:rsidP="00EB0DD5">
      <w:pPr>
        <w:spacing w:after="171" w:line="253" w:lineRule="auto"/>
        <w:ind w:left="567" w:right="-3" w:hanging="567"/>
        <w:jc w:val="left"/>
        <w:rPr>
          <w:rFonts w:ascii="Garamond" w:hAnsi="Garamond"/>
          <w:color w:val="0B769F" w:themeColor="accent4" w:themeShade="BF"/>
          <w:sz w:val="24"/>
          <w:szCs w:val="24"/>
        </w:rPr>
      </w:pPr>
      <w:r w:rsidRPr="00EB0DD5">
        <w:rPr>
          <w:rFonts w:ascii="Garamond" w:hAnsi="Garamond"/>
          <w:color w:val="0B769F" w:themeColor="accent4" w:themeShade="BF"/>
          <w:sz w:val="24"/>
          <w:szCs w:val="24"/>
        </w:rPr>
        <w:t xml:space="preserve">III.2.5. </w:t>
      </w:r>
      <w:r w:rsidR="00D1071A" w:rsidRPr="00EB0DD5">
        <w:rPr>
          <w:rFonts w:ascii="Garamond" w:hAnsi="Garamond"/>
          <w:color w:val="0B769F" w:themeColor="accent4" w:themeShade="BF"/>
          <w:sz w:val="24"/>
          <w:szCs w:val="24"/>
        </w:rPr>
        <w:t xml:space="preserve">ID Sp. z o.o. w </w:t>
      </w:r>
      <w:r w:rsidRPr="00EB0DD5">
        <w:rPr>
          <w:rFonts w:ascii="Garamond" w:hAnsi="Garamond"/>
          <w:color w:val="0B769F" w:themeColor="accent4" w:themeShade="BF"/>
          <w:sz w:val="24"/>
          <w:szCs w:val="24"/>
        </w:rPr>
        <w:t>przypadku,</w:t>
      </w:r>
      <w:r w:rsidR="00D1071A" w:rsidRPr="00EB0DD5">
        <w:rPr>
          <w:rFonts w:ascii="Garamond" w:hAnsi="Garamond"/>
          <w:color w:val="0B769F" w:themeColor="accent4" w:themeShade="BF"/>
          <w:sz w:val="24"/>
          <w:szCs w:val="24"/>
        </w:rPr>
        <w:t xml:space="preserve"> gdy nie jest właścicielem uruchamianych urządzeń, instalacji i sieci, zastrzega sobie prawo sprawdzenia urządzeń, instalacji i sieci przyłączanych do sieci, której jest operatorem.</w:t>
      </w:r>
    </w:p>
    <w:p w14:paraId="395D4092" w14:textId="77777777" w:rsidR="00D1071A" w:rsidRPr="00D72FB3" w:rsidRDefault="00D1071A" w:rsidP="00175586">
      <w:pPr>
        <w:keepNext/>
        <w:keepLines/>
        <w:tabs>
          <w:tab w:val="center" w:pos="5144"/>
        </w:tabs>
        <w:spacing w:after="16" w:line="248" w:lineRule="auto"/>
        <w:ind w:left="567" w:right="-3" w:hanging="567"/>
        <w:jc w:val="left"/>
        <w:outlineLvl w:val="1"/>
        <w:rPr>
          <w:rFonts w:asciiTheme="majorHAnsi" w:hAnsiTheme="majorHAnsi"/>
          <w:b/>
          <w:bCs/>
          <w:sz w:val="24"/>
          <w:szCs w:val="24"/>
        </w:rPr>
      </w:pPr>
      <w:bookmarkStart w:id="51" w:name="_Toc171860238"/>
      <w:bookmarkStart w:id="52" w:name="_Toc171861052"/>
      <w:r w:rsidRPr="00D72FB3">
        <w:rPr>
          <w:rFonts w:asciiTheme="majorHAnsi" w:hAnsiTheme="majorHAnsi"/>
          <w:b/>
          <w:bCs/>
          <w:sz w:val="24"/>
          <w:szCs w:val="24"/>
        </w:rPr>
        <w:t>III.3.</w:t>
      </w:r>
      <w:r w:rsidRPr="00D72FB3">
        <w:rPr>
          <w:rFonts w:asciiTheme="majorHAnsi" w:hAnsiTheme="majorHAnsi"/>
          <w:b/>
          <w:bCs/>
          <w:sz w:val="24"/>
          <w:szCs w:val="24"/>
        </w:rPr>
        <w:tab/>
      </w:r>
      <w:r w:rsidR="003F57FB" w:rsidRPr="00D72FB3">
        <w:rPr>
          <w:rFonts w:asciiTheme="majorHAnsi" w:hAnsiTheme="majorHAnsi"/>
          <w:b/>
          <w:bCs/>
          <w:sz w:val="24"/>
          <w:szCs w:val="24"/>
        </w:rPr>
        <w:t>Przekazywanie urządzeń do remontu lub wycofanie z eksploatacji</w:t>
      </w:r>
      <w:bookmarkEnd w:id="51"/>
      <w:bookmarkEnd w:id="52"/>
    </w:p>
    <w:p w14:paraId="4982E35A" w14:textId="77777777" w:rsidR="00D1071A" w:rsidRPr="00AE3F1B" w:rsidRDefault="00D1071A" w:rsidP="00175586">
      <w:pPr>
        <w:spacing w:after="165" w:line="253" w:lineRule="auto"/>
        <w:ind w:left="567" w:right="-3" w:hanging="567"/>
        <w:jc w:val="left"/>
        <w:rPr>
          <w:rFonts w:ascii="Garamond" w:hAnsi="Garamond"/>
          <w:sz w:val="24"/>
          <w:szCs w:val="24"/>
        </w:rPr>
      </w:pPr>
      <w:r w:rsidRPr="00AE3F1B">
        <w:rPr>
          <w:rFonts w:ascii="Garamond" w:hAnsi="Garamond"/>
          <w:sz w:val="24"/>
          <w:szCs w:val="24"/>
        </w:rPr>
        <w:t>III.3.1. Przekazanie urządzeń do remontu lub wycofanie z eksploatacji następuje na podstawie decyzji właściciela urządzeń.</w:t>
      </w:r>
    </w:p>
    <w:p w14:paraId="3D58C405" w14:textId="77777777" w:rsidR="00D1071A" w:rsidRPr="00AE3F1B" w:rsidRDefault="003F57FB" w:rsidP="00175586">
      <w:pPr>
        <w:spacing w:after="179" w:line="253" w:lineRule="auto"/>
        <w:ind w:left="567" w:right="-3" w:hanging="567"/>
        <w:jc w:val="left"/>
        <w:rPr>
          <w:rFonts w:ascii="Garamond" w:hAnsi="Garamond"/>
          <w:sz w:val="24"/>
          <w:szCs w:val="24"/>
        </w:rPr>
      </w:pPr>
      <w:r>
        <w:rPr>
          <w:rFonts w:ascii="Garamond" w:hAnsi="Garamond"/>
          <w:sz w:val="24"/>
          <w:szCs w:val="24"/>
        </w:rPr>
        <w:t>III</w:t>
      </w:r>
      <w:r w:rsidR="00D1071A" w:rsidRPr="00AE3F1B">
        <w:rPr>
          <w:rFonts w:ascii="Garamond" w:hAnsi="Garamond"/>
          <w:sz w:val="24"/>
          <w:szCs w:val="24"/>
        </w:rPr>
        <w:t>.3.2. Datę i sposób przekazania urządzeń ID do remontu lub wycofania z eksploatacji należy uzgodnić z Zarządem ID Sp. z o.o.</w:t>
      </w:r>
    </w:p>
    <w:p w14:paraId="1164C2DE" w14:textId="363F644D" w:rsidR="00D1071A" w:rsidRPr="00AE3F1B" w:rsidRDefault="00EB0DD5" w:rsidP="00175586">
      <w:pPr>
        <w:spacing w:after="153" w:line="253" w:lineRule="auto"/>
        <w:ind w:left="567" w:right="-3" w:hanging="567"/>
        <w:jc w:val="left"/>
        <w:rPr>
          <w:rFonts w:ascii="Garamond" w:hAnsi="Garamond"/>
          <w:sz w:val="24"/>
          <w:szCs w:val="24"/>
        </w:rPr>
      </w:pPr>
      <w:r w:rsidRPr="00AE3F1B">
        <w:rPr>
          <w:rFonts w:ascii="Garamond" w:hAnsi="Garamond"/>
          <w:sz w:val="24"/>
          <w:szCs w:val="24"/>
        </w:rPr>
        <w:t>III.</w:t>
      </w:r>
      <w:r w:rsidR="00D1071A" w:rsidRPr="00AE3F1B">
        <w:rPr>
          <w:rFonts w:ascii="Garamond" w:hAnsi="Garamond"/>
          <w:sz w:val="24"/>
          <w:szCs w:val="24"/>
        </w:rPr>
        <w:t>3.3. Datę i sposób przekazania urządzeń odbiorców do remontu lub wycofania z eksploatacji należy uzgodnić z ID Sp. z o.o.</w:t>
      </w:r>
    </w:p>
    <w:p w14:paraId="61948A53" w14:textId="77777777" w:rsidR="00D1071A" w:rsidRPr="00D72FB3" w:rsidRDefault="0016584A" w:rsidP="00175586">
      <w:pPr>
        <w:tabs>
          <w:tab w:val="center" w:pos="4608"/>
        </w:tabs>
        <w:spacing w:after="115" w:line="248" w:lineRule="auto"/>
        <w:ind w:left="567" w:right="-3" w:hanging="567"/>
        <w:jc w:val="left"/>
        <w:rPr>
          <w:rFonts w:asciiTheme="majorHAnsi" w:hAnsiTheme="majorHAnsi"/>
          <w:b/>
          <w:bCs/>
          <w:sz w:val="24"/>
          <w:szCs w:val="24"/>
        </w:rPr>
      </w:pPr>
      <w:r w:rsidRPr="00D72FB3">
        <w:rPr>
          <w:rFonts w:asciiTheme="majorHAnsi" w:hAnsiTheme="majorHAnsi"/>
          <w:b/>
          <w:bCs/>
          <w:sz w:val="24"/>
          <w:szCs w:val="24"/>
        </w:rPr>
        <w:t>III</w:t>
      </w:r>
      <w:r w:rsidR="00D1071A" w:rsidRPr="00D72FB3">
        <w:rPr>
          <w:rFonts w:asciiTheme="majorHAnsi" w:hAnsiTheme="majorHAnsi"/>
          <w:b/>
          <w:bCs/>
          <w:sz w:val="24"/>
          <w:szCs w:val="24"/>
        </w:rPr>
        <w:t>.4.</w:t>
      </w:r>
      <w:r w:rsidR="00D1071A" w:rsidRPr="00D72FB3">
        <w:rPr>
          <w:rFonts w:asciiTheme="majorHAnsi" w:hAnsiTheme="majorHAnsi"/>
          <w:b/>
          <w:bCs/>
          <w:sz w:val="24"/>
          <w:szCs w:val="24"/>
        </w:rPr>
        <w:tab/>
        <w:t>UZGADNIANIE PRAC EKSPLOATACYJNYCH Z PGE DYSTRYBUCJA S.A.</w:t>
      </w:r>
    </w:p>
    <w:p w14:paraId="1A8B7D87" w14:textId="0BDA487C" w:rsidR="00D1071A" w:rsidRPr="00AE3F1B" w:rsidRDefault="0016584A" w:rsidP="00175586">
      <w:pPr>
        <w:spacing w:after="191" w:line="253" w:lineRule="auto"/>
        <w:ind w:left="567" w:right="-3" w:hanging="567"/>
        <w:jc w:val="left"/>
        <w:rPr>
          <w:rFonts w:ascii="Garamond" w:hAnsi="Garamond"/>
          <w:sz w:val="24"/>
          <w:szCs w:val="24"/>
        </w:rPr>
      </w:pPr>
      <w:r>
        <w:rPr>
          <w:rFonts w:ascii="Garamond" w:hAnsi="Garamond"/>
          <w:sz w:val="24"/>
          <w:szCs w:val="24"/>
        </w:rPr>
        <w:t>III</w:t>
      </w:r>
      <w:r w:rsidR="00D1071A" w:rsidRPr="00AE3F1B">
        <w:rPr>
          <w:rFonts w:ascii="Garamond" w:hAnsi="Garamond"/>
          <w:sz w:val="24"/>
          <w:szCs w:val="24"/>
        </w:rPr>
        <w:t xml:space="preserve">.4.1. ID Sp. z o.o. dokonuje niezbędnych uzgodnień z PGE Dystrybucja S.A. w zakresie terminów planowanych prac eksploatacyjnych prowadzonych w stacji110/6kV i </w:t>
      </w:r>
      <w:r w:rsidR="00E53E27" w:rsidRPr="00AE3F1B">
        <w:rPr>
          <w:rFonts w:ascii="Garamond" w:hAnsi="Garamond"/>
          <w:sz w:val="24"/>
          <w:szCs w:val="24"/>
        </w:rPr>
        <w:t>6</w:t>
      </w:r>
      <w:r w:rsidR="00D1071A" w:rsidRPr="00AE3F1B">
        <w:rPr>
          <w:rFonts w:ascii="Garamond" w:hAnsi="Garamond"/>
          <w:sz w:val="24"/>
          <w:szCs w:val="24"/>
        </w:rPr>
        <w:t xml:space="preserve">/0,4kV, zgodnie </w:t>
      </w:r>
      <w:r w:rsidR="00645717">
        <w:rPr>
          <w:rFonts w:ascii="Garamond" w:hAnsi="Garamond"/>
          <w:sz w:val="24"/>
          <w:szCs w:val="24"/>
        </w:rPr>
        <w:br/>
      </w:r>
      <w:r w:rsidR="00FF23BB" w:rsidRPr="00AE3F1B">
        <w:rPr>
          <w:rFonts w:ascii="Garamond" w:hAnsi="Garamond"/>
          <w:sz w:val="24"/>
          <w:szCs w:val="24"/>
        </w:rPr>
        <w:t>z</w:t>
      </w:r>
      <w:r w:rsidR="005A49CC">
        <w:rPr>
          <w:rFonts w:ascii="Garamond" w:hAnsi="Garamond"/>
          <w:sz w:val="24"/>
          <w:szCs w:val="24"/>
        </w:rPr>
        <w:t xml:space="preserve"> </w:t>
      </w:r>
      <w:r w:rsidR="005A49CC" w:rsidRPr="005A49CC">
        <w:rPr>
          <w:rFonts w:ascii="Garamond" w:hAnsi="Garamond"/>
          <w:sz w:val="24"/>
          <w:szCs w:val="24"/>
        </w:rPr>
        <w:t>IRiESD</w:t>
      </w:r>
      <w:r w:rsidR="00FF23BB" w:rsidRPr="00AE3F1B">
        <w:rPr>
          <w:rFonts w:ascii="Garamond" w:hAnsi="Garamond"/>
          <w:sz w:val="24"/>
          <w:szCs w:val="24"/>
        </w:rPr>
        <w:t xml:space="preserve"> PGE</w:t>
      </w:r>
      <w:r w:rsidR="00D1071A" w:rsidRPr="00AE3F1B">
        <w:rPr>
          <w:rFonts w:ascii="Garamond" w:hAnsi="Garamond"/>
          <w:sz w:val="24"/>
          <w:szCs w:val="24"/>
        </w:rPr>
        <w:t xml:space="preserve"> Dystrybucja S.A</w:t>
      </w:r>
    </w:p>
    <w:p w14:paraId="745B62AE" w14:textId="77777777" w:rsidR="00D1071A" w:rsidRPr="00D72FB3" w:rsidRDefault="0016584A" w:rsidP="00175586">
      <w:pPr>
        <w:keepNext/>
        <w:keepLines/>
        <w:tabs>
          <w:tab w:val="center" w:pos="3356"/>
        </w:tabs>
        <w:spacing w:after="16" w:line="248" w:lineRule="auto"/>
        <w:ind w:left="567" w:right="-3" w:hanging="567"/>
        <w:jc w:val="left"/>
        <w:outlineLvl w:val="1"/>
        <w:rPr>
          <w:rFonts w:asciiTheme="majorHAnsi" w:hAnsiTheme="majorHAnsi"/>
          <w:b/>
          <w:bCs/>
          <w:sz w:val="24"/>
          <w:szCs w:val="24"/>
        </w:rPr>
      </w:pPr>
      <w:bookmarkStart w:id="53" w:name="_Toc171860239"/>
      <w:bookmarkStart w:id="54" w:name="_Toc171861053"/>
      <w:r w:rsidRPr="00D72FB3">
        <w:rPr>
          <w:rFonts w:asciiTheme="majorHAnsi" w:hAnsiTheme="majorHAnsi"/>
          <w:b/>
          <w:bCs/>
          <w:sz w:val="24"/>
          <w:szCs w:val="24"/>
        </w:rPr>
        <w:t>III</w:t>
      </w:r>
      <w:r w:rsidR="00D1071A" w:rsidRPr="00D72FB3">
        <w:rPr>
          <w:rFonts w:asciiTheme="majorHAnsi" w:hAnsiTheme="majorHAnsi"/>
          <w:b/>
          <w:bCs/>
          <w:sz w:val="24"/>
          <w:szCs w:val="24"/>
        </w:rPr>
        <w:t>.5.</w:t>
      </w:r>
      <w:r w:rsidR="00D1071A" w:rsidRPr="00D72FB3">
        <w:rPr>
          <w:rFonts w:asciiTheme="majorHAnsi" w:hAnsiTheme="majorHAnsi"/>
          <w:b/>
          <w:bCs/>
          <w:sz w:val="24"/>
          <w:szCs w:val="24"/>
        </w:rPr>
        <w:tab/>
      </w:r>
      <w:r w:rsidRPr="00D72FB3">
        <w:rPr>
          <w:rFonts w:asciiTheme="majorHAnsi" w:hAnsiTheme="majorHAnsi"/>
          <w:b/>
          <w:bCs/>
          <w:sz w:val="24"/>
          <w:szCs w:val="24"/>
        </w:rPr>
        <w:t>Dokumentacja techniczna i prawna</w:t>
      </w:r>
      <w:bookmarkEnd w:id="53"/>
      <w:bookmarkEnd w:id="54"/>
    </w:p>
    <w:p w14:paraId="70E5A7B7" w14:textId="1746A009" w:rsidR="00D1071A" w:rsidRPr="00AE3F1B" w:rsidRDefault="00EB0DD5" w:rsidP="00EB0DD5">
      <w:pPr>
        <w:ind w:left="567" w:right="-3" w:hanging="567"/>
        <w:jc w:val="left"/>
        <w:rPr>
          <w:rFonts w:ascii="Garamond" w:hAnsi="Garamond"/>
          <w:sz w:val="24"/>
          <w:szCs w:val="24"/>
        </w:rPr>
      </w:pPr>
      <w:r>
        <w:rPr>
          <w:rFonts w:ascii="Garamond" w:hAnsi="Garamond"/>
          <w:sz w:val="24"/>
          <w:szCs w:val="24"/>
        </w:rPr>
        <w:t>III</w:t>
      </w:r>
      <w:r w:rsidRPr="00AE3F1B">
        <w:rPr>
          <w:rFonts w:ascii="Garamond" w:hAnsi="Garamond"/>
          <w:sz w:val="24"/>
          <w:szCs w:val="24"/>
        </w:rPr>
        <w:t>.</w:t>
      </w:r>
      <w:r w:rsidR="00D1071A" w:rsidRPr="00AE3F1B">
        <w:rPr>
          <w:rFonts w:ascii="Garamond" w:hAnsi="Garamond"/>
          <w:sz w:val="24"/>
          <w:szCs w:val="24"/>
        </w:rPr>
        <w:t>5.1. Właściciel obiektu lub urządzenia elektroenergetycznego prowadzi i na bieżąco aktualizuje następującą dokumentację:</w:t>
      </w:r>
    </w:p>
    <w:p w14:paraId="35601716" w14:textId="77777777" w:rsidR="00D1071A" w:rsidRPr="00EB0DD5" w:rsidRDefault="00D1071A">
      <w:pPr>
        <w:pStyle w:val="Akapitzlist"/>
        <w:numPr>
          <w:ilvl w:val="0"/>
          <w:numId w:val="107"/>
        </w:numPr>
        <w:spacing w:line="253" w:lineRule="auto"/>
        <w:ind w:right="-3"/>
        <w:jc w:val="left"/>
        <w:rPr>
          <w:rFonts w:ascii="Garamond" w:hAnsi="Garamond"/>
          <w:sz w:val="24"/>
          <w:szCs w:val="24"/>
        </w:rPr>
      </w:pPr>
      <w:r w:rsidRPr="00EB0DD5">
        <w:rPr>
          <w:rFonts w:ascii="Garamond" w:hAnsi="Garamond"/>
          <w:sz w:val="24"/>
          <w:szCs w:val="24"/>
        </w:rPr>
        <w:t>dla obiektu elektroenergetycznego — dokumentację prawną i techniczną,</w:t>
      </w:r>
    </w:p>
    <w:p w14:paraId="4262675B" w14:textId="77777777" w:rsidR="00D1071A" w:rsidRPr="00EB0DD5" w:rsidRDefault="00D1071A">
      <w:pPr>
        <w:pStyle w:val="Akapitzlist"/>
        <w:numPr>
          <w:ilvl w:val="0"/>
          <w:numId w:val="107"/>
        </w:numPr>
        <w:spacing w:line="253" w:lineRule="auto"/>
        <w:ind w:right="-3"/>
        <w:jc w:val="left"/>
        <w:rPr>
          <w:rFonts w:ascii="Garamond" w:hAnsi="Garamond"/>
          <w:sz w:val="24"/>
          <w:szCs w:val="24"/>
        </w:rPr>
      </w:pPr>
      <w:r w:rsidRPr="00EB0DD5">
        <w:rPr>
          <w:rFonts w:ascii="Garamond" w:hAnsi="Garamond"/>
          <w:sz w:val="24"/>
          <w:szCs w:val="24"/>
        </w:rPr>
        <w:lastRenderedPageBreak/>
        <w:t>dla urządzeń — dokumentację techniczną.</w:t>
      </w:r>
    </w:p>
    <w:p w14:paraId="5423E905" w14:textId="6C36C23F" w:rsidR="00D1071A" w:rsidRDefault="00D1071A" w:rsidP="00EB0DD5">
      <w:pPr>
        <w:spacing w:after="146" w:line="253" w:lineRule="auto"/>
        <w:ind w:left="360" w:right="-3"/>
        <w:jc w:val="left"/>
        <w:rPr>
          <w:rFonts w:ascii="Garamond" w:hAnsi="Garamond"/>
          <w:sz w:val="24"/>
          <w:szCs w:val="24"/>
        </w:rPr>
      </w:pPr>
      <w:r w:rsidRPr="00AE3F1B">
        <w:rPr>
          <w:rFonts w:ascii="Garamond" w:hAnsi="Garamond"/>
          <w:sz w:val="24"/>
          <w:szCs w:val="24"/>
        </w:rPr>
        <w:t>Dopuszcza się prowadzenie oraz aktualizacje dokumentacji przez inny podmiot działający na</w:t>
      </w:r>
      <w:r w:rsidR="00EB0DD5">
        <w:rPr>
          <w:rFonts w:ascii="Garamond" w:hAnsi="Garamond"/>
          <w:sz w:val="24"/>
          <w:szCs w:val="24"/>
        </w:rPr>
        <w:t xml:space="preserve"> </w:t>
      </w:r>
      <w:r w:rsidRPr="00AE3F1B">
        <w:rPr>
          <w:rFonts w:ascii="Garamond" w:hAnsi="Garamond"/>
          <w:sz w:val="24"/>
          <w:szCs w:val="24"/>
        </w:rPr>
        <w:t xml:space="preserve">podstawie umowy zawartej z właścicielem. Rodzaj i zakres prowadzonej dokumentacji </w:t>
      </w:r>
      <w:r w:rsidR="00B72B29" w:rsidRPr="00AE3F1B">
        <w:rPr>
          <w:rFonts w:ascii="Garamond" w:hAnsi="Garamond"/>
          <w:sz w:val="24"/>
          <w:szCs w:val="24"/>
        </w:rPr>
        <w:t>określają</w:t>
      </w:r>
      <w:r w:rsidR="00B72B29">
        <w:rPr>
          <w:rFonts w:ascii="Garamond" w:hAnsi="Garamond"/>
          <w:sz w:val="24"/>
          <w:szCs w:val="24"/>
        </w:rPr>
        <w:t xml:space="preserve"> </w:t>
      </w:r>
      <w:r w:rsidR="00B72B29" w:rsidRPr="00AE3F1B">
        <w:rPr>
          <w:rFonts w:ascii="Garamond" w:hAnsi="Garamond"/>
          <w:sz w:val="24"/>
          <w:szCs w:val="24"/>
        </w:rPr>
        <w:t>umowy</w:t>
      </w:r>
      <w:r w:rsidR="00B72B29">
        <w:rPr>
          <w:rFonts w:ascii="Garamond" w:hAnsi="Garamond"/>
          <w:sz w:val="24"/>
          <w:szCs w:val="24"/>
        </w:rPr>
        <w:t>.</w:t>
      </w:r>
    </w:p>
    <w:p w14:paraId="1AE52454" w14:textId="77777777" w:rsidR="00EB0DD5" w:rsidRPr="00AE3F1B" w:rsidRDefault="00EB0DD5" w:rsidP="00EB0DD5">
      <w:pPr>
        <w:spacing w:after="146" w:line="253" w:lineRule="auto"/>
        <w:ind w:left="360" w:right="-3"/>
        <w:jc w:val="left"/>
        <w:rPr>
          <w:rFonts w:ascii="Garamond" w:hAnsi="Garamond"/>
          <w:sz w:val="24"/>
          <w:szCs w:val="24"/>
        </w:rPr>
      </w:pPr>
    </w:p>
    <w:p w14:paraId="00AF524A" w14:textId="77777777" w:rsidR="00D1071A" w:rsidRPr="00AE3F1B" w:rsidRDefault="0016584A" w:rsidP="00175586">
      <w:pPr>
        <w:spacing w:after="172" w:line="253" w:lineRule="auto"/>
        <w:ind w:left="567" w:right="-3" w:hanging="567"/>
        <w:jc w:val="left"/>
        <w:rPr>
          <w:rFonts w:ascii="Garamond" w:hAnsi="Garamond"/>
          <w:sz w:val="24"/>
          <w:szCs w:val="24"/>
        </w:rPr>
      </w:pPr>
      <w:r>
        <w:rPr>
          <w:rFonts w:ascii="Garamond" w:hAnsi="Garamond"/>
          <w:sz w:val="24"/>
          <w:szCs w:val="24"/>
        </w:rPr>
        <w:t>III</w:t>
      </w:r>
      <w:r w:rsidR="00D1071A" w:rsidRPr="00AE3F1B">
        <w:rPr>
          <w:rFonts w:ascii="Garamond" w:hAnsi="Garamond"/>
          <w:sz w:val="24"/>
          <w:szCs w:val="24"/>
        </w:rPr>
        <w:t>.5.2.Dokumentacja prawna obiektu elektroenergetycznego powinna zawierać w szczególności:</w:t>
      </w:r>
    </w:p>
    <w:p w14:paraId="60F4A2D1" w14:textId="77777777" w:rsidR="00D1071A" w:rsidRPr="00EB0DD5" w:rsidRDefault="00D1071A">
      <w:pPr>
        <w:pStyle w:val="Akapitzlist"/>
        <w:numPr>
          <w:ilvl w:val="0"/>
          <w:numId w:val="108"/>
        </w:numPr>
        <w:spacing w:line="253" w:lineRule="auto"/>
        <w:ind w:right="-3"/>
        <w:jc w:val="left"/>
        <w:rPr>
          <w:rFonts w:ascii="Garamond" w:hAnsi="Garamond"/>
          <w:sz w:val="24"/>
          <w:szCs w:val="24"/>
        </w:rPr>
      </w:pPr>
      <w:r w:rsidRPr="00EB0DD5">
        <w:rPr>
          <w:rFonts w:ascii="Garamond" w:hAnsi="Garamond"/>
          <w:sz w:val="24"/>
          <w:szCs w:val="24"/>
        </w:rPr>
        <w:t>decyzję o warunkach zabudowy i zagospodarowania terenu — jeżeli jest wymagana,</w:t>
      </w:r>
    </w:p>
    <w:p w14:paraId="24172623" w14:textId="77777777" w:rsidR="00D1071A" w:rsidRPr="00EB0DD5" w:rsidRDefault="00D1071A">
      <w:pPr>
        <w:pStyle w:val="Akapitzlist"/>
        <w:numPr>
          <w:ilvl w:val="0"/>
          <w:numId w:val="108"/>
        </w:numPr>
        <w:spacing w:line="253" w:lineRule="auto"/>
        <w:ind w:right="-3"/>
        <w:jc w:val="left"/>
        <w:rPr>
          <w:rFonts w:ascii="Garamond" w:hAnsi="Garamond"/>
          <w:sz w:val="24"/>
          <w:szCs w:val="24"/>
        </w:rPr>
      </w:pPr>
      <w:r w:rsidRPr="00EB0DD5">
        <w:rPr>
          <w:rFonts w:ascii="Garamond" w:hAnsi="Garamond"/>
          <w:sz w:val="24"/>
          <w:szCs w:val="24"/>
        </w:rPr>
        <w:t>dokumenty stwierdzające stan prawno-własnościowy nieruchomości,</w:t>
      </w:r>
    </w:p>
    <w:p w14:paraId="271ED579" w14:textId="77777777" w:rsidR="00D1071A" w:rsidRPr="00EB0DD5" w:rsidRDefault="00D1071A">
      <w:pPr>
        <w:pStyle w:val="Akapitzlist"/>
        <w:numPr>
          <w:ilvl w:val="0"/>
          <w:numId w:val="108"/>
        </w:numPr>
        <w:spacing w:line="253" w:lineRule="auto"/>
        <w:ind w:right="-3"/>
        <w:jc w:val="left"/>
        <w:rPr>
          <w:rFonts w:ascii="Garamond" w:hAnsi="Garamond"/>
          <w:sz w:val="24"/>
          <w:szCs w:val="24"/>
        </w:rPr>
      </w:pPr>
      <w:r w:rsidRPr="00EB0DD5">
        <w:rPr>
          <w:rFonts w:ascii="Garamond" w:hAnsi="Garamond"/>
          <w:sz w:val="24"/>
          <w:szCs w:val="24"/>
        </w:rPr>
        <w:t>pozwolenie na budowę wraz z załącznikami,</w:t>
      </w:r>
    </w:p>
    <w:p w14:paraId="64F044BE" w14:textId="77777777" w:rsidR="00D1071A" w:rsidRPr="00EB0DD5" w:rsidRDefault="00D1071A">
      <w:pPr>
        <w:pStyle w:val="Akapitzlist"/>
        <w:numPr>
          <w:ilvl w:val="0"/>
          <w:numId w:val="108"/>
        </w:numPr>
        <w:spacing w:after="107" w:line="253" w:lineRule="auto"/>
        <w:ind w:right="-3"/>
        <w:jc w:val="left"/>
        <w:rPr>
          <w:rFonts w:ascii="Garamond" w:hAnsi="Garamond"/>
          <w:sz w:val="24"/>
          <w:szCs w:val="24"/>
        </w:rPr>
      </w:pPr>
      <w:r w:rsidRPr="00EB0DD5">
        <w:rPr>
          <w:rFonts w:ascii="Garamond" w:hAnsi="Garamond"/>
          <w:sz w:val="24"/>
          <w:szCs w:val="24"/>
        </w:rPr>
        <w:t>pozwolenie na użytkowanie — jeżeli jest wymagane.</w:t>
      </w:r>
    </w:p>
    <w:p w14:paraId="708A194B" w14:textId="77777777" w:rsidR="00D1071A" w:rsidRPr="00AE3F1B" w:rsidRDefault="0016584A" w:rsidP="00175586">
      <w:pPr>
        <w:spacing w:after="165" w:line="253" w:lineRule="auto"/>
        <w:ind w:left="567" w:right="-3" w:hanging="567"/>
        <w:jc w:val="left"/>
        <w:rPr>
          <w:rFonts w:ascii="Garamond" w:hAnsi="Garamond"/>
          <w:sz w:val="24"/>
          <w:szCs w:val="24"/>
        </w:rPr>
      </w:pPr>
      <w:r>
        <w:rPr>
          <w:rFonts w:ascii="Garamond" w:hAnsi="Garamond"/>
          <w:sz w:val="24"/>
          <w:szCs w:val="24"/>
        </w:rPr>
        <w:t>III</w:t>
      </w:r>
      <w:r w:rsidR="00D1071A" w:rsidRPr="00AE3F1B">
        <w:rPr>
          <w:rFonts w:ascii="Garamond" w:hAnsi="Garamond"/>
          <w:sz w:val="24"/>
          <w:szCs w:val="24"/>
        </w:rPr>
        <w:t>.5.3. Dokumentacja techniczna w zależności od potrzeb, rodzaju obiektu, urządzenia lub grupy urządzeń obejmuje m.in.:</w:t>
      </w:r>
    </w:p>
    <w:p w14:paraId="7CF93E24" w14:textId="77777777" w:rsidR="00D1071A" w:rsidRPr="00EB0DD5" w:rsidRDefault="00D1071A">
      <w:pPr>
        <w:pStyle w:val="Akapitzlist"/>
        <w:numPr>
          <w:ilvl w:val="0"/>
          <w:numId w:val="109"/>
        </w:numPr>
        <w:spacing w:line="253" w:lineRule="auto"/>
        <w:ind w:right="-3"/>
        <w:jc w:val="left"/>
        <w:rPr>
          <w:rFonts w:ascii="Garamond" w:hAnsi="Garamond"/>
          <w:sz w:val="24"/>
          <w:szCs w:val="24"/>
        </w:rPr>
      </w:pPr>
      <w:r w:rsidRPr="00EB0DD5">
        <w:rPr>
          <w:rFonts w:ascii="Garamond" w:hAnsi="Garamond"/>
          <w:sz w:val="24"/>
          <w:szCs w:val="24"/>
        </w:rPr>
        <w:t>dokumentację powykonawczą,</w:t>
      </w:r>
    </w:p>
    <w:p w14:paraId="00D1DA80" w14:textId="77777777" w:rsidR="00D1071A" w:rsidRPr="00EB0DD5" w:rsidRDefault="00D1071A">
      <w:pPr>
        <w:pStyle w:val="Akapitzlist"/>
        <w:numPr>
          <w:ilvl w:val="0"/>
          <w:numId w:val="109"/>
        </w:numPr>
        <w:spacing w:line="253" w:lineRule="auto"/>
        <w:ind w:right="-3"/>
        <w:jc w:val="left"/>
        <w:rPr>
          <w:rFonts w:ascii="Garamond" w:hAnsi="Garamond"/>
          <w:sz w:val="24"/>
          <w:szCs w:val="24"/>
        </w:rPr>
      </w:pPr>
      <w:r w:rsidRPr="00EB0DD5">
        <w:rPr>
          <w:rFonts w:ascii="Garamond" w:hAnsi="Garamond"/>
          <w:sz w:val="24"/>
          <w:szCs w:val="24"/>
        </w:rPr>
        <w:t>protokół zakwalifikowania pomieszczeń i ich stref lub przestrzeni zewnętrznych do kategorii bezpieczeństwa pożarowego i/lub zagrożenia wybuchem,</w:t>
      </w:r>
    </w:p>
    <w:p w14:paraId="0DB817E0" w14:textId="5F940574" w:rsidR="00D1071A" w:rsidRPr="00EB0DD5" w:rsidRDefault="00D1071A">
      <w:pPr>
        <w:pStyle w:val="Akapitzlist"/>
        <w:numPr>
          <w:ilvl w:val="0"/>
          <w:numId w:val="109"/>
        </w:numPr>
        <w:spacing w:line="253" w:lineRule="auto"/>
        <w:ind w:right="-3"/>
        <w:jc w:val="left"/>
        <w:rPr>
          <w:rFonts w:ascii="Garamond" w:hAnsi="Garamond"/>
          <w:sz w:val="24"/>
          <w:szCs w:val="24"/>
        </w:rPr>
      </w:pPr>
      <w:r w:rsidRPr="00EB0DD5">
        <w:rPr>
          <w:rFonts w:ascii="Garamond" w:hAnsi="Garamond"/>
          <w:sz w:val="24"/>
          <w:szCs w:val="24"/>
        </w:rPr>
        <w:t>dokumentację fabryczną urządzenia, w tym: świadectwa, karty gwarancyjne, fabryczne instrukcje obsługi, opisy techniczne, rysunki</w:t>
      </w:r>
      <w:r w:rsidR="00D77525">
        <w:rPr>
          <w:rFonts w:ascii="Garamond" w:hAnsi="Garamond"/>
          <w:sz w:val="24"/>
          <w:szCs w:val="24"/>
        </w:rPr>
        <w:t xml:space="preserve"> </w:t>
      </w:r>
      <w:r w:rsidRPr="00EB0DD5">
        <w:rPr>
          <w:rFonts w:ascii="Garamond" w:hAnsi="Garamond"/>
          <w:sz w:val="24"/>
          <w:szCs w:val="24"/>
        </w:rPr>
        <w:t>montażowe i zestawieniowe,</w:t>
      </w:r>
    </w:p>
    <w:p w14:paraId="6A78A8C4" w14:textId="77777777" w:rsidR="00D1071A" w:rsidRPr="00EB0DD5" w:rsidRDefault="00D1071A">
      <w:pPr>
        <w:pStyle w:val="Akapitzlist"/>
        <w:numPr>
          <w:ilvl w:val="0"/>
          <w:numId w:val="109"/>
        </w:numPr>
        <w:spacing w:line="253" w:lineRule="auto"/>
        <w:ind w:right="-3"/>
        <w:jc w:val="left"/>
        <w:rPr>
          <w:rFonts w:ascii="Garamond" w:hAnsi="Garamond"/>
          <w:sz w:val="24"/>
          <w:szCs w:val="24"/>
        </w:rPr>
      </w:pPr>
      <w:r w:rsidRPr="00EB0DD5">
        <w:rPr>
          <w:rFonts w:ascii="Garamond" w:hAnsi="Garamond"/>
          <w:sz w:val="24"/>
          <w:szCs w:val="24"/>
        </w:rPr>
        <w:t>dokumentację związaną z ochroną środowiska naturalnego,</w:t>
      </w:r>
    </w:p>
    <w:p w14:paraId="31EF5BFB" w14:textId="77777777" w:rsidR="00D1071A" w:rsidRPr="00EB0DD5" w:rsidRDefault="00D1071A">
      <w:pPr>
        <w:pStyle w:val="Akapitzlist"/>
        <w:numPr>
          <w:ilvl w:val="0"/>
          <w:numId w:val="109"/>
        </w:numPr>
        <w:spacing w:line="253" w:lineRule="auto"/>
        <w:ind w:right="-3"/>
        <w:jc w:val="left"/>
        <w:rPr>
          <w:rFonts w:ascii="Garamond" w:hAnsi="Garamond"/>
          <w:sz w:val="24"/>
          <w:szCs w:val="24"/>
        </w:rPr>
      </w:pPr>
      <w:r w:rsidRPr="00EB0DD5">
        <w:rPr>
          <w:rFonts w:ascii="Garamond" w:hAnsi="Garamond"/>
          <w:sz w:val="24"/>
          <w:szCs w:val="24"/>
        </w:rPr>
        <w:t>dokumentację eksploatacyjną i ruchową.</w:t>
      </w:r>
    </w:p>
    <w:p w14:paraId="46A87636" w14:textId="77777777" w:rsidR="00D1071A" w:rsidRPr="00AE3F1B" w:rsidRDefault="0016584A" w:rsidP="00175586">
      <w:pPr>
        <w:spacing w:after="160" w:line="253" w:lineRule="auto"/>
        <w:ind w:left="567" w:right="-3" w:hanging="567"/>
        <w:jc w:val="left"/>
        <w:rPr>
          <w:rFonts w:ascii="Garamond" w:hAnsi="Garamond"/>
          <w:sz w:val="24"/>
          <w:szCs w:val="24"/>
        </w:rPr>
      </w:pPr>
      <w:r>
        <w:rPr>
          <w:rFonts w:ascii="Garamond" w:hAnsi="Garamond"/>
          <w:sz w:val="24"/>
          <w:szCs w:val="24"/>
        </w:rPr>
        <w:t>III</w:t>
      </w:r>
      <w:r w:rsidR="00D1071A" w:rsidRPr="00AE3F1B">
        <w:rPr>
          <w:rFonts w:ascii="Garamond" w:hAnsi="Garamond"/>
          <w:sz w:val="24"/>
          <w:szCs w:val="24"/>
        </w:rPr>
        <w:t>.5.4. Dokumentacja eksploatacyjna i ruchowa w zależności od potrzeb, rodzaju obiektu, urządzenia lub grupy urządzeń obejmuje m.in.:</w:t>
      </w:r>
    </w:p>
    <w:p w14:paraId="47CBE124" w14:textId="77777777" w:rsidR="00D1071A" w:rsidRPr="00EB0DD5" w:rsidRDefault="00D1071A">
      <w:pPr>
        <w:pStyle w:val="Akapitzlist"/>
        <w:numPr>
          <w:ilvl w:val="0"/>
          <w:numId w:val="110"/>
        </w:numPr>
        <w:spacing w:line="253" w:lineRule="auto"/>
        <w:ind w:right="-3"/>
        <w:jc w:val="left"/>
        <w:rPr>
          <w:rFonts w:ascii="Garamond" w:hAnsi="Garamond"/>
          <w:sz w:val="24"/>
          <w:szCs w:val="24"/>
        </w:rPr>
      </w:pPr>
      <w:r w:rsidRPr="00EB0DD5">
        <w:rPr>
          <w:rFonts w:ascii="Garamond" w:hAnsi="Garamond"/>
          <w:sz w:val="24"/>
          <w:szCs w:val="24"/>
        </w:rPr>
        <w:t>dokumenty przyjęcia do eksploatacji,</w:t>
      </w:r>
    </w:p>
    <w:p w14:paraId="7388EEA7" w14:textId="77777777" w:rsidR="00D1071A" w:rsidRPr="00EB0DD5" w:rsidRDefault="00D1071A">
      <w:pPr>
        <w:pStyle w:val="Akapitzlist"/>
        <w:numPr>
          <w:ilvl w:val="0"/>
          <w:numId w:val="110"/>
        </w:numPr>
        <w:spacing w:after="34" w:line="253" w:lineRule="auto"/>
        <w:ind w:right="-3"/>
        <w:jc w:val="left"/>
        <w:rPr>
          <w:rFonts w:ascii="Garamond" w:hAnsi="Garamond"/>
          <w:sz w:val="24"/>
          <w:szCs w:val="24"/>
        </w:rPr>
      </w:pPr>
      <w:r w:rsidRPr="00EB0DD5">
        <w:rPr>
          <w:rFonts w:ascii="Garamond" w:hAnsi="Garamond"/>
          <w:sz w:val="24"/>
          <w:szCs w:val="24"/>
        </w:rPr>
        <w:t>instrukcję eksploatacji wraz z niezbędnymi załącznikami,</w:t>
      </w:r>
    </w:p>
    <w:p w14:paraId="67386EEE" w14:textId="77777777" w:rsidR="00D1071A" w:rsidRPr="00EB0DD5" w:rsidRDefault="00D1071A">
      <w:pPr>
        <w:pStyle w:val="Akapitzlist"/>
        <w:numPr>
          <w:ilvl w:val="0"/>
          <w:numId w:val="110"/>
        </w:numPr>
        <w:spacing w:line="253" w:lineRule="auto"/>
        <w:ind w:right="-3"/>
        <w:jc w:val="left"/>
        <w:rPr>
          <w:rFonts w:ascii="Garamond" w:hAnsi="Garamond"/>
          <w:sz w:val="24"/>
          <w:szCs w:val="24"/>
        </w:rPr>
      </w:pPr>
      <w:r w:rsidRPr="00EB0DD5">
        <w:rPr>
          <w:rFonts w:ascii="Garamond" w:hAnsi="Garamond"/>
          <w:sz w:val="24"/>
          <w:szCs w:val="24"/>
        </w:rPr>
        <w:t xml:space="preserve">dokumenty dotyczące oględzin, przeglądów, konserwacji, napraw i remontów, </w:t>
      </w:r>
      <w:r w:rsidR="009D6C75" w:rsidRPr="00EB0DD5">
        <w:rPr>
          <w:rFonts w:ascii="Garamond" w:hAnsi="Garamond"/>
          <w:sz w:val="24"/>
          <w:szCs w:val="24"/>
        </w:rPr>
        <w:br/>
      </w:r>
      <w:r w:rsidRPr="00EB0DD5">
        <w:rPr>
          <w:rFonts w:ascii="Garamond" w:hAnsi="Garamond"/>
          <w:sz w:val="24"/>
          <w:szCs w:val="24"/>
        </w:rPr>
        <w:t>w tym dokumenty dotyczące rodzaju i zakresu uszkodzeń i napraw,</w:t>
      </w:r>
    </w:p>
    <w:p w14:paraId="7B04A0CF" w14:textId="77777777" w:rsidR="00D1071A" w:rsidRPr="00EB0DD5" w:rsidRDefault="00D1071A">
      <w:pPr>
        <w:pStyle w:val="Akapitzlist"/>
        <w:numPr>
          <w:ilvl w:val="0"/>
          <w:numId w:val="110"/>
        </w:numPr>
        <w:spacing w:line="253" w:lineRule="auto"/>
        <w:ind w:right="-3"/>
        <w:jc w:val="left"/>
        <w:rPr>
          <w:rFonts w:ascii="Garamond" w:hAnsi="Garamond"/>
          <w:sz w:val="24"/>
          <w:szCs w:val="24"/>
        </w:rPr>
      </w:pPr>
      <w:r w:rsidRPr="00EB0DD5">
        <w:rPr>
          <w:rFonts w:ascii="Garamond" w:hAnsi="Garamond"/>
          <w:sz w:val="24"/>
          <w:szCs w:val="24"/>
        </w:rPr>
        <w:t>protokoły zawierające wyniki przeprowadzonych badań, prób i pomiarów,</w:t>
      </w:r>
    </w:p>
    <w:p w14:paraId="7B9A2B2B" w14:textId="77777777" w:rsidR="00D1071A" w:rsidRPr="00EB0DD5" w:rsidRDefault="00D1071A">
      <w:pPr>
        <w:pStyle w:val="Akapitzlist"/>
        <w:numPr>
          <w:ilvl w:val="0"/>
          <w:numId w:val="110"/>
        </w:numPr>
        <w:spacing w:after="26" w:line="253" w:lineRule="auto"/>
        <w:ind w:right="-3"/>
        <w:jc w:val="left"/>
        <w:rPr>
          <w:rFonts w:ascii="Garamond" w:hAnsi="Garamond"/>
          <w:sz w:val="24"/>
          <w:szCs w:val="24"/>
        </w:rPr>
      </w:pPr>
      <w:r w:rsidRPr="00EB0DD5">
        <w:rPr>
          <w:rFonts w:ascii="Garamond" w:hAnsi="Garamond"/>
          <w:sz w:val="24"/>
          <w:szCs w:val="24"/>
        </w:rPr>
        <w:t>wykaz niezbędnych części zamiennych,</w:t>
      </w:r>
    </w:p>
    <w:p w14:paraId="64770821" w14:textId="77777777" w:rsidR="00D1071A" w:rsidRPr="00EB0DD5" w:rsidRDefault="00D1071A">
      <w:pPr>
        <w:pStyle w:val="Akapitzlist"/>
        <w:numPr>
          <w:ilvl w:val="0"/>
          <w:numId w:val="110"/>
        </w:numPr>
        <w:spacing w:line="253" w:lineRule="auto"/>
        <w:ind w:right="-3"/>
        <w:jc w:val="left"/>
        <w:rPr>
          <w:rFonts w:ascii="Garamond" w:hAnsi="Garamond"/>
          <w:sz w:val="24"/>
          <w:szCs w:val="24"/>
        </w:rPr>
      </w:pPr>
      <w:r w:rsidRPr="00EB0DD5">
        <w:rPr>
          <w:rFonts w:ascii="Garamond" w:hAnsi="Garamond"/>
          <w:sz w:val="24"/>
          <w:szCs w:val="24"/>
        </w:rPr>
        <w:t>dokumenty z przeprowadzonej oceny stanu technicznego,</w:t>
      </w:r>
    </w:p>
    <w:p w14:paraId="457FCF67" w14:textId="77777777" w:rsidR="00D1071A" w:rsidRPr="00EB0DD5" w:rsidRDefault="00D1071A">
      <w:pPr>
        <w:pStyle w:val="Akapitzlist"/>
        <w:numPr>
          <w:ilvl w:val="0"/>
          <w:numId w:val="110"/>
        </w:numPr>
        <w:spacing w:after="28" w:line="253" w:lineRule="auto"/>
        <w:ind w:right="-3"/>
        <w:jc w:val="left"/>
        <w:rPr>
          <w:rFonts w:ascii="Garamond" w:hAnsi="Garamond"/>
          <w:sz w:val="24"/>
          <w:szCs w:val="24"/>
        </w:rPr>
      </w:pPr>
      <w:r w:rsidRPr="00EB0DD5">
        <w:rPr>
          <w:rFonts w:ascii="Garamond" w:hAnsi="Garamond"/>
          <w:sz w:val="24"/>
          <w:szCs w:val="24"/>
        </w:rPr>
        <w:t>dziennik operacyjny,</w:t>
      </w:r>
    </w:p>
    <w:p w14:paraId="53446E18" w14:textId="77777777" w:rsidR="00D1071A" w:rsidRPr="00EB0DD5" w:rsidRDefault="00D1071A">
      <w:pPr>
        <w:pStyle w:val="Akapitzlist"/>
        <w:numPr>
          <w:ilvl w:val="0"/>
          <w:numId w:val="110"/>
        </w:numPr>
        <w:spacing w:line="253" w:lineRule="auto"/>
        <w:ind w:right="-3"/>
        <w:jc w:val="left"/>
        <w:rPr>
          <w:rFonts w:ascii="Garamond" w:hAnsi="Garamond"/>
          <w:sz w:val="24"/>
          <w:szCs w:val="24"/>
        </w:rPr>
      </w:pPr>
      <w:r w:rsidRPr="00EB0DD5">
        <w:rPr>
          <w:rFonts w:ascii="Garamond" w:hAnsi="Garamond"/>
          <w:sz w:val="24"/>
          <w:szCs w:val="24"/>
        </w:rPr>
        <w:t>schemat elektryczny obiektu z zaznaczeniem granic własności,</w:t>
      </w:r>
    </w:p>
    <w:p w14:paraId="03407A18" w14:textId="77777777" w:rsidR="00D1071A" w:rsidRPr="00EB0DD5" w:rsidRDefault="00D1071A">
      <w:pPr>
        <w:pStyle w:val="Akapitzlist"/>
        <w:numPr>
          <w:ilvl w:val="0"/>
          <w:numId w:val="110"/>
        </w:numPr>
        <w:spacing w:line="253" w:lineRule="auto"/>
        <w:ind w:right="-3"/>
        <w:jc w:val="left"/>
        <w:rPr>
          <w:rFonts w:ascii="Garamond" w:hAnsi="Garamond"/>
          <w:sz w:val="24"/>
          <w:szCs w:val="24"/>
        </w:rPr>
      </w:pPr>
      <w:r w:rsidRPr="00EB0DD5">
        <w:rPr>
          <w:rFonts w:ascii="Garamond" w:hAnsi="Garamond"/>
          <w:sz w:val="24"/>
          <w:szCs w:val="24"/>
        </w:rPr>
        <w:t>wykaz nastawień zabezpieczeń i automatyki,</w:t>
      </w:r>
    </w:p>
    <w:p w14:paraId="5B98A95C" w14:textId="77777777" w:rsidR="00D1071A" w:rsidRPr="00EB0DD5" w:rsidRDefault="00D1071A">
      <w:pPr>
        <w:pStyle w:val="Akapitzlist"/>
        <w:numPr>
          <w:ilvl w:val="0"/>
          <w:numId w:val="110"/>
        </w:numPr>
        <w:spacing w:line="253" w:lineRule="auto"/>
        <w:ind w:right="-3"/>
        <w:jc w:val="left"/>
        <w:rPr>
          <w:rFonts w:ascii="Garamond" w:hAnsi="Garamond"/>
          <w:sz w:val="24"/>
          <w:szCs w:val="24"/>
        </w:rPr>
      </w:pPr>
      <w:r w:rsidRPr="00EB0DD5">
        <w:rPr>
          <w:rFonts w:ascii="Garamond" w:hAnsi="Garamond"/>
          <w:sz w:val="24"/>
          <w:szCs w:val="24"/>
        </w:rPr>
        <w:t>karty przełączeń,</w:t>
      </w:r>
    </w:p>
    <w:p w14:paraId="0AA60293" w14:textId="77777777" w:rsidR="00D1071A" w:rsidRPr="00EB0DD5" w:rsidRDefault="00D1071A">
      <w:pPr>
        <w:pStyle w:val="Akapitzlist"/>
        <w:numPr>
          <w:ilvl w:val="0"/>
          <w:numId w:val="110"/>
        </w:numPr>
        <w:spacing w:line="253" w:lineRule="auto"/>
        <w:ind w:right="-3"/>
        <w:jc w:val="left"/>
        <w:rPr>
          <w:rFonts w:ascii="Garamond" w:hAnsi="Garamond"/>
          <w:sz w:val="24"/>
          <w:szCs w:val="24"/>
        </w:rPr>
      </w:pPr>
      <w:r w:rsidRPr="00EB0DD5">
        <w:rPr>
          <w:rFonts w:ascii="Garamond" w:hAnsi="Garamond"/>
          <w:sz w:val="24"/>
          <w:szCs w:val="24"/>
        </w:rPr>
        <w:t>ewidencję założonych uziemień,</w:t>
      </w:r>
    </w:p>
    <w:p w14:paraId="1DBD64D9" w14:textId="77777777" w:rsidR="00D1071A" w:rsidRPr="00EB0DD5" w:rsidRDefault="00D1071A">
      <w:pPr>
        <w:pStyle w:val="Akapitzlist"/>
        <w:numPr>
          <w:ilvl w:val="0"/>
          <w:numId w:val="110"/>
        </w:numPr>
        <w:spacing w:line="253" w:lineRule="auto"/>
        <w:ind w:right="-3"/>
        <w:jc w:val="left"/>
        <w:rPr>
          <w:rFonts w:ascii="Garamond" w:hAnsi="Garamond"/>
          <w:sz w:val="24"/>
          <w:szCs w:val="24"/>
        </w:rPr>
      </w:pPr>
      <w:r w:rsidRPr="00EB0DD5">
        <w:rPr>
          <w:rFonts w:ascii="Garamond" w:hAnsi="Garamond"/>
          <w:sz w:val="24"/>
          <w:szCs w:val="24"/>
        </w:rPr>
        <w:t>programy łączeniowe,</w:t>
      </w:r>
    </w:p>
    <w:p w14:paraId="05D28917" w14:textId="77777777" w:rsidR="00D1071A" w:rsidRPr="00EB0DD5" w:rsidRDefault="00D1071A">
      <w:pPr>
        <w:pStyle w:val="Akapitzlist"/>
        <w:numPr>
          <w:ilvl w:val="0"/>
          <w:numId w:val="110"/>
        </w:numPr>
        <w:spacing w:after="109" w:line="253" w:lineRule="auto"/>
        <w:ind w:right="-3"/>
        <w:jc w:val="left"/>
        <w:rPr>
          <w:rFonts w:ascii="Garamond" w:hAnsi="Garamond"/>
          <w:sz w:val="24"/>
          <w:szCs w:val="24"/>
        </w:rPr>
      </w:pPr>
      <w:r w:rsidRPr="00EB0DD5">
        <w:rPr>
          <w:rFonts w:ascii="Garamond" w:hAnsi="Garamond"/>
          <w:sz w:val="24"/>
          <w:szCs w:val="24"/>
        </w:rPr>
        <w:t>wykaz personelu ruchowego.</w:t>
      </w:r>
    </w:p>
    <w:p w14:paraId="78E1E9EE" w14:textId="77777777" w:rsidR="00D1071A" w:rsidRPr="00AE3F1B" w:rsidRDefault="0016584A" w:rsidP="00175586">
      <w:pPr>
        <w:spacing w:after="203" w:line="253" w:lineRule="auto"/>
        <w:ind w:left="567" w:right="-3" w:hanging="567"/>
        <w:jc w:val="left"/>
        <w:rPr>
          <w:rFonts w:ascii="Garamond" w:hAnsi="Garamond"/>
          <w:sz w:val="24"/>
          <w:szCs w:val="24"/>
        </w:rPr>
      </w:pPr>
      <w:r>
        <w:rPr>
          <w:rFonts w:ascii="Garamond" w:hAnsi="Garamond"/>
          <w:sz w:val="24"/>
          <w:szCs w:val="24"/>
        </w:rPr>
        <w:t>III</w:t>
      </w:r>
      <w:r w:rsidR="00D1071A" w:rsidRPr="00AE3F1B">
        <w:rPr>
          <w:rFonts w:ascii="Garamond" w:hAnsi="Garamond"/>
          <w:sz w:val="24"/>
          <w:szCs w:val="24"/>
        </w:rPr>
        <w:t>.5.5. Instrukcja eksploatacji obiektu, urządzenia lub grupy urządzeń jest opracowywana przez właściciela i w zależności od potrzeb oraz rodzaju obiektu, urządzenia lub grupy urządzeń zawiera m.in.:</w:t>
      </w:r>
    </w:p>
    <w:p w14:paraId="0DD8409B" w14:textId="77777777" w:rsidR="00D1071A" w:rsidRPr="00EB0DD5" w:rsidRDefault="00D1071A">
      <w:pPr>
        <w:pStyle w:val="Akapitzlist"/>
        <w:numPr>
          <w:ilvl w:val="0"/>
          <w:numId w:val="111"/>
        </w:numPr>
        <w:spacing w:line="253" w:lineRule="auto"/>
        <w:ind w:right="-3"/>
        <w:jc w:val="left"/>
        <w:rPr>
          <w:rFonts w:ascii="Garamond" w:hAnsi="Garamond"/>
          <w:sz w:val="24"/>
          <w:szCs w:val="24"/>
        </w:rPr>
      </w:pPr>
      <w:r w:rsidRPr="00EB0DD5">
        <w:rPr>
          <w:rFonts w:ascii="Garamond" w:hAnsi="Garamond"/>
          <w:sz w:val="24"/>
          <w:szCs w:val="24"/>
        </w:rPr>
        <w:t>ogólną charakterystykę urządzenia,</w:t>
      </w:r>
    </w:p>
    <w:p w14:paraId="3C333893" w14:textId="77777777" w:rsidR="00D1071A" w:rsidRPr="00EB0DD5" w:rsidRDefault="00D1071A">
      <w:pPr>
        <w:pStyle w:val="Akapitzlist"/>
        <w:numPr>
          <w:ilvl w:val="0"/>
          <w:numId w:val="111"/>
        </w:numPr>
        <w:spacing w:line="253" w:lineRule="auto"/>
        <w:ind w:right="-3"/>
        <w:jc w:val="left"/>
        <w:rPr>
          <w:rFonts w:ascii="Garamond" w:hAnsi="Garamond"/>
          <w:sz w:val="24"/>
          <w:szCs w:val="24"/>
        </w:rPr>
      </w:pPr>
      <w:r w:rsidRPr="00EB0DD5">
        <w:rPr>
          <w:rFonts w:ascii="Garamond" w:hAnsi="Garamond"/>
          <w:sz w:val="24"/>
          <w:szCs w:val="24"/>
        </w:rPr>
        <w:t>niezbędne warunki eksploatacji urządzenia,</w:t>
      </w:r>
    </w:p>
    <w:p w14:paraId="140E3712" w14:textId="77777777" w:rsidR="00D1071A" w:rsidRPr="00EB0DD5" w:rsidRDefault="00D1071A">
      <w:pPr>
        <w:pStyle w:val="Akapitzlist"/>
        <w:numPr>
          <w:ilvl w:val="0"/>
          <w:numId w:val="111"/>
        </w:numPr>
        <w:spacing w:line="253" w:lineRule="auto"/>
        <w:ind w:right="-3"/>
        <w:jc w:val="left"/>
        <w:rPr>
          <w:rFonts w:ascii="Garamond" w:hAnsi="Garamond"/>
          <w:sz w:val="24"/>
          <w:szCs w:val="24"/>
        </w:rPr>
      </w:pPr>
      <w:r w:rsidRPr="00EB0DD5">
        <w:rPr>
          <w:rFonts w:ascii="Garamond" w:hAnsi="Garamond"/>
          <w:sz w:val="24"/>
          <w:szCs w:val="24"/>
        </w:rPr>
        <w:t>wymagania dotyczące kwalifikacji osób zajmujących się eksploatacją,</w:t>
      </w:r>
    </w:p>
    <w:p w14:paraId="006374F3" w14:textId="77777777" w:rsidR="00D1071A" w:rsidRPr="00EB0DD5" w:rsidRDefault="00D1071A">
      <w:pPr>
        <w:pStyle w:val="Akapitzlist"/>
        <w:numPr>
          <w:ilvl w:val="0"/>
          <w:numId w:val="111"/>
        </w:numPr>
        <w:spacing w:line="253" w:lineRule="auto"/>
        <w:ind w:right="-3"/>
        <w:jc w:val="left"/>
        <w:rPr>
          <w:rFonts w:ascii="Garamond" w:hAnsi="Garamond"/>
          <w:sz w:val="24"/>
          <w:szCs w:val="24"/>
        </w:rPr>
      </w:pPr>
      <w:r w:rsidRPr="00EB0DD5">
        <w:rPr>
          <w:rFonts w:ascii="Garamond" w:hAnsi="Garamond"/>
          <w:sz w:val="24"/>
          <w:szCs w:val="24"/>
        </w:rPr>
        <w:lastRenderedPageBreak/>
        <w:t xml:space="preserve">określenie czynności związanych z uruchomieniem, obsługą w czasie pracy </w:t>
      </w:r>
      <w:r w:rsidR="009D6C75" w:rsidRPr="00EB0DD5">
        <w:rPr>
          <w:rFonts w:ascii="Garamond" w:hAnsi="Garamond"/>
          <w:sz w:val="24"/>
          <w:szCs w:val="24"/>
        </w:rPr>
        <w:br/>
      </w:r>
      <w:r w:rsidRPr="00EB0DD5">
        <w:rPr>
          <w:rFonts w:ascii="Garamond" w:hAnsi="Garamond"/>
          <w:sz w:val="24"/>
          <w:szCs w:val="24"/>
        </w:rPr>
        <w:t>i wyłączeniem urządzenia w warunkach normalnej eksploatacji,</w:t>
      </w:r>
    </w:p>
    <w:p w14:paraId="028A45BA" w14:textId="77777777" w:rsidR="00D1071A" w:rsidRPr="00EB0DD5" w:rsidRDefault="00D1071A">
      <w:pPr>
        <w:pStyle w:val="Akapitzlist"/>
        <w:numPr>
          <w:ilvl w:val="0"/>
          <w:numId w:val="111"/>
        </w:numPr>
        <w:spacing w:line="253" w:lineRule="auto"/>
        <w:ind w:right="-3"/>
        <w:jc w:val="left"/>
        <w:rPr>
          <w:rFonts w:ascii="Garamond" w:hAnsi="Garamond"/>
          <w:sz w:val="24"/>
          <w:szCs w:val="24"/>
        </w:rPr>
      </w:pPr>
      <w:r w:rsidRPr="00EB0DD5">
        <w:rPr>
          <w:rFonts w:ascii="Garamond" w:hAnsi="Garamond"/>
          <w:sz w:val="24"/>
          <w:szCs w:val="24"/>
        </w:rPr>
        <w:t>zakresy przeprowadzania oględzin, przeglądów oraz prób, pomiarów i badań,</w:t>
      </w:r>
    </w:p>
    <w:p w14:paraId="0DA1B3F0" w14:textId="77777777" w:rsidR="00D1071A" w:rsidRPr="00EB0DD5" w:rsidRDefault="00D1071A">
      <w:pPr>
        <w:pStyle w:val="Akapitzlist"/>
        <w:numPr>
          <w:ilvl w:val="0"/>
          <w:numId w:val="111"/>
        </w:numPr>
        <w:spacing w:line="253" w:lineRule="auto"/>
        <w:ind w:right="-3"/>
        <w:jc w:val="left"/>
        <w:rPr>
          <w:rFonts w:ascii="Garamond" w:hAnsi="Garamond"/>
          <w:sz w:val="24"/>
          <w:szCs w:val="24"/>
        </w:rPr>
      </w:pPr>
      <w:r w:rsidRPr="00EB0DD5">
        <w:rPr>
          <w:rFonts w:ascii="Garamond" w:hAnsi="Garamond"/>
          <w:sz w:val="24"/>
          <w:szCs w:val="24"/>
        </w:rPr>
        <w:t>wymagania w zakresie konserwacji i napraw,</w:t>
      </w:r>
    </w:p>
    <w:p w14:paraId="0F80A4FE" w14:textId="77777777" w:rsidR="00D1071A" w:rsidRPr="00EB0DD5" w:rsidRDefault="00D1071A">
      <w:pPr>
        <w:pStyle w:val="Akapitzlist"/>
        <w:numPr>
          <w:ilvl w:val="0"/>
          <w:numId w:val="111"/>
        </w:numPr>
        <w:spacing w:after="27" w:line="253" w:lineRule="auto"/>
        <w:ind w:right="-3"/>
        <w:jc w:val="left"/>
        <w:rPr>
          <w:rFonts w:ascii="Garamond" w:hAnsi="Garamond"/>
          <w:sz w:val="24"/>
          <w:szCs w:val="24"/>
        </w:rPr>
      </w:pPr>
      <w:r w:rsidRPr="00EB0DD5">
        <w:rPr>
          <w:rFonts w:ascii="Garamond" w:hAnsi="Garamond"/>
          <w:sz w:val="24"/>
          <w:szCs w:val="24"/>
        </w:rPr>
        <w:t xml:space="preserve">zasady postępowania w razie awarii, pożaru i w przypadku innych zakłóceń w pracy </w:t>
      </w:r>
      <w:r w:rsidR="009D6C75" w:rsidRPr="00EB0DD5">
        <w:rPr>
          <w:rFonts w:ascii="Garamond" w:hAnsi="Garamond"/>
          <w:sz w:val="24"/>
          <w:szCs w:val="24"/>
        </w:rPr>
        <w:br/>
      </w:r>
      <w:r w:rsidRPr="00EB0DD5">
        <w:rPr>
          <w:rFonts w:ascii="Garamond" w:hAnsi="Garamond"/>
          <w:sz w:val="24"/>
          <w:szCs w:val="24"/>
        </w:rPr>
        <w:t>urządzenia,</w:t>
      </w:r>
    </w:p>
    <w:p w14:paraId="55465B4F" w14:textId="77777777" w:rsidR="00D1071A" w:rsidRPr="00EB0DD5" w:rsidRDefault="00D1071A">
      <w:pPr>
        <w:pStyle w:val="Akapitzlist"/>
        <w:numPr>
          <w:ilvl w:val="0"/>
          <w:numId w:val="111"/>
        </w:numPr>
        <w:spacing w:line="253" w:lineRule="auto"/>
        <w:ind w:right="-3"/>
        <w:jc w:val="left"/>
        <w:rPr>
          <w:rFonts w:ascii="Garamond" w:hAnsi="Garamond"/>
          <w:sz w:val="24"/>
          <w:szCs w:val="24"/>
        </w:rPr>
      </w:pPr>
      <w:r w:rsidRPr="00EB0DD5">
        <w:rPr>
          <w:rFonts w:ascii="Garamond" w:hAnsi="Garamond"/>
          <w:sz w:val="24"/>
          <w:szCs w:val="24"/>
        </w:rPr>
        <w:t>wykaz niezbędnego sprzętu ochronnego,</w:t>
      </w:r>
    </w:p>
    <w:p w14:paraId="0729BC48" w14:textId="77777777" w:rsidR="00D1071A" w:rsidRPr="00EB0DD5" w:rsidRDefault="00D1071A">
      <w:pPr>
        <w:pStyle w:val="Akapitzlist"/>
        <w:numPr>
          <w:ilvl w:val="0"/>
          <w:numId w:val="111"/>
        </w:numPr>
        <w:spacing w:line="253" w:lineRule="auto"/>
        <w:ind w:right="-3"/>
        <w:jc w:val="left"/>
        <w:rPr>
          <w:rFonts w:ascii="Garamond" w:hAnsi="Garamond"/>
          <w:sz w:val="24"/>
          <w:szCs w:val="24"/>
        </w:rPr>
      </w:pPr>
      <w:r w:rsidRPr="00EB0DD5">
        <w:rPr>
          <w:rFonts w:ascii="Garamond" w:hAnsi="Garamond"/>
          <w:sz w:val="24"/>
          <w:szCs w:val="24"/>
        </w:rPr>
        <w:t>informacje o środkach łączności,</w:t>
      </w:r>
    </w:p>
    <w:p w14:paraId="6728D864" w14:textId="77777777" w:rsidR="00D1071A" w:rsidRPr="00EB0DD5" w:rsidRDefault="00D1071A">
      <w:pPr>
        <w:pStyle w:val="Akapitzlist"/>
        <w:numPr>
          <w:ilvl w:val="0"/>
          <w:numId w:val="111"/>
        </w:numPr>
        <w:spacing w:line="253" w:lineRule="auto"/>
        <w:ind w:right="-3"/>
        <w:jc w:val="left"/>
        <w:rPr>
          <w:rFonts w:ascii="Garamond" w:hAnsi="Garamond"/>
          <w:sz w:val="24"/>
          <w:szCs w:val="24"/>
        </w:rPr>
      </w:pPr>
      <w:r w:rsidRPr="00EB0DD5">
        <w:rPr>
          <w:rFonts w:ascii="Garamond" w:hAnsi="Garamond"/>
          <w:sz w:val="24"/>
          <w:szCs w:val="24"/>
        </w:rPr>
        <w:t>wymagania związane z ochroną środowiska naturalnego,</w:t>
      </w:r>
    </w:p>
    <w:p w14:paraId="2502640C" w14:textId="0BB8417C" w:rsidR="00D1071A" w:rsidRPr="00EB0DD5" w:rsidRDefault="00D1071A">
      <w:pPr>
        <w:pStyle w:val="Akapitzlist"/>
        <w:numPr>
          <w:ilvl w:val="0"/>
          <w:numId w:val="111"/>
        </w:numPr>
        <w:spacing w:after="61" w:line="253" w:lineRule="auto"/>
        <w:ind w:right="-3"/>
        <w:jc w:val="left"/>
        <w:rPr>
          <w:rFonts w:ascii="Garamond" w:hAnsi="Garamond"/>
          <w:sz w:val="24"/>
          <w:szCs w:val="24"/>
        </w:rPr>
      </w:pPr>
      <w:r w:rsidRPr="00EB0DD5">
        <w:rPr>
          <w:rFonts w:ascii="Garamond" w:hAnsi="Garamond"/>
          <w:sz w:val="24"/>
          <w:szCs w:val="24"/>
        </w:rPr>
        <w:t>zakresy wykonywania zapisów ruchowych, w tym wskazań aparatury kontrolnopomiarowej,</w:t>
      </w:r>
    </w:p>
    <w:p w14:paraId="67C4F387" w14:textId="77777777" w:rsidR="00D1071A" w:rsidRPr="00EB0DD5" w:rsidRDefault="00D1071A">
      <w:pPr>
        <w:pStyle w:val="Akapitzlist"/>
        <w:numPr>
          <w:ilvl w:val="0"/>
          <w:numId w:val="111"/>
        </w:numPr>
        <w:spacing w:line="253" w:lineRule="auto"/>
        <w:ind w:right="-3"/>
        <w:jc w:val="left"/>
        <w:rPr>
          <w:rFonts w:ascii="Garamond" w:hAnsi="Garamond"/>
          <w:sz w:val="24"/>
          <w:szCs w:val="24"/>
        </w:rPr>
      </w:pPr>
      <w:r w:rsidRPr="00EB0DD5">
        <w:rPr>
          <w:rFonts w:ascii="Garamond" w:hAnsi="Garamond"/>
          <w:sz w:val="24"/>
          <w:szCs w:val="24"/>
        </w:rPr>
        <w:t xml:space="preserve">opis zastosowanych środków ochrony przed porażeniem, pożarem, wybuchem </w:t>
      </w:r>
      <w:r w:rsidR="009D6C75" w:rsidRPr="00EB0DD5">
        <w:rPr>
          <w:rFonts w:ascii="Garamond" w:hAnsi="Garamond"/>
          <w:sz w:val="24"/>
          <w:szCs w:val="24"/>
        </w:rPr>
        <w:br/>
      </w:r>
      <w:r w:rsidRPr="00EB0DD5">
        <w:rPr>
          <w:rFonts w:ascii="Garamond" w:hAnsi="Garamond"/>
          <w:sz w:val="24"/>
          <w:szCs w:val="24"/>
        </w:rPr>
        <w:t>oraz środków w zakresie bezpieczeństwa obsługi i otoczenia.</w:t>
      </w:r>
    </w:p>
    <w:p w14:paraId="09BF73B6" w14:textId="404D1BD7" w:rsidR="00D1071A" w:rsidRPr="000F4DE1" w:rsidRDefault="001D5BCE" w:rsidP="00175586">
      <w:pPr>
        <w:keepNext/>
        <w:keepLines/>
        <w:tabs>
          <w:tab w:val="center" w:pos="3522"/>
        </w:tabs>
        <w:spacing w:after="16" w:line="248" w:lineRule="auto"/>
        <w:ind w:left="567" w:right="-3" w:hanging="567"/>
        <w:jc w:val="left"/>
        <w:outlineLvl w:val="1"/>
        <w:rPr>
          <w:rFonts w:asciiTheme="majorHAnsi" w:hAnsiTheme="majorHAnsi"/>
          <w:b/>
          <w:bCs/>
          <w:sz w:val="24"/>
          <w:szCs w:val="24"/>
        </w:rPr>
      </w:pPr>
      <w:bookmarkStart w:id="55" w:name="_Toc171860240"/>
      <w:bookmarkStart w:id="56" w:name="_Toc171861054"/>
      <w:r w:rsidRPr="000F4DE1">
        <w:rPr>
          <w:rFonts w:asciiTheme="majorHAnsi" w:hAnsiTheme="majorHAnsi"/>
          <w:b/>
          <w:bCs/>
          <w:sz w:val="24"/>
          <w:szCs w:val="24"/>
        </w:rPr>
        <w:t>III</w:t>
      </w:r>
      <w:r w:rsidR="00D1071A" w:rsidRPr="000F4DE1">
        <w:rPr>
          <w:rFonts w:asciiTheme="majorHAnsi" w:hAnsiTheme="majorHAnsi"/>
          <w:b/>
          <w:bCs/>
          <w:sz w:val="24"/>
          <w:szCs w:val="24"/>
        </w:rPr>
        <w:t>.6</w:t>
      </w:r>
      <w:r w:rsidR="00EB0DD5" w:rsidRPr="000F4DE1">
        <w:rPr>
          <w:rFonts w:asciiTheme="majorHAnsi" w:hAnsiTheme="majorHAnsi"/>
          <w:b/>
          <w:bCs/>
          <w:sz w:val="24"/>
          <w:szCs w:val="24"/>
        </w:rPr>
        <w:tab/>
        <w:t xml:space="preserve"> Rezerwa</w:t>
      </w:r>
      <w:r w:rsidRPr="000F4DE1">
        <w:rPr>
          <w:rFonts w:asciiTheme="majorHAnsi" w:hAnsiTheme="majorHAnsi"/>
          <w:b/>
          <w:bCs/>
          <w:sz w:val="24"/>
          <w:szCs w:val="24"/>
        </w:rPr>
        <w:t xml:space="preserve"> urządzeń i części zapasowych</w:t>
      </w:r>
      <w:bookmarkEnd w:id="55"/>
      <w:bookmarkEnd w:id="56"/>
    </w:p>
    <w:p w14:paraId="10C6D5A7" w14:textId="77777777" w:rsidR="00D1071A" w:rsidRPr="00AE3F1B" w:rsidRDefault="001D5BCE" w:rsidP="00175586">
      <w:pPr>
        <w:spacing w:after="189" w:line="253" w:lineRule="auto"/>
        <w:ind w:left="567" w:right="-3" w:hanging="567"/>
        <w:jc w:val="left"/>
        <w:rPr>
          <w:rFonts w:ascii="Garamond" w:hAnsi="Garamond"/>
          <w:sz w:val="24"/>
          <w:szCs w:val="24"/>
        </w:rPr>
      </w:pPr>
      <w:r>
        <w:rPr>
          <w:rFonts w:ascii="Garamond" w:hAnsi="Garamond"/>
          <w:sz w:val="24"/>
          <w:szCs w:val="24"/>
        </w:rPr>
        <w:t>III</w:t>
      </w:r>
      <w:r w:rsidR="00D1071A" w:rsidRPr="00AE3F1B">
        <w:rPr>
          <w:rFonts w:ascii="Garamond" w:hAnsi="Garamond"/>
          <w:sz w:val="24"/>
          <w:szCs w:val="24"/>
        </w:rPr>
        <w:t xml:space="preserve">.6.1. ID Sp. z o.o. w zakresie posiadanego majątku, zapewnia rezerwy urządzeń i części zapasowych, </w:t>
      </w:r>
      <w:r>
        <w:rPr>
          <w:rFonts w:ascii="Garamond" w:hAnsi="Garamond"/>
          <w:sz w:val="24"/>
          <w:szCs w:val="24"/>
        </w:rPr>
        <w:br/>
      </w:r>
      <w:r w:rsidR="00D1071A" w:rsidRPr="00AE3F1B">
        <w:rPr>
          <w:rFonts w:ascii="Garamond" w:hAnsi="Garamond"/>
          <w:sz w:val="24"/>
          <w:szCs w:val="24"/>
        </w:rPr>
        <w:t>niezbędne z punktu widzenia bezpiecznej pracy systemu elektroenergetycznego.</w:t>
      </w:r>
    </w:p>
    <w:p w14:paraId="36FF148D" w14:textId="1DD3EFAE" w:rsidR="00D1071A" w:rsidRPr="00AE3F1B" w:rsidRDefault="00EB0DD5" w:rsidP="00EB0DD5">
      <w:pPr>
        <w:spacing w:after="42" w:line="253" w:lineRule="auto"/>
        <w:ind w:left="567" w:right="-3" w:hanging="567"/>
        <w:jc w:val="left"/>
        <w:rPr>
          <w:rFonts w:ascii="Garamond" w:hAnsi="Garamond"/>
          <w:sz w:val="24"/>
          <w:szCs w:val="24"/>
        </w:rPr>
      </w:pPr>
      <w:r>
        <w:rPr>
          <w:rFonts w:ascii="Garamond" w:hAnsi="Garamond"/>
          <w:sz w:val="24"/>
          <w:szCs w:val="24"/>
        </w:rPr>
        <w:t>III</w:t>
      </w:r>
      <w:r w:rsidRPr="00AE3F1B">
        <w:rPr>
          <w:rFonts w:ascii="Garamond" w:hAnsi="Garamond"/>
          <w:sz w:val="24"/>
          <w:szCs w:val="24"/>
        </w:rPr>
        <w:t xml:space="preserve">.6.2. </w:t>
      </w:r>
      <w:r>
        <w:rPr>
          <w:rFonts w:ascii="Garamond" w:hAnsi="Garamond"/>
          <w:sz w:val="24"/>
          <w:szCs w:val="24"/>
        </w:rPr>
        <w:t xml:space="preserve"> </w:t>
      </w:r>
      <w:r w:rsidR="00D1071A" w:rsidRPr="00AE3F1B">
        <w:rPr>
          <w:rFonts w:ascii="Garamond" w:hAnsi="Garamond"/>
          <w:sz w:val="24"/>
          <w:szCs w:val="24"/>
        </w:rPr>
        <w:t>W przypadku powierzenia ID Sp. z o.o. prowadzenia eksploatacji przez właściciela urządzeń</w:t>
      </w:r>
      <w:r>
        <w:rPr>
          <w:rFonts w:ascii="Garamond" w:hAnsi="Garamond"/>
          <w:sz w:val="24"/>
          <w:szCs w:val="24"/>
        </w:rPr>
        <w:t xml:space="preserve"> </w:t>
      </w:r>
      <w:r w:rsidR="00D1071A" w:rsidRPr="00AE3F1B">
        <w:rPr>
          <w:rFonts w:ascii="Garamond" w:hAnsi="Garamond"/>
          <w:sz w:val="24"/>
          <w:szCs w:val="24"/>
        </w:rPr>
        <w:t>będącego odbiorcą usługi dystrybucyjnej, zawarta umowa powinna regulować zasady utrzymywania niezbędnej rezerwy urządzeń i części zapasowych.</w:t>
      </w:r>
    </w:p>
    <w:p w14:paraId="72C4377E" w14:textId="77777777" w:rsidR="00C354D9" w:rsidRDefault="001B4129" w:rsidP="00C354D9">
      <w:pPr>
        <w:keepNext/>
        <w:keepLines/>
        <w:tabs>
          <w:tab w:val="center" w:pos="3493"/>
        </w:tabs>
        <w:spacing w:after="119" w:line="248" w:lineRule="auto"/>
        <w:ind w:left="567" w:right="-3" w:hanging="567"/>
        <w:jc w:val="left"/>
        <w:outlineLvl w:val="1"/>
        <w:rPr>
          <w:rFonts w:asciiTheme="majorHAnsi" w:hAnsiTheme="majorHAnsi"/>
          <w:b/>
          <w:bCs/>
          <w:sz w:val="24"/>
          <w:szCs w:val="24"/>
        </w:rPr>
      </w:pPr>
      <w:bookmarkStart w:id="57" w:name="_Toc171860241"/>
      <w:bookmarkStart w:id="58" w:name="_Toc171861055"/>
      <w:r w:rsidRPr="00C354D9">
        <w:rPr>
          <w:rFonts w:asciiTheme="majorHAnsi" w:hAnsiTheme="majorHAnsi"/>
          <w:b/>
          <w:bCs/>
          <w:sz w:val="24"/>
          <w:szCs w:val="24"/>
        </w:rPr>
        <w:t>III</w:t>
      </w:r>
      <w:r w:rsidR="00D1071A" w:rsidRPr="00C354D9">
        <w:rPr>
          <w:rFonts w:asciiTheme="majorHAnsi" w:hAnsiTheme="majorHAnsi"/>
          <w:b/>
          <w:bCs/>
          <w:sz w:val="24"/>
          <w:szCs w:val="24"/>
        </w:rPr>
        <w:t>.7.</w:t>
      </w:r>
      <w:r w:rsidR="00D1071A" w:rsidRPr="00C354D9">
        <w:rPr>
          <w:rFonts w:asciiTheme="majorHAnsi" w:hAnsiTheme="majorHAnsi"/>
          <w:b/>
          <w:bCs/>
          <w:sz w:val="24"/>
          <w:szCs w:val="24"/>
        </w:rPr>
        <w:tab/>
      </w:r>
      <w:r w:rsidR="00C354D9">
        <w:rPr>
          <w:rFonts w:asciiTheme="majorHAnsi" w:hAnsiTheme="majorHAnsi"/>
          <w:b/>
          <w:bCs/>
          <w:sz w:val="24"/>
          <w:szCs w:val="24"/>
        </w:rPr>
        <w:t>Wymagania informacji eksploatacyjnych</w:t>
      </w:r>
      <w:bookmarkEnd w:id="57"/>
      <w:bookmarkEnd w:id="58"/>
    </w:p>
    <w:p w14:paraId="6C91C78B" w14:textId="77777777" w:rsidR="00D1071A" w:rsidRPr="00AE3F1B" w:rsidRDefault="001B4129" w:rsidP="00C354D9">
      <w:pPr>
        <w:keepNext/>
        <w:keepLines/>
        <w:tabs>
          <w:tab w:val="center" w:pos="3493"/>
        </w:tabs>
        <w:spacing w:after="119" w:line="248" w:lineRule="auto"/>
        <w:ind w:left="567" w:right="-3" w:hanging="567"/>
        <w:jc w:val="left"/>
        <w:outlineLvl w:val="1"/>
        <w:rPr>
          <w:rFonts w:ascii="Garamond" w:hAnsi="Garamond"/>
          <w:sz w:val="24"/>
          <w:szCs w:val="24"/>
        </w:rPr>
      </w:pPr>
      <w:bookmarkStart w:id="59" w:name="_Toc171860242"/>
      <w:bookmarkStart w:id="60" w:name="_Toc171861056"/>
      <w:r w:rsidRPr="00AE3F1B">
        <w:rPr>
          <w:rFonts w:ascii="Garamond" w:hAnsi="Garamond"/>
          <w:sz w:val="24"/>
          <w:szCs w:val="24"/>
        </w:rPr>
        <w:t>III</w:t>
      </w:r>
      <w:r w:rsidR="00D1071A" w:rsidRPr="00AE3F1B">
        <w:rPr>
          <w:rFonts w:ascii="Garamond" w:hAnsi="Garamond"/>
          <w:sz w:val="24"/>
          <w:szCs w:val="24"/>
        </w:rPr>
        <w:t>.7. 1. Podmioty prowadzące eksploatację sieci dystrybucyjnej oraz urządzeń, instalacji i sieci przyłączonych do sieci dystrybucyjnej wymieniają wzajemnie informacje eksploatacyjne.</w:t>
      </w:r>
      <w:bookmarkEnd w:id="59"/>
      <w:bookmarkEnd w:id="60"/>
    </w:p>
    <w:p w14:paraId="2FA1198E" w14:textId="77777777" w:rsidR="00D1071A" w:rsidRPr="00AE3F1B" w:rsidRDefault="00D1071A" w:rsidP="001D5BCE">
      <w:pPr>
        <w:spacing w:line="253" w:lineRule="auto"/>
        <w:ind w:left="567" w:right="-3"/>
        <w:jc w:val="left"/>
        <w:rPr>
          <w:rFonts w:ascii="Garamond" w:hAnsi="Garamond"/>
          <w:sz w:val="24"/>
          <w:szCs w:val="24"/>
        </w:rPr>
      </w:pPr>
      <w:r w:rsidRPr="00AE3F1B">
        <w:rPr>
          <w:rFonts w:ascii="Garamond" w:hAnsi="Garamond"/>
          <w:sz w:val="24"/>
          <w:szCs w:val="24"/>
        </w:rPr>
        <w:t xml:space="preserve">Odbiorcy i wytwórcy mogą uzyskać od ID Sp. z o.o. informacje eksploatacyjne o sieci dystrybucyjnej ID Sp. z o.o. w zakresie związanym z bezpieczeństwem pracy ich urządzeń </w:t>
      </w:r>
      <w:r w:rsidR="001D5BCE">
        <w:rPr>
          <w:rFonts w:ascii="Garamond" w:hAnsi="Garamond"/>
          <w:sz w:val="24"/>
          <w:szCs w:val="24"/>
        </w:rPr>
        <w:br/>
      </w:r>
      <w:r w:rsidRPr="00AE3F1B">
        <w:rPr>
          <w:rFonts w:ascii="Garamond" w:hAnsi="Garamond"/>
          <w:sz w:val="24"/>
          <w:szCs w:val="24"/>
        </w:rPr>
        <w:t>i instalacji.</w:t>
      </w:r>
    </w:p>
    <w:p w14:paraId="525E3261" w14:textId="77777777" w:rsidR="00D1071A" w:rsidRPr="000F4DE1" w:rsidRDefault="001B4129" w:rsidP="00175586">
      <w:pPr>
        <w:keepNext/>
        <w:keepLines/>
        <w:tabs>
          <w:tab w:val="center" w:pos="3270"/>
        </w:tabs>
        <w:spacing w:after="133" w:line="248" w:lineRule="auto"/>
        <w:ind w:left="567" w:right="-3" w:hanging="567"/>
        <w:jc w:val="left"/>
        <w:outlineLvl w:val="1"/>
        <w:rPr>
          <w:rFonts w:asciiTheme="majorHAnsi" w:hAnsiTheme="majorHAnsi"/>
          <w:b/>
          <w:bCs/>
          <w:sz w:val="24"/>
          <w:szCs w:val="24"/>
        </w:rPr>
      </w:pPr>
      <w:bookmarkStart w:id="61" w:name="_Toc171860243"/>
      <w:bookmarkStart w:id="62" w:name="_Toc171861057"/>
      <w:r w:rsidRPr="000F4DE1">
        <w:rPr>
          <w:rFonts w:asciiTheme="majorHAnsi" w:hAnsiTheme="majorHAnsi"/>
          <w:b/>
          <w:bCs/>
          <w:sz w:val="24"/>
          <w:szCs w:val="24"/>
        </w:rPr>
        <w:t>III</w:t>
      </w:r>
      <w:r w:rsidR="00D1071A" w:rsidRPr="000F4DE1">
        <w:rPr>
          <w:rFonts w:asciiTheme="majorHAnsi" w:hAnsiTheme="majorHAnsi"/>
          <w:b/>
          <w:bCs/>
          <w:sz w:val="24"/>
          <w:szCs w:val="24"/>
        </w:rPr>
        <w:t>.8.</w:t>
      </w:r>
      <w:r w:rsidR="00D1071A" w:rsidRPr="000F4DE1">
        <w:rPr>
          <w:rFonts w:asciiTheme="majorHAnsi" w:hAnsiTheme="majorHAnsi"/>
          <w:b/>
          <w:bCs/>
          <w:sz w:val="24"/>
          <w:szCs w:val="24"/>
        </w:rPr>
        <w:tab/>
      </w:r>
      <w:r w:rsidR="000F4DE1">
        <w:rPr>
          <w:rFonts w:asciiTheme="majorHAnsi" w:hAnsiTheme="majorHAnsi"/>
          <w:b/>
          <w:bCs/>
          <w:sz w:val="24"/>
          <w:szCs w:val="24"/>
        </w:rPr>
        <w:t>Ochrona środowiska naturalnego</w:t>
      </w:r>
      <w:bookmarkEnd w:id="61"/>
      <w:bookmarkEnd w:id="62"/>
    </w:p>
    <w:p w14:paraId="02BF8C42" w14:textId="77777777" w:rsidR="00D1071A" w:rsidRPr="00AE3F1B" w:rsidRDefault="001B4129" w:rsidP="00175586">
      <w:pPr>
        <w:spacing w:after="52" w:line="253" w:lineRule="auto"/>
        <w:ind w:left="567" w:right="-3" w:hanging="567"/>
        <w:jc w:val="left"/>
        <w:rPr>
          <w:rFonts w:ascii="Garamond" w:hAnsi="Garamond"/>
          <w:sz w:val="24"/>
          <w:szCs w:val="24"/>
        </w:rPr>
      </w:pPr>
      <w:r w:rsidRPr="00AE3F1B">
        <w:rPr>
          <w:rFonts w:ascii="Garamond" w:hAnsi="Garamond"/>
          <w:sz w:val="24"/>
          <w:szCs w:val="24"/>
        </w:rPr>
        <w:t>III</w:t>
      </w:r>
      <w:r w:rsidR="00D1071A" w:rsidRPr="00AE3F1B">
        <w:rPr>
          <w:rFonts w:ascii="Garamond" w:hAnsi="Garamond"/>
          <w:sz w:val="24"/>
          <w:szCs w:val="24"/>
        </w:rPr>
        <w:t>.8.1. ID Sp. z o.o. oraz podmioty przyłączone do jej sieci dystrybucyjnej są zobowiązane do przestrzegania zasad ochrony środowiska, określonych odrębnymi przepisami i normami.</w:t>
      </w:r>
    </w:p>
    <w:p w14:paraId="09746B5D" w14:textId="77777777" w:rsidR="00D1071A" w:rsidRPr="00AE3F1B" w:rsidRDefault="001B4129" w:rsidP="00175586">
      <w:pPr>
        <w:spacing w:after="212" w:line="253" w:lineRule="auto"/>
        <w:ind w:left="567" w:right="-3" w:hanging="567"/>
        <w:jc w:val="left"/>
        <w:rPr>
          <w:rFonts w:ascii="Garamond" w:hAnsi="Garamond"/>
          <w:sz w:val="24"/>
          <w:szCs w:val="24"/>
        </w:rPr>
      </w:pPr>
      <w:r w:rsidRPr="00AE3F1B">
        <w:rPr>
          <w:rFonts w:ascii="Garamond" w:hAnsi="Garamond"/>
          <w:sz w:val="24"/>
          <w:szCs w:val="24"/>
        </w:rPr>
        <w:t>III</w:t>
      </w:r>
      <w:r w:rsidR="00D1071A" w:rsidRPr="00AE3F1B">
        <w:rPr>
          <w:rFonts w:ascii="Garamond" w:hAnsi="Garamond"/>
          <w:sz w:val="24"/>
          <w:szCs w:val="24"/>
        </w:rPr>
        <w:t>.8.2. ID Sp. z o.o. oraz podmioty przyłączone do jej sieci dystrybucyjnej, stosują środki techniczne i organizacyjne ograniczające wpływ pracy urządzeń elektrycznych na środowisko naturalne.</w:t>
      </w:r>
    </w:p>
    <w:p w14:paraId="524788C8" w14:textId="3876F2AB" w:rsidR="00D1071A" w:rsidRPr="00AE3F1B" w:rsidRDefault="00EB0DD5" w:rsidP="00EB0DD5">
      <w:pPr>
        <w:spacing w:after="192" w:line="253" w:lineRule="auto"/>
        <w:ind w:left="567" w:right="-3" w:hanging="567"/>
        <w:jc w:val="left"/>
        <w:rPr>
          <w:rFonts w:ascii="Garamond" w:hAnsi="Garamond"/>
          <w:sz w:val="24"/>
          <w:szCs w:val="24"/>
        </w:rPr>
      </w:pPr>
      <w:r w:rsidRPr="00AE3F1B">
        <w:rPr>
          <w:rFonts w:ascii="Garamond" w:hAnsi="Garamond"/>
          <w:sz w:val="24"/>
          <w:szCs w:val="24"/>
        </w:rPr>
        <w:t>III.8.3.</w:t>
      </w:r>
      <w:r>
        <w:rPr>
          <w:rFonts w:ascii="Garamond" w:hAnsi="Garamond"/>
          <w:sz w:val="24"/>
          <w:szCs w:val="24"/>
        </w:rPr>
        <w:t xml:space="preserve"> </w:t>
      </w:r>
      <w:r w:rsidR="00D1071A" w:rsidRPr="00AE3F1B">
        <w:rPr>
          <w:rFonts w:ascii="Garamond" w:hAnsi="Garamond"/>
          <w:sz w:val="24"/>
          <w:szCs w:val="24"/>
        </w:rPr>
        <w:t>Dokumentacja projektowa obiektów i urządzeń sieci dystrybucyjnej jest uzgadniana w zakresie wymogów ochrony środowiska z właściwymi organami administracji, jeśli uzgodnienia takie są wymagane odrębnymi przepisami.</w:t>
      </w:r>
    </w:p>
    <w:p w14:paraId="1D5741C2" w14:textId="77777777" w:rsidR="00D1071A" w:rsidRPr="00AE3F1B" w:rsidRDefault="001B4129" w:rsidP="00175586">
      <w:pPr>
        <w:spacing w:after="55" w:line="253" w:lineRule="auto"/>
        <w:ind w:left="567" w:right="-3" w:hanging="567"/>
        <w:jc w:val="left"/>
        <w:rPr>
          <w:rFonts w:ascii="Garamond" w:hAnsi="Garamond"/>
          <w:sz w:val="24"/>
          <w:szCs w:val="24"/>
        </w:rPr>
      </w:pPr>
      <w:r w:rsidRPr="00AE3F1B">
        <w:rPr>
          <w:rFonts w:ascii="Garamond" w:hAnsi="Garamond"/>
          <w:sz w:val="24"/>
          <w:szCs w:val="24"/>
        </w:rPr>
        <w:t>III</w:t>
      </w:r>
      <w:r w:rsidR="00D1071A" w:rsidRPr="00AE3F1B">
        <w:rPr>
          <w:rFonts w:ascii="Garamond" w:hAnsi="Garamond"/>
          <w:sz w:val="24"/>
          <w:szCs w:val="24"/>
        </w:rPr>
        <w:t>.8.4. Właściciel urządzeń zapewnia przestrzeganie zasad ochrony środowiska oraz zgodną z przepisami wycinkę drzew i gałęzi wokół obiektów oraz urządzeń sieci dystrybucyjnej.</w:t>
      </w:r>
    </w:p>
    <w:p w14:paraId="37826341" w14:textId="77777777" w:rsidR="00D1071A" w:rsidRPr="000F4DE1" w:rsidRDefault="001B4129" w:rsidP="00175586">
      <w:pPr>
        <w:tabs>
          <w:tab w:val="center" w:pos="2849"/>
        </w:tabs>
        <w:spacing w:after="137" w:line="248" w:lineRule="auto"/>
        <w:ind w:left="567" w:right="-3" w:hanging="567"/>
        <w:jc w:val="left"/>
        <w:rPr>
          <w:rFonts w:asciiTheme="majorHAnsi" w:hAnsiTheme="majorHAnsi"/>
          <w:b/>
          <w:bCs/>
          <w:sz w:val="24"/>
          <w:szCs w:val="24"/>
        </w:rPr>
      </w:pPr>
      <w:r w:rsidRPr="000F4DE1">
        <w:rPr>
          <w:rFonts w:asciiTheme="majorHAnsi" w:hAnsiTheme="majorHAnsi"/>
          <w:b/>
          <w:bCs/>
          <w:sz w:val="24"/>
          <w:szCs w:val="24"/>
        </w:rPr>
        <w:t>III</w:t>
      </w:r>
      <w:r w:rsidR="00D1071A" w:rsidRPr="000F4DE1">
        <w:rPr>
          <w:rFonts w:asciiTheme="majorHAnsi" w:hAnsiTheme="majorHAnsi"/>
          <w:b/>
          <w:bCs/>
          <w:sz w:val="24"/>
          <w:szCs w:val="24"/>
        </w:rPr>
        <w:t>.9.</w:t>
      </w:r>
      <w:r w:rsidR="00D1071A" w:rsidRPr="000F4DE1">
        <w:rPr>
          <w:rFonts w:asciiTheme="majorHAnsi" w:hAnsiTheme="majorHAnsi"/>
          <w:b/>
          <w:bCs/>
          <w:sz w:val="24"/>
          <w:szCs w:val="24"/>
        </w:rPr>
        <w:tab/>
      </w:r>
      <w:r w:rsidR="001D5BCE" w:rsidRPr="000F4DE1">
        <w:rPr>
          <w:rFonts w:asciiTheme="majorHAnsi" w:hAnsiTheme="majorHAnsi"/>
          <w:b/>
          <w:bCs/>
          <w:sz w:val="24"/>
          <w:szCs w:val="24"/>
        </w:rPr>
        <w:t>Ochrona przeciwpożarowa</w:t>
      </w:r>
    </w:p>
    <w:p w14:paraId="20267BCC" w14:textId="77777777" w:rsidR="00D1071A" w:rsidRPr="00AE3F1B" w:rsidRDefault="001B4129" w:rsidP="00175586">
      <w:pPr>
        <w:spacing w:after="55" w:line="253" w:lineRule="auto"/>
        <w:ind w:left="567" w:right="-3" w:hanging="567"/>
        <w:jc w:val="left"/>
        <w:rPr>
          <w:rFonts w:ascii="Garamond" w:hAnsi="Garamond"/>
          <w:sz w:val="24"/>
          <w:szCs w:val="24"/>
        </w:rPr>
      </w:pPr>
      <w:r w:rsidRPr="00AE3F1B">
        <w:rPr>
          <w:rFonts w:ascii="Garamond" w:hAnsi="Garamond"/>
          <w:sz w:val="24"/>
          <w:szCs w:val="24"/>
        </w:rPr>
        <w:t>III</w:t>
      </w:r>
      <w:r w:rsidR="00D1071A" w:rsidRPr="00AE3F1B">
        <w:rPr>
          <w:rFonts w:ascii="Garamond" w:hAnsi="Garamond"/>
          <w:sz w:val="24"/>
          <w:szCs w:val="24"/>
        </w:rPr>
        <w:t>.9.1. Właściciel urządzeń, instalacji i sieci zapewnia ich ochronę przeciwpożarową zgodnie z obowiązującymi normami i przepisami.</w:t>
      </w:r>
    </w:p>
    <w:p w14:paraId="7F680A03" w14:textId="77777777" w:rsidR="00D1071A" w:rsidRPr="00AE3F1B" w:rsidRDefault="001B4129" w:rsidP="00175586">
      <w:pPr>
        <w:spacing w:after="49" w:line="259" w:lineRule="auto"/>
        <w:ind w:left="567" w:right="-3" w:hanging="567"/>
        <w:jc w:val="left"/>
        <w:rPr>
          <w:rFonts w:ascii="Garamond" w:hAnsi="Garamond"/>
          <w:sz w:val="24"/>
          <w:szCs w:val="24"/>
        </w:rPr>
      </w:pPr>
      <w:r w:rsidRPr="00AE3F1B">
        <w:rPr>
          <w:rFonts w:ascii="Garamond" w:hAnsi="Garamond"/>
          <w:sz w:val="24"/>
          <w:szCs w:val="24"/>
        </w:rPr>
        <w:t>III</w:t>
      </w:r>
      <w:r w:rsidR="00D1071A" w:rsidRPr="00AE3F1B">
        <w:rPr>
          <w:rFonts w:ascii="Garamond" w:hAnsi="Garamond"/>
          <w:sz w:val="24"/>
          <w:szCs w:val="24"/>
        </w:rPr>
        <w:t>.9.2.</w:t>
      </w:r>
      <w:r w:rsidR="00D1071A" w:rsidRPr="00AE3F1B">
        <w:rPr>
          <w:rFonts w:ascii="Garamond" w:hAnsi="Garamond"/>
          <w:sz w:val="24"/>
          <w:szCs w:val="24"/>
        </w:rPr>
        <w:tab/>
        <w:t>W uzasadnionych przypadkach właściciel urządzeń, instalacji i sieci zapewnia opracowanie instrukcji przeciwpożarowych dla urządzeń, instalacji i sieci.</w:t>
      </w:r>
    </w:p>
    <w:p w14:paraId="55550B2D" w14:textId="77777777" w:rsidR="00D1071A" w:rsidRPr="000F4DE1" w:rsidRDefault="001B4129" w:rsidP="001D5BCE">
      <w:pPr>
        <w:keepNext/>
        <w:keepLines/>
        <w:tabs>
          <w:tab w:val="center" w:pos="2694"/>
        </w:tabs>
        <w:spacing w:after="133" w:line="248" w:lineRule="auto"/>
        <w:ind w:left="567" w:right="-3" w:hanging="567"/>
        <w:jc w:val="left"/>
        <w:outlineLvl w:val="1"/>
        <w:rPr>
          <w:rFonts w:asciiTheme="majorHAnsi" w:hAnsiTheme="majorHAnsi"/>
          <w:b/>
          <w:bCs/>
          <w:sz w:val="24"/>
          <w:szCs w:val="24"/>
        </w:rPr>
      </w:pPr>
      <w:bookmarkStart w:id="63" w:name="_Toc171860244"/>
      <w:bookmarkStart w:id="64" w:name="_Toc171861058"/>
      <w:r w:rsidRPr="000F4DE1">
        <w:rPr>
          <w:rFonts w:asciiTheme="majorHAnsi" w:hAnsiTheme="majorHAnsi"/>
          <w:b/>
          <w:bCs/>
          <w:sz w:val="24"/>
          <w:szCs w:val="24"/>
        </w:rPr>
        <w:lastRenderedPageBreak/>
        <w:t>III</w:t>
      </w:r>
      <w:r w:rsidR="00D1071A" w:rsidRPr="000F4DE1">
        <w:rPr>
          <w:rFonts w:asciiTheme="majorHAnsi" w:hAnsiTheme="majorHAnsi"/>
          <w:b/>
          <w:bCs/>
          <w:sz w:val="24"/>
          <w:szCs w:val="24"/>
        </w:rPr>
        <w:t>.10.</w:t>
      </w:r>
      <w:r w:rsidR="001D5BCE" w:rsidRPr="000F4DE1">
        <w:rPr>
          <w:rFonts w:asciiTheme="majorHAnsi" w:hAnsiTheme="majorHAnsi"/>
          <w:b/>
          <w:bCs/>
          <w:sz w:val="24"/>
          <w:szCs w:val="24"/>
        </w:rPr>
        <w:t>Planowanie prac eksploatacyjnych</w:t>
      </w:r>
      <w:bookmarkEnd w:id="63"/>
      <w:bookmarkEnd w:id="64"/>
    </w:p>
    <w:p w14:paraId="3A9AA161" w14:textId="77777777" w:rsidR="00D1071A" w:rsidRPr="00AE3F1B" w:rsidRDefault="001B4129" w:rsidP="00175586">
      <w:pPr>
        <w:spacing w:after="65" w:line="253" w:lineRule="auto"/>
        <w:ind w:left="567" w:right="-3" w:hanging="567"/>
        <w:jc w:val="left"/>
        <w:rPr>
          <w:rFonts w:ascii="Garamond" w:hAnsi="Garamond"/>
          <w:sz w:val="24"/>
          <w:szCs w:val="24"/>
        </w:rPr>
      </w:pPr>
      <w:r w:rsidRPr="00AE3F1B">
        <w:rPr>
          <w:rFonts w:ascii="Garamond" w:hAnsi="Garamond"/>
          <w:sz w:val="24"/>
          <w:szCs w:val="24"/>
        </w:rPr>
        <w:t>III</w:t>
      </w:r>
      <w:r w:rsidR="00D1071A" w:rsidRPr="00AE3F1B">
        <w:rPr>
          <w:rFonts w:ascii="Garamond" w:hAnsi="Garamond"/>
          <w:sz w:val="24"/>
          <w:szCs w:val="24"/>
        </w:rPr>
        <w:t>.10.1. ID Sp. z o.o. opracowuje roczne plany prac eksploatacyjnych dla własnych urządzeń, instalacji i sieci dystrybucyjnych obejmujących w szczególności:</w:t>
      </w:r>
    </w:p>
    <w:p w14:paraId="592DCC85" w14:textId="77777777" w:rsidR="00D1071A" w:rsidRPr="00EB0DD5" w:rsidRDefault="00D1071A">
      <w:pPr>
        <w:pStyle w:val="Akapitzlist"/>
        <w:numPr>
          <w:ilvl w:val="0"/>
          <w:numId w:val="112"/>
        </w:numPr>
        <w:spacing w:line="253" w:lineRule="auto"/>
        <w:ind w:right="-3"/>
        <w:jc w:val="left"/>
        <w:rPr>
          <w:rFonts w:ascii="Garamond" w:hAnsi="Garamond"/>
          <w:sz w:val="24"/>
          <w:szCs w:val="24"/>
        </w:rPr>
      </w:pPr>
      <w:r w:rsidRPr="00EB0DD5">
        <w:rPr>
          <w:rFonts w:ascii="Garamond" w:hAnsi="Garamond"/>
          <w:sz w:val="24"/>
          <w:szCs w:val="24"/>
        </w:rPr>
        <w:t>oględziny, przeglądy oraz badania i pomiary,</w:t>
      </w:r>
    </w:p>
    <w:p w14:paraId="4D0BF2B1" w14:textId="77777777" w:rsidR="00D1071A" w:rsidRPr="00EB0DD5" w:rsidRDefault="00D1071A">
      <w:pPr>
        <w:pStyle w:val="Akapitzlist"/>
        <w:numPr>
          <w:ilvl w:val="0"/>
          <w:numId w:val="112"/>
        </w:numPr>
        <w:spacing w:after="121" w:line="253" w:lineRule="auto"/>
        <w:ind w:right="-3"/>
        <w:jc w:val="left"/>
        <w:rPr>
          <w:rFonts w:ascii="Garamond" w:hAnsi="Garamond"/>
          <w:sz w:val="24"/>
          <w:szCs w:val="24"/>
        </w:rPr>
      </w:pPr>
      <w:r w:rsidRPr="00EB0DD5">
        <w:rPr>
          <w:rFonts w:ascii="Garamond" w:hAnsi="Garamond"/>
          <w:sz w:val="24"/>
          <w:szCs w:val="24"/>
        </w:rPr>
        <w:t>remonty.</w:t>
      </w:r>
    </w:p>
    <w:p w14:paraId="5E6A4B1D" w14:textId="77777777" w:rsidR="00D1071A" w:rsidRPr="00AE3F1B" w:rsidRDefault="001B4129" w:rsidP="00175586">
      <w:pPr>
        <w:spacing w:after="206" w:line="253" w:lineRule="auto"/>
        <w:ind w:left="567" w:right="-3" w:hanging="567"/>
        <w:jc w:val="left"/>
        <w:rPr>
          <w:rFonts w:ascii="Garamond" w:hAnsi="Garamond"/>
          <w:sz w:val="24"/>
          <w:szCs w:val="24"/>
        </w:rPr>
      </w:pPr>
      <w:r w:rsidRPr="00AE3F1B">
        <w:rPr>
          <w:rFonts w:ascii="Garamond" w:hAnsi="Garamond"/>
          <w:sz w:val="24"/>
          <w:szCs w:val="24"/>
        </w:rPr>
        <w:t>III</w:t>
      </w:r>
      <w:r w:rsidR="00D1071A" w:rsidRPr="00AE3F1B">
        <w:rPr>
          <w:rFonts w:ascii="Garamond" w:hAnsi="Garamond"/>
          <w:sz w:val="24"/>
          <w:szCs w:val="24"/>
        </w:rPr>
        <w:t>.10.2. Poza pracami przewidywanymi w rocznym planie prac eksploatacyjnych ID Sp. z o.o. zapewnia realizację doraźnych prac, mających na celu usunięcie uszkodzeń zagrażających prawidłowemu funkcjonowaniu własnych urządzeń, instalacji i sieci dystrybucyjnej lub stwarzających zagrożenie dla bezpieczeństwa ludzi i środowiska naturalnego.</w:t>
      </w:r>
    </w:p>
    <w:p w14:paraId="2ED07712" w14:textId="77777777" w:rsidR="00D1071A" w:rsidRPr="00AE3F1B" w:rsidRDefault="001B4129" w:rsidP="00175586">
      <w:pPr>
        <w:spacing w:line="253" w:lineRule="auto"/>
        <w:ind w:left="567" w:right="-3" w:hanging="567"/>
        <w:jc w:val="left"/>
        <w:rPr>
          <w:rFonts w:ascii="Garamond" w:hAnsi="Garamond"/>
          <w:sz w:val="24"/>
          <w:szCs w:val="24"/>
        </w:rPr>
      </w:pPr>
      <w:r w:rsidRPr="00AE3F1B">
        <w:rPr>
          <w:rFonts w:ascii="Garamond" w:hAnsi="Garamond"/>
          <w:sz w:val="24"/>
          <w:szCs w:val="24"/>
        </w:rPr>
        <w:t>III</w:t>
      </w:r>
      <w:r w:rsidR="00D1071A" w:rsidRPr="00AE3F1B">
        <w:rPr>
          <w:rFonts w:ascii="Garamond" w:hAnsi="Garamond"/>
          <w:sz w:val="24"/>
          <w:szCs w:val="24"/>
        </w:rPr>
        <w:t>.10.3. Podmioty przyłączone do sieci dystrybucyjnej ID Sp. z o.o. uzgadniają z ID Sp. z o.o. prace eksploatacyjne w zakresie, w jakim mogą mieć one wpływ na ruch i eksploatację sieci dystrybucyjnej. Podmioty planujące realizację prac eksploatacyjnych wymagających wyłączenia elementów sieci dystrybucyjnej ID Sp. z o.o., są zobowiązane do przestrzegania zasad i trybu planowania wyłączenia w sieci dystrybucyjnej ID Sp. z o.o. ustalonego w pkt.Vl.6.</w:t>
      </w:r>
    </w:p>
    <w:p w14:paraId="0E74B7B9" w14:textId="77777777" w:rsidR="00D1071A" w:rsidRPr="00AE3F1B" w:rsidRDefault="001B4129" w:rsidP="00175586">
      <w:pPr>
        <w:spacing w:after="199" w:line="253" w:lineRule="auto"/>
        <w:ind w:left="567" w:right="-3" w:hanging="567"/>
        <w:jc w:val="left"/>
        <w:rPr>
          <w:rFonts w:ascii="Garamond" w:hAnsi="Garamond"/>
          <w:sz w:val="24"/>
          <w:szCs w:val="24"/>
        </w:rPr>
      </w:pPr>
      <w:r w:rsidRPr="00AE3F1B">
        <w:rPr>
          <w:rFonts w:ascii="Garamond" w:hAnsi="Garamond"/>
          <w:sz w:val="24"/>
          <w:szCs w:val="24"/>
        </w:rPr>
        <w:t>III</w:t>
      </w:r>
      <w:r w:rsidR="00D1071A" w:rsidRPr="00AE3F1B">
        <w:rPr>
          <w:rFonts w:ascii="Garamond" w:hAnsi="Garamond"/>
          <w:sz w:val="24"/>
          <w:szCs w:val="24"/>
        </w:rPr>
        <w:t>.10.4. Podmioty planujące realizację prac eksploatacyjnych wymagających wyłączenia elementów sieci dystrybucyjnej ID Sp. z o.o. przekazują do ID Sp. z o.o. zgłoszenia wyłączenia elementów sieci. Zawartość i terminy przekazywania zgłoszeń określono w pkt.Vl.6</w:t>
      </w:r>
    </w:p>
    <w:p w14:paraId="2EB8E0F1" w14:textId="77777777" w:rsidR="00753A09" w:rsidRPr="00B87D8B" w:rsidRDefault="001B4129" w:rsidP="001D5BCE">
      <w:pPr>
        <w:keepNext/>
        <w:keepLines/>
        <w:tabs>
          <w:tab w:val="left" w:pos="993"/>
        </w:tabs>
        <w:spacing w:after="137" w:line="248" w:lineRule="auto"/>
        <w:ind w:left="567" w:right="-3" w:hanging="567"/>
        <w:jc w:val="left"/>
        <w:outlineLvl w:val="1"/>
        <w:rPr>
          <w:rFonts w:asciiTheme="majorHAnsi" w:hAnsiTheme="majorHAnsi"/>
          <w:b/>
          <w:bCs/>
          <w:sz w:val="24"/>
          <w:szCs w:val="24"/>
        </w:rPr>
      </w:pPr>
      <w:bookmarkStart w:id="65" w:name="_Toc171860245"/>
      <w:bookmarkStart w:id="66" w:name="_Toc171861059"/>
      <w:r w:rsidRPr="00B87D8B">
        <w:rPr>
          <w:rFonts w:asciiTheme="majorHAnsi" w:hAnsiTheme="majorHAnsi"/>
          <w:b/>
          <w:bCs/>
          <w:sz w:val="24"/>
          <w:szCs w:val="24"/>
        </w:rPr>
        <w:t>III</w:t>
      </w:r>
      <w:r w:rsidR="00753A09" w:rsidRPr="00B87D8B">
        <w:rPr>
          <w:rFonts w:asciiTheme="majorHAnsi" w:hAnsiTheme="majorHAnsi"/>
          <w:b/>
          <w:bCs/>
          <w:sz w:val="24"/>
          <w:szCs w:val="24"/>
        </w:rPr>
        <w:t>.11.</w:t>
      </w:r>
      <w:r w:rsidR="001D5BCE" w:rsidRPr="00B87D8B">
        <w:rPr>
          <w:rFonts w:asciiTheme="majorHAnsi" w:hAnsiTheme="majorHAnsi"/>
          <w:b/>
          <w:bCs/>
          <w:sz w:val="24"/>
          <w:szCs w:val="24"/>
        </w:rPr>
        <w:t>Warunki bezpiecznego wykonania prac</w:t>
      </w:r>
      <w:bookmarkEnd w:id="65"/>
      <w:bookmarkEnd w:id="66"/>
    </w:p>
    <w:p w14:paraId="059A41E4" w14:textId="77777777" w:rsidR="00753A09" w:rsidRPr="00AE3F1B" w:rsidRDefault="001B4129" w:rsidP="00175586">
      <w:pPr>
        <w:spacing w:line="253" w:lineRule="auto"/>
        <w:ind w:left="567" w:right="-3" w:hanging="567"/>
        <w:jc w:val="left"/>
        <w:rPr>
          <w:rFonts w:ascii="Garamond" w:hAnsi="Garamond"/>
          <w:sz w:val="24"/>
          <w:szCs w:val="24"/>
        </w:rPr>
      </w:pPr>
      <w:r w:rsidRPr="00AE3F1B">
        <w:rPr>
          <w:rFonts w:ascii="Garamond" w:hAnsi="Garamond"/>
          <w:sz w:val="24"/>
          <w:szCs w:val="24"/>
        </w:rPr>
        <w:t>III</w:t>
      </w:r>
      <w:r w:rsidR="00753A09" w:rsidRPr="00AE3F1B">
        <w:rPr>
          <w:rFonts w:ascii="Garamond" w:hAnsi="Garamond"/>
          <w:sz w:val="24"/>
          <w:szCs w:val="24"/>
        </w:rPr>
        <w:t>.11.1.ID Sp. z o.o. opracowuje instrukcję organizacji bezpiecznej pracy, obowiązującą osoby eksploatujące jego urządzenia, instalacje i sieci.</w:t>
      </w:r>
    </w:p>
    <w:p w14:paraId="09DE6E1F" w14:textId="77777777" w:rsidR="00753A09" w:rsidRDefault="001B4129" w:rsidP="00175586">
      <w:pPr>
        <w:spacing w:after="220" w:line="226" w:lineRule="auto"/>
        <w:ind w:left="567" w:right="-3" w:hanging="567"/>
        <w:jc w:val="left"/>
        <w:rPr>
          <w:rFonts w:ascii="Garamond" w:hAnsi="Garamond"/>
          <w:sz w:val="24"/>
          <w:szCs w:val="24"/>
        </w:rPr>
      </w:pPr>
      <w:r w:rsidRPr="00AE3F1B">
        <w:rPr>
          <w:rFonts w:ascii="Garamond" w:hAnsi="Garamond"/>
          <w:sz w:val="24"/>
          <w:szCs w:val="24"/>
        </w:rPr>
        <w:t>III</w:t>
      </w:r>
      <w:r w:rsidR="00753A09" w:rsidRPr="00AE3F1B">
        <w:rPr>
          <w:rFonts w:ascii="Garamond" w:hAnsi="Garamond"/>
          <w:sz w:val="24"/>
          <w:szCs w:val="24"/>
        </w:rPr>
        <w:t>.11.2.Pracownicy</w:t>
      </w:r>
      <w:r w:rsidR="00753A09" w:rsidRPr="00AE3F1B">
        <w:rPr>
          <w:rFonts w:ascii="Garamond" w:hAnsi="Garamond"/>
          <w:sz w:val="24"/>
          <w:szCs w:val="24"/>
        </w:rPr>
        <w:tab/>
        <w:t>zatrudnieni</w:t>
      </w:r>
      <w:r w:rsidR="00753A09" w:rsidRPr="00AE3F1B">
        <w:rPr>
          <w:rFonts w:ascii="Garamond" w:hAnsi="Garamond"/>
          <w:sz w:val="24"/>
          <w:szCs w:val="24"/>
        </w:rPr>
        <w:tab/>
        <w:t>przy</w:t>
      </w:r>
      <w:r w:rsidR="00753A09" w:rsidRPr="00AE3F1B">
        <w:rPr>
          <w:rFonts w:ascii="Garamond" w:hAnsi="Garamond"/>
          <w:sz w:val="24"/>
          <w:szCs w:val="24"/>
        </w:rPr>
        <w:tab/>
        <w:t>eksploatacji</w:t>
      </w:r>
      <w:r w:rsidR="00753A09" w:rsidRPr="00AE3F1B">
        <w:rPr>
          <w:rFonts w:ascii="Garamond" w:hAnsi="Garamond"/>
          <w:sz w:val="24"/>
          <w:szCs w:val="24"/>
        </w:rPr>
        <w:tab/>
        <w:t>urządzeń,</w:t>
      </w:r>
      <w:r w:rsidR="00753A09" w:rsidRPr="00AE3F1B">
        <w:rPr>
          <w:rFonts w:ascii="Garamond" w:hAnsi="Garamond"/>
          <w:sz w:val="24"/>
          <w:szCs w:val="24"/>
        </w:rPr>
        <w:tab/>
        <w:t>instalacji</w:t>
      </w:r>
      <w:r w:rsidR="00753A09" w:rsidRPr="00AE3F1B">
        <w:rPr>
          <w:rFonts w:ascii="Garamond" w:hAnsi="Garamond"/>
          <w:sz w:val="24"/>
          <w:szCs w:val="24"/>
        </w:rPr>
        <w:tab/>
        <w:t>sieci elektroenergetycznych powinni posiadać odpowiednie kwalifikacje i spełniać określone wymagania zdrowotne oraz być przeszkoleni do pracy na zajmowanych stanowiskach.</w:t>
      </w:r>
    </w:p>
    <w:p w14:paraId="146DFDBA" w14:textId="77777777" w:rsidR="00BA5131" w:rsidRDefault="00BA5131" w:rsidP="00175586">
      <w:pPr>
        <w:spacing w:after="220" w:line="226" w:lineRule="auto"/>
        <w:ind w:left="567" w:right="-3" w:hanging="567"/>
        <w:jc w:val="left"/>
        <w:rPr>
          <w:rFonts w:ascii="Garamond" w:hAnsi="Garamond"/>
          <w:sz w:val="24"/>
          <w:szCs w:val="24"/>
        </w:rPr>
      </w:pPr>
    </w:p>
    <w:p w14:paraId="0115DAC6" w14:textId="77777777" w:rsidR="00BA5131" w:rsidRDefault="00BA5131" w:rsidP="00175586">
      <w:pPr>
        <w:spacing w:after="220" w:line="226" w:lineRule="auto"/>
        <w:ind w:left="567" w:right="-3" w:hanging="567"/>
        <w:jc w:val="left"/>
        <w:rPr>
          <w:rFonts w:ascii="Garamond" w:hAnsi="Garamond"/>
          <w:sz w:val="24"/>
          <w:szCs w:val="24"/>
        </w:rPr>
      </w:pPr>
    </w:p>
    <w:p w14:paraId="6780FFC3" w14:textId="77777777" w:rsidR="00BA5131" w:rsidRDefault="00BA5131" w:rsidP="00175586">
      <w:pPr>
        <w:spacing w:after="220" w:line="226" w:lineRule="auto"/>
        <w:ind w:left="567" w:right="-3" w:hanging="567"/>
        <w:jc w:val="left"/>
        <w:rPr>
          <w:rFonts w:ascii="Garamond" w:hAnsi="Garamond"/>
          <w:sz w:val="24"/>
          <w:szCs w:val="24"/>
        </w:rPr>
      </w:pPr>
    </w:p>
    <w:p w14:paraId="7A393F49" w14:textId="77777777" w:rsidR="00BA5131" w:rsidRDefault="00BA5131" w:rsidP="00175586">
      <w:pPr>
        <w:spacing w:after="220" w:line="226" w:lineRule="auto"/>
        <w:ind w:left="567" w:right="-3" w:hanging="567"/>
        <w:jc w:val="left"/>
        <w:rPr>
          <w:rFonts w:ascii="Garamond" w:hAnsi="Garamond"/>
          <w:sz w:val="24"/>
          <w:szCs w:val="24"/>
        </w:rPr>
      </w:pPr>
    </w:p>
    <w:p w14:paraId="391EB257" w14:textId="77777777" w:rsidR="00BA5131" w:rsidRDefault="00BA5131" w:rsidP="00175586">
      <w:pPr>
        <w:spacing w:after="220" w:line="226" w:lineRule="auto"/>
        <w:ind w:left="567" w:right="-3" w:hanging="567"/>
        <w:jc w:val="left"/>
        <w:rPr>
          <w:rFonts w:ascii="Garamond" w:hAnsi="Garamond"/>
          <w:sz w:val="24"/>
          <w:szCs w:val="24"/>
        </w:rPr>
      </w:pPr>
    </w:p>
    <w:p w14:paraId="1B734EC9" w14:textId="77777777" w:rsidR="00BA5131" w:rsidRDefault="00BA5131" w:rsidP="00175586">
      <w:pPr>
        <w:spacing w:after="220" w:line="226" w:lineRule="auto"/>
        <w:ind w:left="567" w:right="-3" w:hanging="567"/>
        <w:jc w:val="left"/>
        <w:rPr>
          <w:rFonts w:ascii="Garamond" w:hAnsi="Garamond"/>
          <w:sz w:val="24"/>
          <w:szCs w:val="24"/>
        </w:rPr>
      </w:pPr>
    </w:p>
    <w:p w14:paraId="4BD0220E" w14:textId="77777777" w:rsidR="00BA5131" w:rsidRDefault="00BA5131" w:rsidP="00175586">
      <w:pPr>
        <w:spacing w:after="220" w:line="226" w:lineRule="auto"/>
        <w:ind w:left="567" w:right="-3" w:hanging="567"/>
        <w:jc w:val="left"/>
        <w:rPr>
          <w:rFonts w:ascii="Garamond" w:hAnsi="Garamond"/>
          <w:sz w:val="24"/>
          <w:szCs w:val="24"/>
        </w:rPr>
      </w:pPr>
    </w:p>
    <w:p w14:paraId="37A48308" w14:textId="77777777" w:rsidR="00BA5131" w:rsidRDefault="00BA5131" w:rsidP="00175586">
      <w:pPr>
        <w:spacing w:after="220" w:line="226" w:lineRule="auto"/>
        <w:ind w:left="567" w:right="-3" w:hanging="567"/>
        <w:jc w:val="left"/>
        <w:rPr>
          <w:rFonts w:ascii="Garamond" w:hAnsi="Garamond"/>
          <w:sz w:val="24"/>
          <w:szCs w:val="24"/>
        </w:rPr>
      </w:pPr>
    </w:p>
    <w:p w14:paraId="639ACE56" w14:textId="77777777" w:rsidR="00BA5131" w:rsidRDefault="00BA5131" w:rsidP="00175586">
      <w:pPr>
        <w:spacing w:after="220" w:line="226" w:lineRule="auto"/>
        <w:ind w:left="567" w:right="-3" w:hanging="567"/>
        <w:jc w:val="left"/>
        <w:rPr>
          <w:rFonts w:ascii="Garamond" w:hAnsi="Garamond"/>
          <w:sz w:val="24"/>
          <w:szCs w:val="24"/>
        </w:rPr>
      </w:pPr>
    </w:p>
    <w:p w14:paraId="7A9CEA4F" w14:textId="77777777" w:rsidR="00BA5131" w:rsidRDefault="00BA5131" w:rsidP="00175586">
      <w:pPr>
        <w:spacing w:after="220" w:line="226" w:lineRule="auto"/>
        <w:ind w:left="567" w:right="-3" w:hanging="567"/>
        <w:jc w:val="left"/>
        <w:rPr>
          <w:rFonts w:ascii="Garamond" w:hAnsi="Garamond"/>
          <w:sz w:val="24"/>
          <w:szCs w:val="24"/>
        </w:rPr>
      </w:pPr>
    </w:p>
    <w:p w14:paraId="55CF7499" w14:textId="77777777" w:rsidR="00BA5131" w:rsidRDefault="00BA5131" w:rsidP="00175586">
      <w:pPr>
        <w:spacing w:after="220" w:line="226" w:lineRule="auto"/>
        <w:ind w:left="567" w:right="-3" w:hanging="567"/>
        <w:jc w:val="left"/>
        <w:rPr>
          <w:rFonts w:ascii="Garamond" w:hAnsi="Garamond"/>
          <w:sz w:val="24"/>
          <w:szCs w:val="24"/>
        </w:rPr>
      </w:pPr>
    </w:p>
    <w:p w14:paraId="5AADE598" w14:textId="77777777" w:rsidR="00BA5131" w:rsidRDefault="00BA5131" w:rsidP="00175586">
      <w:pPr>
        <w:spacing w:after="220" w:line="226" w:lineRule="auto"/>
        <w:ind w:left="567" w:right="-3" w:hanging="567"/>
        <w:jc w:val="left"/>
        <w:rPr>
          <w:rFonts w:ascii="Garamond" w:hAnsi="Garamond"/>
          <w:sz w:val="24"/>
          <w:szCs w:val="24"/>
        </w:rPr>
      </w:pPr>
    </w:p>
    <w:p w14:paraId="349C6BCA" w14:textId="77777777" w:rsidR="00BA5131" w:rsidRDefault="00BA5131" w:rsidP="00175586">
      <w:pPr>
        <w:spacing w:after="220" w:line="226" w:lineRule="auto"/>
        <w:ind w:left="567" w:right="-3" w:hanging="567"/>
        <w:jc w:val="left"/>
        <w:rPr>
          <w:rFonts w:ascii="Garamond" w:hAnsi="Garamond"/>
          <w:sz w:val="24"/>
          <w:szCs w:val="24"/>
        </w:rPr>
      </w:pPr>
    </w:p>
    <w:p w14:paraId="7D45B81A" w14:textId="77777777" w:rsidR="00BA5131" w:rsidRDefault="00BA5131" w:rsidP="00175586">
      <w:pPr>
        <w:spacing w:after="220" w:line="226" w:lineRule="auto"/>
        <w:ind w:left="567" w:right="-3" w:hanging="567"/>
        <w:jc w:val="left"/>
        <w:rPr>
          <w:rFonts w:ascii="Garamond" w:hAnsi="Garamond"/>
          <w:sz w:val="24"/>
          <w:szCs w:val="24"/>
        </w:rPr>
      </w:pPr>
    </w:p>
    <w:p w14:paraId="0F15D878" w14:textId="77777777" w:rsidR="00BA5131" w:rsidRDefault="00BA5131" w:rsidP="00175586">
      <w:pPr>
        <w:spacing w:after="220" w:line="226" w:lineRule="auto"/>
        <w:ind w:left="567" w:right="-3" w:hanging="567"/>
        <w:jc w:val="left"/>
        <w:rPr>
          <w:rFonts w:ascii="Garamond" w:hAnsi="Garamond"/>
          <w:sz w:val="24"/>
          <w:szCs w:val="24"/>
        </w:rPr>
      </w:pPr>
    </w:p>
    <w:p w14:paraId="23F02DA9" w14:textId="77777777" w:rsidR="00BA5131" w:rsidRDefault="00BA5131" w:rsidP="00175586">
      <w:pPr>
        <w:spacing w:after="220" w:line="226" w:lineRule="auto"/>
        <w:ind w:left="567" w:right="-3" w:hanging="567"/>
        <w:jc w:val="left"/>
        <w:rPr>
          <w:rFonts w:ascii="Garamond" w:hAnsi="Garamond"/>
          <w:sz w:val="24"/>
          <w:szCs w:val="24"/>
        </w:rPr>
      </w:pPr>
    </w:p>
    <w:p w14:paraId="3CB3D163" w14:textId="77777777" w:rsidR="00BA5131" w:rsidRDefault="00BA5131" w:rsidP="00175586">
      <w:pPr>
        <w:spacing w:after="220" w:line="226" w:lineRule="auto"/>
        <w:ind w:left="567" w:right="-3" w:hanging="567"/>
        <w:jc w:val="left"/>
        <w:rPr>
          <w:rFonts w:ascii="Garamond" w:hAnsi="Garamond"/>
          <w:sz w:val="24"/>
          <w:szCs w:val="24"/>
        </w:rPr>
      </w:pPr>
    </w:p>
    <w:p w14:paraId="66FE7B8B" w14:textId="77777777" w:rsidR="00BA5131" w:rsidRDefault="00BA5131" w:rsidP="00175586">
      <w:pPr>
        <w:spacing w:after="220" w:line="226" w:lineRule="auto"/>
        <w:ind w:left="567" w:right="-3" w:hanging="567"/>
        <w:jc w:val="left"/>
        <w:rPr>
          <w:rFonts w:ascii="Garamond" w:hAnsi="Garamond"/>
          <w:sz w:val="24"/>
          <w:szCs w:val="24"/>
        </w:rPr>
      </w:pPr>
    </w:p>
    <w:p w14:paraId="7E340AF5" w14:textId="77777777" w:rsidR="00BA5131" w:rsidRDefault="00BA5131" w:rsidP="00175586">
      <w:pPr>
        <w:spacing w:after="220" w:line="226" w:lineRule="auto"/>
        <w:ind w:left="567" w:right="-3" w:hanging="567"/>
        <w:jc w:val="left"/>
        <w:rPr>
          <w:rFonts w:ascii="Garamond" w:hAnsi="Garamond"/>
          <w:sz w:val="24"/>
          <w:szCs w:val="24"/>
        </w:rPr>
      </w:pPr>
    </w:p>
    <w:p w14:paraId="353347C5" w14:textId="59A1D063" w:rsidR="002B71E5" w:rsidRPr="002B71E5" w:rsidRDefault="002B71E5">
      <w:pPr>
        <w:pStyle w:val="Akapitzlist"/>
        <w:numPr>
          <w:ilvl w:val="0"/>
          <w:numId w:val="63"/>
        </w:numPr>
        <w:spacing w:after="220" w:line="226" w:lineRule="auto"/>
        <w:ind w:left="567" w:right="-3" w:hanging="567"/>
        <w:jc w:val="left"/>
        <w:rPr>
          <w:rFonts w:asciiTheme="majorHAnsi" w:hAnsiTheme="majorHAnsi"/>
          <w:b/>
          <w:bCs/>
          <w:sz w:val="24"/>
          <w:szCs w:val="24"/>
        </w:rPr>
      </w:pPr>
      <w:r w:rsidRPr="002B71E5">
        <w:rPr>
          <w:rFonts w:asciiTheme="majorHAnsi" w:hAnsiTheme="majorHAnsi"/>
          <w:b/>
          <w:bCs/>
          <w:sz w:val="24"/>
          <w:szCs w:val="24"/>
        </w:rPr>
        <w:t>Bezpieczeństwo</w:t>
      </w:r>
      <w:r>
        <w:rPr>
          <w:rFonts w:asciiTheme="majorHAnsi" w:hAnsiTheme="majorHAnsi"/>
          <w:b/>
          <w:bCs/>
          <w:sz w:val="24"/>
          <w:szCs w:val="24"/>
        </w:rPr>
        <w:t xml:space="preserve"> funkcjonowania systemu elektroenergetycznego</w:t>
      </w:r>
    </w:p>
    <w:p w14:paraId="63327329" w14:textId="2178E8A7" w:rsidR="00BA5131" w:rsidRPr="002B71E5" w:rsidRDefault="00753A09" w:rsidP="00BA5131">
      <w:pPr>
        <w:keepNext/>
        <w:keepLines/>
        <w:spacing w:after="208" w:line="248" w:lineRule="auto"/>
        <w:ind w:left="567" w:right="-3" w:hanging="567"/>
        <w:jc w:val="left"/>
        <w:outlineLvl w:val="1"/>
        <w:rPr>
          <w:rFonts w:asciiTheme="majorHAnsi" w:hAnsiTheme="majorHAnsi"/>
          <w:b/>
          <w:bCs/>
          <w:sz w:val="24"/>
          <w:szCs w:val="24"/>
        </w:rPr>
      </w:pPr>
      <w:bookmarkStart w:id="67" w:name="_Toc171860246"/>
      <w:bookmarkStart w:id="68" w:name="_Toc171861060"/>
      <w:r w:rsidRPr="002B71E5">
        <w:rPr>
          <w:rFonts w:asciiTheme="majorHAnsi" w:hAnsiTheme="majorHAnsi"/>
          <w:b/>
          <w:bCs/>
          <w:sz w:val="24"/>
          <w:szCs w:val="24"/>
        </w:rPr>
        <w:t>IV.</w:t>
      </w:r>
      <w:r w:rsidR="002B71E5">
        <w:rPr>
          <w:rFonts w:asciiTheme="majorHAnsi" w:hAnsiTheme="majorHAnsi"/>
          <w:b/>
          <w:bCs/>
          <w:sz w:val="24"/>
          <w:szCs w:val="24"/>
        </w:rPr>
        <w:t>1.</w:t>
      </w:r>
      <w:r w:rsidRPr="002B71E5">
        <w:rPr>
          <w:rFonts w:asciiTheme="majorHAnsi" w:hAnsiTheme="majorHAnsi"/>
          <w:b/>
          <w:bCs/>
          <w:sz w:val="24"/>
          <w:szCs w:val="24"/>
        </w:rPr>
        <w:tab/>
      </w:r>
      <w:r w:rsidR="001D5BCE" w:rsidRPr="002B71E5">
        <w:rPr>
          <w:rFonts w:asciiTheme="majorHAnsi" w:hAnsiTheme="majorHAnsi"/>
          <w:b/>
          <w:bCs/>
          <w:sz w:val="24"/>
          <w:szCs w:val="24"/>
        </w:rPr>
        <w:t>Bezpieczeństwo dostaw energii elektrycznej, awaria sieciowa i awaria w systemie</w:t>
      </w:r>
      <w:bookmarkEnd w:id="67"/>
      <w:bookmarkEnd w:id="68"/>
    </w:p>
    <w:p w14:paraId="5CAD706F" w14:textId="77777777" w:rsidR="00753A09" w:rsidRPr="00AE3F1B" w:rsidRDefault="00753A09" w:rsidP="00175586">
      <w:pPr>
        <w:spacing w:after="218" w:line="253" w:lineRule="auto"/>
        <w:ind w:left="567" w:right="-3" w:hanging="567"/>
        <w:jc w:val="left"/>
        <w:rPr>
          <w:rFonts w:ascii="Garamond" w:hAnsi="Garamond"/>
          <w:sz w:val="24"/>
          <w:szCs w:val="24"/>
        </w:rPr>
      </w:pPr>
      <w:r w:rsidRPr="00AE3F1B">
        <w:rPr>
          <w:rFonts w:ascii="Garamond" w:hAnsi="Garamond"/>
          <w:sz w:val="24"/>
          <w:szCs w:val="24"/>
        </w:rPr>
        <w:t>IV.</w:t>
      </w:r>
      <w:r w:rsidR="001B4129" w:rsidRPr="00AE3F1B">
        <w:rPr>
          <w:rFonts w:ascii="Garamond" w:hAnsi="Garamond"/>
          <w:sz w:val="24"/>
          <w:szCs w:val="24"/>
        </w:rPr>
        <w:t>1.1.</w:t>
      </w:r>
      <w:r w:rsidRPr="00AE3F1B">
        <w:rPr>
          <w:rFonts w:ascii="Garamond" w:hAnsi="Garamond"/>
          <w:sz w:val="24"/>
          <w:szCs w:val="24"/>
        </w:rPr>
        <w:t xml:space="preserve"> Operator systemu przesyłowego, zgodnie z Instrukcją Ruchu i Eksploatacji Sieci Przesyłowej, na bieżąco kontroluje warunki pracy KSE. OSP może stwierdzić zagrożenie bezpieczeństwa dostaw energii elektrycznej i podać do publicznej wiadomości komunikat o wystąpieniu zagrożenia bezpieczeństwa dostaw energii elektrycznej i podejmowanych działaniach.</w:t>
      </w:r>
    </w:p>
    <w:p w14:paraId="04BF4A70" w14:textId="77777777" w:rsidR="00753A09" w:rsidRPr="00AE3F1B" w:rsidRDefault="00753A09" w:rsidP="00175586">
      <w:pPr>
        <w:spacing w:after="175" w:line="253" w:lineRule="auto"/>
        <w:ind w:left="567" w:right="-3" w:hanging="567"/>
        <w:jc w:val="left"/>
        <w:rPr>
          <w:rFonts w:ascii="Garamond" w:hAnsi="Garamond"/>
          <w:sz w:val="24"/>
          <w:szCs w:val="24"/>
        </w:rPr>
      </w:pPr>
      <w:r w:rsidRPr="00AE3F1B">
        <w:rPr>
          <w:rFonts w:ascii="Garamond" w:hAnsi="Garamond"/>
          <w:sz w:val="24"/>
          <w:szCs w:val="24"/>
        </w:rPr>
        <w:t>IV.1.2. Podstawowym stanem pracy KSE wymagającym działań interwencyjnych służb dyspozytorskich i służb ruchowych jest zagrożenie bezpieczeństwa dostaw energii elektrycznej, w tym:</w:t>
      </w:r>
    </w:p>
    <w:p w14:paraId="399764AF" w14:textId="77777777" w:rsidR="00753A09" w:rsidRPr="00BA5131" w:rsidRDefault="00753A09">
      <w:pPr>
        <w:pStyle w:val="Akapitzlist"/>
        <w:numPr>
          <w:ilvl w:val="0"/>
          <w:numId w:val="113"/>
        </w:numPr>
        <w:spacing w:line="253" w:lineRule="auto"/>
        <w:ind w:right="-3"/>
        <w:jc w:val="left"/>
        <w:rPr>
          <w:rFonts w:ascii="Garamond" w:hAnsi="Garamond"/>
          <w:sz w:val="24"/>
          <w:szCs w:val="24"/>
        </w:rPr>
      </w:pPr>
      <w:r w:rsidRPr="00BA5131">
        <w:rPr>
          <w:rFonts w:ascii="Garamond" w:hAnsi="Garamond"/>
          <w:sz w:val="24"/>
          <w:szCs w:val="24"/>
        </w:rPr>
        <w:t>awaria w systemie,</w:t>
      </w:r>
    </w:p>
    <w:p w14:paraId="7FFE57AD" w14:textId="77777777" w:rsidR="00753A09" w:rsidRPr="00BA5131" w:rsidRDefault="00753A09">
      <w:pPr>
        <w:pStyle w:val="Akapitzlist"/>
        <w:numPr>
          <w:ilvl w:val="0"/>
          <w:numId w:val="113"/>
        </w:numPr>
        <w:spacing w:line="253" w:lineRule="auto"/>
        <w:ind w:right="-3"/>
        <w:jc w:val="left"/>
        <w:rPr>
          <w:rFonts w:ascii="Garamond" w:hAnsi="Garamond"/>
          <w:sz w:val="24"/>
          <w:szCs w:val="24"/>
        </w:rPr>
      </w:pPr>
      <w:r w:rsidRPr="00BA5131">
        <w:rPr>
          <w:rFonts w:ascii="Garamond" w:hAnsi="Garamond"/>
          <w:sz w:val="24"/>
          <w:szCs w:val="24"/>
        </w:rPr>
        <w:t>awaria sieciowa.</w:t>
      </w:r>
    </w:p>
    <w:p w14:paraId="5B767A56" w14:textId="77777777" w:rsidR="00753A09" w:rsidRPr="00AE3F1B" w:rsidRDefault="00753A09" w:rsidP="00BA5131">
      <w:pPr>
        <w:spacing w:line="253" w:lineRule="auto"/>
        <w:ind w:right="-3"/>
        <w:jc w:val="left"/>
        <w:rPr>
          <w:rFonts w:ascii="Garamond" w:hAnsi="Garamond"/>
          <w:sz w:val="24"/>
          <w:szCs w:val="24"/>
        </w:rPr>
      </w:pPr>
      <w:r w:rsidRPr="00AE3F1B">
        <w:rPr>
          <w:rFonts w:ascii="Garamond" w:hAnsi="Garamond"/>
          <w:sz w:val="24"/>
          <w:szCs w:val="24"/>
        </w:rPr>
        <w:t xml:space="preserve">Zagrożenie bezpieczeństwa dostaw energii elektrycznej może powstać w szczególności </w:t>
      </w:r>
      <w:r w:rsidR="00B87D8B">
        <w:rPr>
          <w:rFonts w:ascii="Garamond" w:hAnsi="Garamond"/>
          <w:sz w:val="24"/>
          <w:szCs w:val="24"/>
        </w:rPr>
        <w:br/>
      </w:r>
      <w:r w:rsidRPr="00AE3F1B">
        <w:rPr>
          <w:rFonts w:ascii="Garamond" w:hAnsi="Garamond"/>
          <w:sz w:val="24"/>
          <w:szCs w:val="24"/>
        </w:rPr>
        <w:t>w następstwie:</w:t>
      </w:r>
    </w:p>
    <w:p w14:paraId="6B40240F" w14:textId="77777777" w:rsidR="00753A09" w:rsidRPr="00BA5131" w:rsidRDefault="00753A09">
      <w:pPr>
        <w:pStyle w:val="Akapitzlist"/>
        <w:numPr>
          <w:ilvl w:val="0"/>
          <w:numId w:val="114"/>
        </w:numPr>
        <w:spacing w:line="253" w:lineRule="auto"/>
        <w:ind w:right="-3"/>
        <w:jc w:val="left"/>
        <w:rPr>
          <w:rFonts w:ascii="Garamond" w:hAnsi="Garamond"/>
          <w:sz w:val="24"/>
          <w:szCs w:val="24"/>
        </w:rPr>
      </w:pPr>
      <w:r w:rsidRPr="00BA5131">
        <w:rPr>
          <w:rFonts w:ascii="Garamond" w:hAnsi="Garamond"/>
          <w:sz w:val="24"/>
          <w:szCs w:val="24"/>
        </w:rPr>
        <w:t>działań wynikających z wprowadzenia stanu nadzwyczajnego,</w:t>
      </w:r>
    </w:p>
    <w:p w14:paraId="16B44618" w14:textId="77777777" w:rsidR="00753A09" w:rsidRPr="00BA5131" w:rsidRDefault="00753A09">
      <w:pPr>
        <w:pStyle w:val="Akapitzlist"/>
        <w:numPr>
          <w:ilvl w:val="0"/>
          <w:numId w:val="114"/>
        </w:numPr>
        <w:spacing w:line="253" w:lineRule="auto"/>
        <w:ind w:right="-3"/>
        <w:jc w:val="left"/>
        <w:rPr>
          <w:rFonts w:ascii="Garamond" w:hAnsi="Garamond"/>
          <w:sz w:val="24"/>
          <w:szCs w:val="24"/>
        </w:rPr>
      </w:pPr>
      <w:r w:rsidRPr="00BA5131">
        <w:rPr>
          <w:rFonts w:ascii="Garamond" w:hAnsi="Garamond"/>
          <w:sz w:val="24"/>
          <w:szCs w:val="24"/>
        </w:rPr>
        <w:t>katastrofy naturalnej albo bezpośredniego zagrożenia wystąpienia awarii technicznej,</w:t>
      </w:r>
    </w:p>
    <w:p w14:paraId="1CF1B6E6" w14:textId="738F8C10" w:rsidR="00753A09" w:rsidRPr="00BA5131" w:rsidRDefault="00753A09">
      <w:pPr>
        <w:pStyle w:val="Akapitzlist"/>
        <w:numPr>
          <w:ilvl w:val="0"/>
          <w:numId w:val="114"/>
        </w:numPr>
        <w:spacing w:line="253" w:lineRule="auto"/>
        <w:ind w:right="-3"/>
        <w:jc w:val="left"/>
        <w:rPr>
          <w:rFonts w:ascii="Garamond" w:hAnsi="Garamond"/>
          <w:sz w:val="24"/>
          <w:szCs w:val="24"/>
        </w:rPr>
      </w:pPr>
      <w:r w:rsidRPr="00BA5131">
        <w:rPr>
          <w:rFonts w:ascii="Garamond" w:hAnsi="Garamond"/>
          <w:sz w:val="24"/>
          <w:szCs w:val="24"/>
        </w:rPr>
        <w:t xml:space="preserve">wprowadzenia embarga, blokady, ograniczenia lub braku dostaw paliw lub energii elektrycznej z innego kraju na terytorium Rzeczypospolitej Polskiej, lub zakłóceń </w:t>
      </w:r>
      <w:r w:rsidR="00645717" w:rsidRPr="00BA5131">
        <w:rPr>
          <w:rFonts w:ascii="Garamond" w:hAnsi="Garamond"/>
          <w:sz w:val="24"/>
          <w:szCs w:val="24"/>
        </w:rPr>
        <w:br/>
      </w:r>
      <w:r w:rsidRPr="00BA5131">
        <w:rPr>
          <w:rFonts w:ascii="Garamond" w:hAnsi="Garamond"/>
          <w:sz w:val="24"/>
          <w:szCs w:val="24"/>
        </w:rPr>
        <w:t>w funkcjonowaniu systemów elektroenergetycznych połączonych z krajowym systemem elektroenergetycznym,</w:t>
      </w:r>
    </w:p>
    <w:p w14:paraId="00026788" w14:textId="77777777" w:rsidR="00753A09" w:rsidRPr="00BA5131" w:rsidRDefault="00753A09">
      <w:pPr>
        <w:pStyle w:val="Akapitzlist"/>
        <w:numPr>
          <w:ilvl w:val="0"/>
          <w:numId w:val="114"/>
        </w:numPr>
        <w:spacing w:line="253" w:lineRule="auto"/>
        <w:ind w:right="-3"/>
        <w:jc w:val="left"/>
        <w:rPr>
          <w:rFonts w:ascii="Garamond" w:hAnsi="Garamond"/>
          <w:sz w:val="24"/>
          <w:szCs w:val="24"/>
        </w:rPr>
      </w:pPr>
      <w:r w:rsidRPr="00BA5131">
        <w:rPr>
          <w:rFonts w:ascii="Garamond" w:hAnsi="Garamond"/>
          <w:sz w:val="24"/>
          <w:szCs w:val="24"/>
        </w:rPr>
        <w:t>strajku lub niepokojów społecznych,</w:t>
      </w:r>
    </w:p>
    <w:p w14:paraId="774A74F0" w14:textId="77777777" w:rsidR="00753A09" w:rsidRPr="00BA5131" w:rsidRDefault="00753A09">
      <w:pPr>
        <w:pStyle w:val="Akapitzlist"/>
        <w:numPr>
          <w:ilvl w:val="0"/>
          <w:numId w:val="114"/>
        </w:numPr>
        <w:spacing w:after="144" w:line="253" w:lineRule="auto"/>
        <w:ind w:right="-3"/>
        <w:jc w:val="left"/>
        <w:rPr>
          <w:rFonts w:ascii="Garamond" w:hAnsi="Garamond"/>
          <w:sz w:val="24"/>
          <w:szCs w:val="24"/>
        </w:rPr>
      </w:pPr>
      <w:r w:rsidRPr="00BA5131">
        <w:rPr>
          <w:rFonts w:ascii="Garamond" w:hAnsi="Garamond"/>
          <w:sz w:val="24"/>
          <w:szCs w:val="24"/>
        </w:rPr>
        <w:t>obniżenia dostępnych rezerw zdolności wytwórczych poniżej niezbędnych wielkości lub braku możliwości ich wykorzystania, w tym stanu zapasów paliw w elektrowniach krajowych poniżej wymaganego poziomu określonego w odrębnych przepisach.</w:t>
      </w:r>
    </w:p>
    <w:p w14:paraId="7E7525A7" w14:textId="33FF4D5C" w:rsidR="00753A09" w:rsidRPr="00AE3F1B" w:rsidRDefault="00753A09" w:rsidP="001B4129">
      <w:pPr>
        <w:spacing w:line="253" w:lineRule="auto"/>
        <w:ind w:left="567" w:right="-3" w:hanging="567"/>
        <w:jc w:val="left"/>
        <w:rPr>
          <w:rFonts w:ascii="Garamond" w:hAnsi="Garamond"/>
          <w:sz w:val="24"/>
          <w:szCs w:val="24"/>
        </w:rPr>
      </w:pPr>
      <w:r w:rsidRPr="00AE3F1B">
        <w:rPr>
          <w:rFonts w:ascii="Garamond" w:hAnsi="Garamond"/>
          <w:sz w:val="24"/>
          <w:szCs w:val="24"/>
        </w:rPr>
        <w:t>IV.1.3. W przypadku ogłoszenia zagrożenia bezpieczeństwa dostaw energii elektrycznej, OSP może stosować procedury awaryjne bilansowania systemu i zarządzania ograniczeniami systemowymi, nazywane również procedurami awaryjnymi. Procedury awaryjne</w:t>
      </w:r>
      <w:r w:rsidR="00645717">
        <w:rPr>
          <w:rFonts w:ascii="Garamond" w:hAnsi="Garamond"/>
          <w:sz w:val="24"/>
          <w:szCs w:val="24"/>
        </w:rPr>
        <w:t xml:space="preserve"> </w:t>
      </w:r>
      <w:r w:rsidRPr="00AE3F1B">
        <w:rPr>
          <w:rFonts w:ascii="Garamond" w:hAnsi="Garamond"/>
          <w:sz w:val="24"/>
          <w:szCs w:val="24"/>
        </w:rPr>
        <w:t>stosowane na rynku bilansującym określa Instrukcj</w:t>
      </w:r>
      <w:r w:rsidR="00F5565C">
        <w:rPr>
          <w:rFonts w:ascii="Garamond" w:hAnsi="Garamond"/>
          <w:sz w:val="24"/>
          <w:szCs w:val="24"/>
        </w:rPr>
        <w:t>i</w:t>
      </w:r>
      <w:r w:rsidRPr="00AE3F1B">
        <w:rPr>
          <w:rFonts w:ascii="Garamond" w:hAnsi="Garamond"/>
          <w:sz w:val="24"/>
          <w:szCs w:val="24"/>
        </w:rPr>
        <w:t xml:space="preserve"> Ruchu i Eksploatacji Sieci Przesyłowej.</w:t>
      </w:r>
    </w:p>
    <w:p w14:paraId="6F327937" w14:textId="37733639" w:rsidR="00753A09" w:rsidRPr="00AE3F1B" w:rsidRDefault="00753A09" w:rsidP="00175586">
      <w:pPr>
        <w:spacing w:after="220" w:line="226" w:lineRule="auto"/>
        <w:ind w:left="567" w:right="-3" w:hanging="567"/>
        <w:jc w:val="left"/>
        <w:rPr>
          <w:rFonts w:ascii="Garamond" w:hAnsi="Garamond"/>
          <w:sz w:val="24"/>
          <w:szCs w:val="24"/>
        </w:rPr>
      </w:pPr>
      <w:r w:rsidRPr="00AE3F1B">
        <w:rPr>
          <w:rFonts w:ascii="Garamond" w:hAnsi="Garamond"/>
          <w:sz w:val="24"/>
          <w:szCs w:val="24"/>
        </w:rPr>
        <w:t>IV.1.4.</w:t>
      </w:r>
      <w:r w:rsidRPr="00AE3F1B">
        <w:rPr>
          <w:rFonts w:ascii="Garamond" w:hAnsi="Garamond"/>
          <w:sz w:val="24"/>
          <w:szCs w:val="24"/>
        </w:rPr>
        <w:tab/>
        <w:t xml:space="preserve">Operator systemu przesyłowego może stosować procedury awaryjne rynku bilansującego, </w:t>
      </w:r>
      <w:r w:rsidRPr="00AE3F1B">
        <w:rPr>
          <w:rFonts w:ascii="Garamond" w:hAnsi="Garamond"/>
          <w:sz w:val="24"/>
          <w:szCs w:val="24"/>
        </w:rPr>
        <w:br/>
        <w:t xml:space="preserve">o których mowa w pkt. IV.1.3 w przypadkach awarii sieciowych i awarii w systemie </w:t>
      </w:r>
      <w:r w:rsidR="00BA5131" w:rsidRPr="00AE3F1B">
        <w:rPr>
          <w:rFonts w:ascii="Garamond" w:hAnsi="Garamond"/>
          <w:sz w:val="24"/>
          <w:szCs w:val="24"/>
        </w:rPr>
        <w:t>niepowodujących</w:t>
      </w:r>
      <w:r w:rsidRPr="00AE3F1B">
        <w:rPr>
          <w:rFonts w:ascii="Garamond" w:hAnsi="Garamond"/>
          <w:sz w:val="24"/>
          <w:szCs w:val="24"/>
        </w:rPr>
        <w:t xml:space="preserve"> powstania zagrożenia bezpieczeństwa dostaw energii elektrycznej. Wówczas procedury te dotyczą podmiotów objętych skutkami awarii.</w:t>
      </w:r>
    </w:p>
    <w:p w14:paraId="7E61356D" w14:textId="01B09F6C" w:rsidR="00753A09" w:rsidRPr="00AE3F1B" w:rsidRDefault="00753A09" w:rsidP="00175586">
      <w:pPr>
        <w:spacing w:after="224" w:line="253" w:lineRule="auto"/>
        <w:ind w:left="567" w:right="-3" w:hanging="567"/>
        <w:jc w:val="left"/>
        <w:rPr>
          <w:rFonts w:ascii="Garamond" w:hAnsi="Garamond"/>
          <w:sz w:val="24"/>
          <w:szCs w:val="24"/>
        </w:rPr>
      </w:pPr>
      <w:r w:rsidRPr="00AE3F1B">
        <w:rPr>
          <w:rFonts w:ascii="Garamond" w:hAnsi="Garamond"/>
          <w:sz w:val="24"/>
          <w:szCs w:val="24"/>
        </w:rPr>
        <w:lastRenderedPageBreak/>
        <w:t xml:space="preserve">IV. 1.5. W przypadku stwierdzenia przez OSP zagrożenia bezpieczeństwa dostaw energii elektrycznej, JWCD i JWCK przyłączone do sieci dystrybucyjnej stosują się do bezpośrednich poleceń operatora systemu przesyłowego. Pozostali wytwórcy oraz odbiorcy przyłączeni do sieci dystrybucyjnej stosują się do poleceń ID Sp. z o.o. W przypadkach awarii sieciowych i awarii </w:t>
      </w:r>
      <w:r w:rsidR="00645717">
        <w:rPr>
          <w:rFonts w:ascii="Garamond" w:hAnsi="Garamond"/>
          <w:sz w:val="24"/>
          <w:szCs w:val="24"/>
        </w:rPr>
        <w:br/>
      </w:r>
      <w:r w:rsidRPr="00AE3F1B">
        <w:rPr>
          <w:rFonts w:ascii="Garamond" w:hAnsi="Garamond"/>
          <w:sz w:val="24"/>
          <w:szCs w:val="24"/>
        </w:rPr>
        <w:t xml:space="preserve">w systemie </w:t>
      </w:r>
      <w:r w:rsidR="00BA5131" w:rsidRPr="00AE3F1B">
        <w:rPr>
          <w:rFonts w:ascii="Garamond" w:hAnsi="Garamond"/>
          <w:sz w:val="24"/>
          <w:szCs w:val="24"/>
        </w:rPr>
        <w:t>niepowodujących</w:t>
      </w:r>
      <w:r w:rsidRPr="00AE3F1B">
        <w:rPr>
          <w:rFonts w:ascii="Garamond" w:hAnsi="Garamond"/>
          <w:sz w:val="24"/>
          <w:szCs w:val="24"/>
        </w:rPr>
        <w:t xml:space="preserve"> wystąpienia zagrożenia bezpieczeństwa dostaw energii elektrycznej, bezpośrednie polecenia właściwych operatorów realizują podmioty bezpośrednio zaangażowane w proces usunięcia skutków awarii.</w:t>
      </w:r>
    </w:p>
    <w:p w14:paraId="724B9FF0" w14:textId="77777777" w:rsidR="00753A09" w:rsidRPr="00AE3F1B" w:rsidRDefault="00753A09" w:rsidP="00175586">
      <w:pPr>
        <w:spacing w:after="171" w:line="253" w:lineRule="auto"/>
        <w:ind w:left="567" w:right="-3" w:hanging="567"/>
        <w:jc w:val="left"/>
        <w:rPr>
          <w:rFonts w:ascii="Garamond" w:hAnsi="Garamond"/>
          <w:sz w:val="24"/>
          <w:szCs w:val="24"/>
        </w:rPr>
      </w:pPr>
      <w:r w:rsidRPr="00AE3F1B">
        <w:rPr>
          <w:rFonts w:ascii="Garamond" w:hAnsi="Garamond"/>
          <w:sz w:val="24"/>
          <w:szCs w:val="24"/>
        </w:rPr>
        <w:t>IV.1.6. ID Sp. z o.o. wraz z PGE Dystrybucja S.A. oraz OSP podejmują, zgodnie z IRiESP, niezwłoczne działania zmierzające do likwidacji zagrożenia bezpieczeństwa dostaw energii elektrycznej, awarii sieciowej lub awarii w systemie.</w:t>
      </w:r>
    </w:p>
    <w:p w14:paraId="5A43B871" w14:textId="77777777" w:rsidR="00753A09" w:rsidRPr="00AE3F1B" w:rsidRDefault="00753A09" w:rsidP="00175586">
      <w:pPr>
        <w:spacing w:after="220" w:line="226" w:lineRule="auto"/>
        <w:ind w:left="567" w:right="-3" w:hanging="567"/>
        <w:jc w:val="left"/>
        <w:rPr>
          <w:rFonts w:ascii="Garamond" w:hAnsi="Garamond"/>
          <w:sz w:val="24"/>
          <w:szCs w:val="24"/>
        </w:rPr>
      </w:pPr>
      <w:r w:rsidRPr="00AE3F1B">
        <w:rPr>
          <w:rFonts w:ascii="Garamond" w:hAnsi="Garamond"/>
          <w:sz w:val="24"/>
          <w:szCs w:val="24"/>
        </w:rPr>
        <w:t>IV.1.7.</w:t>
      </w:r>
      <w:r w:rsidRPr="00AE3F1B">
        <w:rPr>
          <w:rFonts w:ascii="Garamond" w:hAnsi="Garamond"/>
          <w:sz w:val="24"/>
          <w:szCs w:val="24"/>
        </w:rPr>
        <w:tab/>
        <w:t>ID Sp. z o.o. w uzgodnieniu z PGE Dystrybucja S.A. opracowuje i na bieżąco aktualizuje procedury dyspozytorskie na okres odbudowy zasilania systemu dystrybucyjnego, którego pracą kieruje.</w:t>
      </w:r>
    </w:p>
    <w:p w14:paraId="7307A36F" w14:textId="77BF74C7" w:rsidR="00753A09" w:rsidRPr="00AE3F1B" w:rsidRDefault="00753A09" w:rsidP="00175586">
      <w:pPr>
        <w:spacing w:after="161" w:line="253" w:lineRule="auto"/>
        <w:ind w:left="567" w:right="-3" w:hanging="567"/>
        <w:jc w:val="left"/>
        <w:rPr>
          <w:rFonts w:ascii="Garamond" w:hAnsi="Garamond"/>
          <w:sz w:val="24"/>
          <w:szCs w:val="24"/>
        </w:rPr>
      </w:pPr>
      <w:r w:rsidRPr="00AE3F1B">
        <w:rPr>
          <w:rFonts w:ascii="Garamond" w:hAnsi="Garamond"/>
          <w:sz w:val="24"/>
          <w:szCs w:val="24"/>
        </w:rPr>
        <w:t xml:space="preserve">IV.1.8. Procedury dyspozytorskie na okres odbudowy zasilania systemu dystrybucyjnego obejmują </w:t>
      </w:r>
      <w:r w:rsidR="00645717">
        <w:rPr>
          <w:rFonts w:ascii="Garamond" w:hAnsi="Garamond"/>
          <w:sz w:val="24"/>
          <w:szCs w:val="24"/>
        </w:rPr>
        <w:br/>
      </w:r>
      <w:r w:rsidRPr="00AE3F1B">
        <w:rPr>
          <w:rFonts w:ascii="Garamond" w:hAnsi="Garamond"/>
          <w:sz w:val="24"/>
          <w:szCs w:val="24"/>
        </w:rPr>
        <w:t>w szczególności:</w:t>
      </w:r>
    </w:p>
    <w:p w14:paraId="0715D81B" w14:textId="77777777" w:rsidR="00753A09" w:rsidRPr="00BA5131" w:rsidRDefault="00753A09">
      <w:pPr>
        <w:pStyle w:val="Akapitzlist"/>
        <w:numPr>
          <w:ilvl w:val="0"/>
          <w:numId w:val="115"/>
        </w:numPr>
        <w:spacing w:line="253" w:lineRule="auto"/>
        <w:ind w:right="-3"/>
        <w:jc w:val="left"/>
        <w:rPr>
          <w:rFonts w:ascii="Garamond" w:hAnsi="Garamond"/>
          <w:sz w:val="24"/>
          <w:szCs w:val="24"/>
        </w:rPr>
      </w:pPr>
      <w:r w:rsidRPr="00BA5131">
        <w:rPr>
          <w:rFonts w:ascii="Garamond" w:hAnsi="Garamond"/>
          <w:sz w:val="24"/>
          <w:szCs w:val="24"/>
        </w:rPr>
        <w:t>podział kompetencji służb dyspozytorskich,</w:t>
      </w:r>
    </w:p>
    <w:p w14:paraId="6C10442B" w14:textId="77777777" w:rsidR="00753A09" w:rsidRPr="00BA5131" w:rsidRDefault="00753A09">
      <w:pPr>
        <w:pStyle w:val="Akapitzlist"/>
        <w:numPr>
          <w:ilvl w:val="0"/>
          <w:numId w:val="115"/>
        </w:numPr>
        <w:spacing w:line="253" w:lineRule="auto"/>
        <w:ind w:right="-3"/>
        <w:jc w:val="left"/>
        <w:rPr>
          <w:rFonts w:ascii="Garamond" w:hAnsi="Garamond"/>
          <w:sz w:val="24"/>
          <w:szCs w:val="24"/>
        </w:rPr>
      </w:pPr>
      <w:r w:rsidRPr="00BA5131">
        <w:rPr>
          <w:rFonts w:ascii="Garamond" w:hAnsi="Garamond"/>
          <w:sz w:val="24"/>
          <w:szCs w:val="24"/>
        </w:rPr>
        <w:t>awaryjne układy pracy sieci,</w:t>
      </w:r>
    </w:p>
    <w:p w14:paraId="471426F2" w14:textId="77777777" w:rsidR="00753A09" w:rsidRPr="00BA5131" w:rsidRDefault="00753A09">
      <w:pPr>
        <w:pStyle w:val="Akapitzlist"/>
        <w:numPr>
          <w:ilvl w:val="0"/>
          <w:numId w:val="115"/>
        </w:numPr>
        <w:spacing w:line="253" w:lineRule="auto"/>
        <w:ind w:right="-3"/>
        <w:jc w:val="left"/>
        <w:rPr>
          <w:rFonts w:ascii="Garamond" w:hAnsi="Garamond"/>
          <w:sz w:val="24"/>
          <w:szCs w:val="24"/>
        </w:rPr>
      </w:pPr>
      <w:r w:rsidRPr="00BA5131">
        <w:rPr>
          <w:rFonts w:ascii="Garamond" w:hAnsi="Garamond"/>
          <w:sz w:val="24"/>
          <w:szCs w:val="24"/>
        </w:rPr>
        <w:t>wykaz operacji ruchowych wykonywanych w poszczególnych fazach odbudowy zasilania,</w:t>
      </w:r>
    </w:p>
    <w:p w14:paraId="6B26FF88" w14:textId="06EFFDB1" w:rsidR="00753A09" w:rsidRPr="00BA5131" w:rsidRDefault="00753A09">
      <w:pPr>
        <w:pStyle w:val="Akapitzlist"/>
        <w:numPr>
          <w:ilvl w:val="0"/>
          <w:numId w:val="115"/>
        </w:numPr>
        <w:spacing w:line="253" w:lineRule="auto"/>
        <w:ind w:right="-3"/>
        <w:jc w:val="left"/>
        <w:rPr>
          <w:rFonts w:ascii="Garamond" w:hAnsi="Garamond"/>
          <w:sz w:val="24"/>
          <w:szCs w:val="24"/>
        </w:rPr>
      </w:pPr>
      <w:r w:rsidRPr="00BA5131">
        <w:rPr>
          <w:rFonts w:ascii="Garamond" w:hAnsi="Garamond"/>
          <w:sz w:val="24"/>
          <w:szCs w:val="24"/>
        </w:rPr>
        <w:t xml:space="preserve">dane techniczne niezbędne do odbudowy zasilania, tryb i zasady wymiany informacji </w:t>
      </w:r>
      <w:r w:rsidR="00645717" w:rsidRPr="00BA5131">
        <w:rPr>
          <w:rFonts w:ascii="Garamond" w:hAnsi="Garamond"/>
          <w:sz w:val="24"/>
          <w:szCs w:val="24"/>
        </w:rPr>
        <w:br/>
      </w:r>
      <w:r w:rsidRPr="00BA5131">
        <w:rPr>
          <w:rFonts w:ascii="Garamond" w:hAnsi="Garamond"/>
          <w:sz w:val="24"/>
          <w:szCs w:val="24"/>
        </w:rPr>
        <w:t>i poleceń dyspozytorskich.</w:t>
      </w:r>
    </w:p>
    <w:p w14:paraId="5225FAA4" w14:textId="3FE42B78" w:rsidR="00753A09" w:rsidRPr="00AE3F1B" w:rsidRDefault="00753A09" w:rsidP="00175586">
      <w:pPr>
        <w:spacing w:after="211" w:line="253" w:lineRule="auto"/>
        <w:ind w:left="567" w:right="-3" w:hanging="567"/>
        <w:jc w:val="left"/>
        <w:rPr>
          <w:rFonts w:ascii="Garamond" w:hAnsi="Garamond"/>
          <w:sz w:val="24"/>
          <w:szCs w:val="24"/>
        </w:rPr>
      </w:pPr>
      <w:r w:rsidRPr="00AE3F1B">
        <w:rPr>
          <w:rFonts w:ascii="Garamond" w:hAnsi="Garamond"/>
          <w:sz w:val="24"/>
          <w:szCs w:val="24"/>
        </w:rPr>
        <w:t xml:space="preserve">IV.1.9. Jeżeli awaria sieciowa, awaria w systemie oraz zagrożenie bezpieczeństwa dostaw energii elektrycznej lub też przewidziana procedura likwidacji awarii lub zagrożenia bezpieczeństwa dostaw energii elektrycznej stanowi zagrożenie dla użytkowników systemu nie objętych awarią lub stanem zagrożenia, ID Sp. z o.o. udziela tym użytkownikom niezbędnych informacji </w:t>
      </w:r>
      <w:r w:rsidR="00645717">
        <w:rPr>
          <w:rFonts w:ascii="Garamond" w:hAnsi="Garamond"/>
          <w:sz w:val="24"/>
          <w:szCs w:val="24"/>
        </w:rPr>
        <w:br/>
      </w:r>
      <w:r w:rsidRPr="00AE3F1B">
        <w:rPr>
          <w:rFonts w:ascii="Garamond" w:hAnsi="Garamond"/>
          <w:sz w:val="24"/>
          <w:szCs w:val="24"/>
        </w:rPr>
        <w:t>o zagrożeniu i sposobach przeciwdziałania rozszerzaniu się awarii lub stanu zagrożenia.</w:t>
      </w:r>
    </w:p>
    <w:p w14:paraId="160D57B2" w14:textId="3518EB20" w:rsidR="00753A09" w:rsidRPr="00AE3F1B" w:rsidRDefault="00BA5131" w:rsidP="00BA5131">
      <w:pPr>
        <w:spacing w:after="203" w:line="253" w:lineRule="auto"/>
        <w:ind w:left="567" w:right="-3" w:hanging="567"/>
        <w:jc w:val="left"/>
        <w:rPr>
          <w:rFonts w:ascii="Garamond" w:hAnsi="Garamond"/>
          <w:sz w:val="24"/>
          <w:szCs w:val="24"/>
        </w:rPr>
      </w:pPr>
      <w:r w:rsidRPr="00AE3F1B">
        <w:rPr>
          <w:rFonts w:ascii="Garamond" w:hAnsi="Garamond"/>
          <w:sz w:val="24"/>
          <w:szCs w:val="24"/>
        </w:rPr>
        <w:t xml:space="preserve">IV.1.10. </w:t>
      </w:r>
      <w:r>
        <w:rPr>
          <w:rFonts w:ascii="Garamond" w:hAnsi="Garamond"/>
          <w:sz w:val="24"/>
          <w:szCs w:val="24"/>
        </w:rPr>
        <w:t xml:space="preserve"> </w:t>
      </w:r>
      <w:r w:rsidR="00753A09" w:rsidRPr="00AE3F1B">
        <w:rPr>
          <w:rFonts w:ascii="Garamond" w:hAnsi="Garamond"/>
          <w:sz w:val="24"/>
          <w:szCs w:val="24"/>
        </w:rPr>
        <w:t>W procesie likwidacji awarii sieciowej, awarii w systemie i zagrożenia bezpieczeństwa dostaw energii elektrycznej dopuszcza się wprowadzenie ograniczeń w dostarczaniu i poborze energii elektrycznej realizowanych jako wyłączenia w trybie awaryjnym, zgodnie z pkt. IV.3.4.</w:t>
      </w:r>
    </w:p>
    <w:p w14:paraId="18EA13A5" w14:textId="77777777" w:rsidR="00753A09" w:rsidRPr="00B87D8B" w:rsidRDefault="00753A09" w:rsidP="00175586">
      <w:pPr>
        <w:keepNext/>
        <w:keepLines/>
        <w:tabs>
          <w:tab w:val="center" w:pos="3605"/>
        </w:tabs>
        <w:spacing w:after="16" w:line="248" w:lineRule="auto"/>
        <w:ind w:left="567" w:right="-3" w:hanging="567"/>
        <w:jc w:val="left"/>
        <w:outlineLvl w:val="1"/>
        <w:rPr>
          <w:rFonts w:asciiTheme="majorHAnsi" w:hAnsiTheme="majorHAnsi"/>
          <w:b/>
          <w:bCs/>
          <w:sz w:val="24"/>
          <w:szCs w:val="24"/>
        </w:rPr>
      </w:pPr>
      <w:bookmarkStart w:id="69" w:name="_Toc171860247"/>
      <w:bookmarkStart w:id="70" w:name="_Toc171861061"/>
      <w:r w:rsidRPr="00B87D8B">
        <w:rPr>
          <w:rFonts w:asciiTheme="majorHAnsi" w:hAnsiTheme="majorHAnsi"/>
          <w:b/>
          <w:bCs/>
          <w:sz w:val="24"/>
          <w:szCs w:val="24"/>
        </w:rPr>
        <w:t>IV.2.</w:t>
      </w:r>
      <w:r w:rsidRPr="00B87D8B">
        <w:rPr>
          <w:rFonts w:asciiTheme="majorHAnsi" w:hAnsiTheme="majorHAnsi"/>
          <w:b/>
          <w:bCs/>
          <w:sz w:val="24"/>
          <w:szCs w:val="24"/>
        </w:rPr>
        <w:tab/>
      </w:r>
      <w:r w:rsidR="001D5BCE" w:rsidRPr="00B87D8B">
        <w:rPr>
          <w:rFonts w:asciiTheme="majorHAnsi" w:hAnsiTheme="majorHAnsi"/>
          <w:b/>
          <w:bCs/>
          <w:sz w:val="24"/>
          <w:szCs w:val="24"/>
        </w:rPr>
        <w:t>Bezpieczeństwo pracy sieci dystrybucyjnej</w:t>
      </w:r>
      <w:bookmarkEnd w:id="69"/>
      <w:bookmarkEnd w:id="70"/>
    </w:p>
    <w:p w14:paraId="67005B75" w14:textId="6E5FDE87" w:rsidR="00753A09" w:rsidRPr="00AE3F1B" w:rsidRDefault="00753A09" w:rsidP="00175586">
      <w:pPr>
        <w:spacing w:after="190" w:line="253" w:lineRule="auto"/>
        <w:ind w:left="567" w:right="-3" w:hanging="567"/>
        <w:jc w:val="left"/>
        <w:rPr>
          <w:rFonts w:ascii="Garamond" w:hAnsi="Garamond"/>
          <w:sz w:val="24"/>
          <w:szCs w:val="24"/>
        </w:rPr>
      </w:pPr>
      <w:r w:rsidRPr="00AE3F1B">
        <w:rPr>
          <w:rFonts w:ascii="Garamond" w:hAnsi="Garamond"/>
          <w:sz w:val="24"/>
          <w:szCs w:val="24"/>
        </w:rPr>
        <w:t xml:space="preserve">IV.2.1. ID Sp. z o.o. prowadzi ruch sieci dystrybucyjnej w sposób zapewniający bezpieczeństwo realizacji dostaw energii elektrycznej siecią dystrybucyjną ID Sp. </w:t>
      </w:r>
      <w:r w:rsidR="00FF23BB" w:rsidRPr="00AE3F1B">
        <w:rPr>
          <w:rFonts w:ascii="Garamond" w:hAnsi="Garamond"/>
          <w:sz w:val="24"/>
          <w:szCs w:val="24"/>
        </w:rPr>
        <w:t>z o.o.</w:t>
      </w:r>
    </w:p>
    <w:p w14:paraId="13C19264" w14:textId="77777777" w:rsidR="00753A09" w:rsidRPr="00AE3F1B" w:rsidRDefault="00753A09" w:rsidP="00175586">
      <w:pPr>
        <w:spacing w:line="253" w:lineRule="auto"/>
        <w:ind w:left="567" w:right="-3" w:hanging="567"/>
        <w:jc w:val="left"/>
        <w:rPr>
          <w:rFonts w:ascii="Garamond" w:hAnsi="Garamond"/>
          <w:sz w:val="24"/>
          <w:szCs w:val="24"/>
        </w:rPr>
      </w:pPr>
      <w:r w:rsidRPr="00AE3F1B">
        <w:rPr>
          <w:rFonts w:ascii="Garamond" w:hAnsi="Garamond"/>
          <w:sz w:val="24"/>
          <w:szCs w:val="24"/>
        </w:rPr>
        <w:t xml:space="preserve">IV.2.2. ID Sp. z o.o. dotrzymuje standardowych parametrów jakościowych energii elektrycznej </w:t>
      </w:r>
      <w:r w:rsidRPr="00AE3F1B">
        <w:rPr>
          <w:rFonts w:ascii="Garamond" w:hAnsi="Garamond"/>
          <w:sz w:val="24"/>
          <w:szCs w:val="24"/>
        </w:rPr>
        <w:br/>
        <w:t>i standardów jakościowych obsługi odbiorców.</w:t>
      </w:r>
    </w:p>
    <w:p w14:paraId="0419B59D" w14:textId="77777777" w:rsidR="00753A09" w:rsidRPr="00B87D8B" w:rsidRDefault="00753A09" w:rsidP="00175586">
      <w:pPr>
        <w:spacing w:after="16" w:line="248" w:lineRule="auto"/>
        <w:ind w:left="567" w:right="-3" w:hanging="567"/>
        <w:jc w:val="left"/>
        <w:rPr>
          <w:rFonts w:asciiTheme="majorHAnsi" w:hAnsiTheme="majorHAnsi"/>
          <w:b/>
          <w:bCs/>
          <w:sz w:val="24"/>
          <w:szCs w:val="24"/>
        </w:rPr>
      </w:pPr>
      <w:r w:rsidRPr="00B87D8B">
        <w:rPr>
          <w:rFonts w:asciiTheme="majorHAnsi" w:hAnsiTheme="majorHAnsi"/>
          <w:b/>
          <w:bCs/>
          <w:sz w:val="24"/>
          <w:szCs w:val="24"/>
        </w:rPr>
        <w:t>IV.3.</w:t>
      </w:r>
      <w:r w:rsidRPr="00B87D8B">
        <w:rPr>
          <w:rFonts w:asciiTheme="majorHAnsi" w:hAnsiTheme="majorHAnsi"/>
          <w:b/>
          <w:bCs/>
          <w:sz w:val="24"/>
          <w:szCs w:val="24"/>
        </w:rPr>
        <w:tab/>
      </w:r>
      <w:r w:rsidR="001D5BCE" w:rsidRPr="00B87D8B">
        <w:rPr>
          <w:rFonts w:asciiTheme="majorHAnsi" w:hAnsiTheme="majorHAnsi"/>
          <w:b/>
          <w:bCs/>
          <w:sz w:val="24"/>
          <w:szCs w:val="24"/>
        </w:rPr>
        <w:t>Wprowadzenie przerw oraz ograniczeń w dostarczaniu i poborze energii elektrycznej</w:t>
      </w:r>
    </w:p>
    <w:p w14:paraId="6958ECBF" w14:textId="77777777" w:rsidR="00753A09" w:rsidRPr="00B87D8B" w:rsidRDefault="00753A09" w:rsidP="00175586">
      <w:pPr>
        <w:keepNext/>
        <w:keepLines/>
        <w:tabs>
          <w:tab w:val="center" w:pos="2655"/>
        </w:tabs>
        <w:spacing w:after="164" w:line="248" w:lineRule="auto"/>
        <w:ind w:left="567" w:right="-3" w:hanging="567"/>
        <w:jc w:val="left"/>
        <w:outlineLvl w:val="1"/>
        <w:rPr>
          <w:rFonts w:ascii="Garamond" w:hAnsi="Garamond"/>
          <w:sz w:val="24"/>
          <w:szCs w:val="24"/>
        </w:rPr>
      </w:pPr>
      <w:bookmarkStart w:id="71" w:name="_Toc171860248"/>
      <w:bookmarkStart w:id="72" w:name="_Toc171861062"/>
      <w:r w:rsidRPr="00B87D8B">
        <w:rPr>
          <w:rFonts w:ascii="Garamond" w:hAnsi="Garamond"/>
          <w:sz w:val="24"/>
          <w:szCs w:val="24"/>
        </w:rPr>
        <w:t>IV.3.1.</w:t>
      </w:r>
      <w:r w:rsidR="001D5BCE" w:rsidRPr="00B87D8B">
        <w:rPr>
          <w:rFonts w:ascii="Garamond" w:hAnsi="Garamond"/>
          <w:sz w:val="24"/>
          <w:szCs w:val="24"/>
        </w:rPr>
        <w:t>Postanowienia ogólne</w:t>
      </w:r>
      <w:bookmarkEnd w:id="71"/>
      <w:bookmarkEnd w:id="72"/>
    </w:p>
    <w:p w14:paraId="137F5BBE" w14:textId="6F9BFCB2" w:rsidR="00753A09" w:rsidRPr="00AE3F1B" w:rsidRDefault="00F65FCC" w:rsidP="00F65FCC">
      <w:pPr>
        <w:spacing w:after="70" w:line="248" w:lineRule="auto"/>
        <w:ind w:left="567" w:right="-3" w:hanging="567"/>
        <w:jc w:val="left"/>
        <w:rPr>
          <w:rFonts w:ascii="Garamond" w:hAnsi="Garamond"/>
          <w:sz w:val="24"/>
          <w:szCs w:val="24"/>
        </w:rPr>
      </w:pPr>
      <w:r w:rsidRPr="00AE3F1B">
        <w:rPr>
          <w:rFonts w:ascii="Garamond" w:hAnsi="Garamond"/>
          <w:sz w:val="24"/>
          <w:szCs w:val="24"/>
        </w:rPr>
        <w:t xml:space="preserve">IV.3.1.1. </w:t>
      </w:r>
      <w:r w:rsidR="00753A09" w:rsidRPr="00AE3F1B">
        <w:rPr>
          <w:rFonts w:ascii="Garamond" w:hAnsi="Garamond"/>
          <w:sz w:val="24"/>
          <w:szCs w:val="24"/>
        </w:rPr>
        <w:t xml:space="preserve">Ograniczenia w dostarczaniu i poborze energii elektrycznej mogą być wprowadzone przez OSP, na czas oznaczony, w przypadku wystąpienia zagrożenia bezpieczeństwa dostaw energii elektrycznej lub w przypadku wprowadzenia przez Radę Ministrów w drodze rozporządzenia, na podstawie art.11 ust.7 ustawy Prawo Energetyczne, ograniczeń w dostarczaniu i poborze energii </w:t>
      </w:r>
      <w:r w:rsidR="00BA5131" w:rsidRPr="00AE3F1B">
        <w:rPr>
          <w:rFonts w:ascii="Garamond" w:hAnsi="Garamond"/>
          <w:sz w:val="24"/>
          <w:szCs w:val="24"/>
        </w:rPr>
        <w:t>elektrycznej.</w:t>
      </w:r>
    </w:p>
    <w:p w14:paraId="17EF4145" w14:textId="17D5A96F" w:rsidR="00753A09" w:rsidRPr="00AE3F1B" w:rsidRDefault="00F65FCC" w:rsidP="00F65FCC">
      <w:pPr>
        <w:spacing w:after="191" w:line="248" w:lineRule="auto"/>
        <w:ind w:left="360" w:right="-3" w:hanging="360"/>
        <w:jc w:val="left"/>
        <w:rPr>
          <w:rFonts w:ascii="Garamond" w:hAnsi="Garamond"/>
          <w:sz w:val="24"/>
          <w:szCs w:val="24"/>
        </w:rPr>
      </w:pPr>
      <w:r w:rsidRPr="00AE3F1B">
        <w:rPr>
          <w:rFonts w:ascii="Garamond" w:hAnsi="Garamond"/>
          <w:sz w:val="24"/>
          <w:szCs w:val="24"/>
        </w:rPr>
        <w:lastRenderedPageBreak/>
        <w:t xml:space="preserve">IV.3.1.2. </w:t>
      </w:r>
      <w:r>
        <w:rPr>
          <w:rFonts w:ascii="Garamond" w:hAnsi="Garamond"/>
          <w:sz w:val="24"/>
          <w:szCs w:val="24"/>
        </w:rPr>
        <w:t xml:space="preserve"> </w:t>
      </w:r>
      <w:r w:rsidR="00753A09" w:rsidRPr="00AE3F1B">
        <w:rPr>
          <w:rFonts w:ascii="Garamond" w:hAnsi="Garamond"/>
          <w:sz w:val="24"/>
          <w:szCs w:val="24"/>
        </w:rPr>
        <w:t xml:space="preserve">W przypadku wystąpienia zagrożenia bezpieczeństwa dostaw energii elektrycznej, w tym </w:t>
      </w:r>
      <w:r>
        <w:rPr>
          <w:rFonts w:ascii="Garamond" w:hAnsi="Garamond"/>
          <w:sz w:val="24"/>
          <w:szCs w:val="24"/>
        </w:rPr>
        <w:t xml:space="preserve">      </w:t>
      </w:r>
      <w:r w:rsidR="00753A09" w:rsidRPr="00AE3F1B">
        <w:rPr>
          <w:rFonts w:ascii="Garamond" w:hAnsi="Garamond"/>
          <w:sz w:val="24"/>
          <w:szCs w:val="24"/>
        </w:rPr>
        <w:t>w przypadku wystąpienia awarii sieciowej lub awarii w systemie, OSP, PGE Dystrybucja S.A. i ID Sp. z o.o. podejmują we współpracy z użytkownikami systemu wszelkie możliwe działania przy wykorzystaniu dostępnych środków mających na celu usunięcie zagrożenia bezpieczeństwa dostaw energii elektrycznej i zapobieżeni</w:t>
      </w:r>
      <w:r w:rsidR="008B30E6">
        <w:rPr>
          <w:rFonts w:ascii="Garamond" w:hAnsi="Garamond"/>
          <w:sz w:val="24"/>
          <w:szCs w:val="24"/>
        </w:rPr>
        <w:t>e</w:t>
      </w:r>
      <w:r w:rsidR="00753A09" w:rsidRPr="00AE3F1B">
        <w:rPr>
          <w:rFonts w:ascii="Garamond" w:hAnsi="Garamond"/>
          <w:sz w:val="24"/>
          <w:szCs w:val="24"/>
        </w:rPr>
        <w:t xml:space="preserve"> jego negatywnym skutkom. ID Sp. z o.o. w szczególności podejmuje następujące działania:</w:t>
      </w:r>
    </w:p>
    <w:p w14:paraId="50A7C537" w14:textId="77777777" w:rsidR="00753A09" w:rsidRPr="00F65FCC" w:rsidRDefault="00753A09">
      <w:pPr>
        <w:pStyle w:val="Akapitzlist"/>
        <w:numPr>
          <w:ilvl w:val="0"/>
          <w:numId w:val="116"/>
        </w:numPr>
        <w:spacing w:line="253" w:lineRule="auto"/>
        <w:ind w:right="-3"/>
        <w:jc w:val="left"/>
        <w:rPr>
          <w:rFonts w:ascii="Garamond" w:hAnsi="Garamond"/>
          <w:sz w:val="24"/>
          <w:szCs w:val="24"/>
        </w:rPr>
      </w:pPr>
      <w:r w:rsidRPr="00F65FCC">
        <w:rPr>
          <w:rFonts w:ascii="Garamond" w:hAnsi="Garamond"/>
          <w:sz w:val="24"/>
          <w:szCs w:val="24"/>
        </w:rPr>
        <w:t xml:space="preserve">wydaje polecenia uruchomienia, odstawienia, zmiany obciążenia lub odłączenia od sieci </w:t>
      </w:r>
      <w:proofErr w:type="spellStart"/>
      <w:r w:rsidRPr="00F65FCC">
        <w:rPr>
          <w:rFonts w:ascii="Garamond" w:hAnsi="Garamond"/>
          <w:sz w:val="24"/>
          <w:szCs w:val="24"/>
        </w:rPr>
        <w:t>nJWCD</w:t>
      </w:r>
      <w:proofErr w:type="spellEnd"/>
      <w:r w:rsidRPr="00F65FCC">
        <w:rPr>
          <w:rFonts w:ascii="Garamond" w:hAnsi="Garamond"/>
          <w:sz w:val="24"/>
          <w:szCs w:val="24"/>
        </w:rPr>
        <w:t>,</w:t>
      </w:r>
    </w:p>
    <w:p w14:paraId="4F459DF4" w14:textId="77777777" w:rsidR="00753A09" w:rsidRPr="00F65FCC" w:rsidRDefault="00753A09">
      <w:pPr>
        <w:pStyle w:val="Akapitzlist"/>
        <w:numPr>
          <w:ilvl w:val="0"/>
          <w:numId w:val="116"/>
        </w:numPr>
        <w:spacing w:after="142" w:line="253" w:lineRule="auto"/>
        <w:ind w:right="-3"/>
        <w:jc w:val="left"/>
        <w:rPr>
          <w:rFonts w:ascii="Garamond" w:hAnsi="Garamond"/>
          <w:sz w:val="24"/>
          <w:szCs w:val="24"/>
        </w:rPr>
      </w:pPr>
      <w:r w:rsidRPr="00F65FCC">
        <w:rPr>
          <w:rFonts w:ascii="Garamond" w:hAnsi="Garamond"/>
          <w:sz w:val="24"/>
          <w:szCs w:val="24"/>
        </w:rPr>
        <w:t>wydaje polecenia zmniejszenia ilości pobieranej energii elektrycznej przez odbiorców końcowych przyłączonych do sieci dystrybucyjnej na obszarze jego działania lub przerywa zasilanie niezbędnej liczby odbiorców końcowych przyłączonych do sieci dystrybucyjnej na tym obszarze.</w:t>
      </w:r>
    </w:p>
    <w:p w14:paraId="3CC984B7" w14:textId="4D07A925" w:rsidR="00753A09" w:rsidRPr="00AE3F1B" w:rsidRDefault="00F65FCC" w:rsidP="00F65FCC">
      <w:pPr>
        <w:spacing w:after="180" w:line="253" w:lineRule="auto"/>
        <w:ind w:left="360" w:right="-3" w:hanging="360"/>
        <w:jc w:val="left"/>
        <w:rPr>
          <w:rFonts w:ascii="Garamond" w:hAnsi="Garamond"/>
          <w:sz w:val="24"/>
          <w:szCs w:val="24"/>
        </w:rPr>
      </w:pPr>
      <w:r w:rsidRPr="00AE3F1B">
        <w:rPr>
          <w:rFonts w:ascii="Garamond" w:hAnsi="Garamond"/>
          <w:sz w:val="24"/>
          <w:szCs w:val="24"/>
        </w:rPr>
        <w:t>IV.3.1.3.</w:t>
      </w:r>
      <w:r>
        <w:rPr>
          <w:rFonts w:ascii="Garamond" w:hAnsi="Garamond"/>
          <w:sz w:val="24"/>
          <w:szCs w:val="24"/>
        </w:rPr>
        <w:t xml:space="preserve"> </w:t>
      </w:r>
      <w:r w:rsidR="00753A09" w:rsidRPr="00AE3F1B">
        <w:rPr>
          <w:rFonts w:ascii="Garamond" w:hAnsi="Garamond"/>
          <w:sz w:val="24"/>
          <w:szCs w:val="24"/>
        </w:rPr>
        <w:t>Ograniczenia w dostarczaniu i poborze energii elektrycznej wprowadza się wg. następujących trybów:</w:t>
      </w:r>
    </w:p>
    <w:p w14:paraId="19F5299D" w14:textId="77777777" w:rsidR="00753A09" w:rsidRPr="00F65FCC" w:rsidRDefault="00753A09">
      <w:pPr>
        <w:pStyle w:val="Akapitzlist"/>
        <w:numPr>
          <w:ilvl w:val="0"/>
          <w:numId w:val="117"/>
        </w:numPr>
        <w:spacing w:line="253" w:lineRule="auto"/>
        <w:ind w:right="-3"/>
        <w:jc w:val="left"/>
        <w:rPr>
          <w:rFonts w:ascii="Garamond" w:hAnsi="Garamond"/>
          <w:sz w:val="24"/>
          <w:szCs w:val="24"/>
        </w:rPr>
      </w:pPr>
      <w:r w:rsidRPr="00F65FCC">
        <w:rPr>
          <w:rFonts w:ascii="Garamond" w:hAnsi="Garamond"/>
          <w:sz w:val="24"/>
          <w:szCs w:val="24"/>
        </w:rPr>
        <w:t>tryb normalny, określony w pkt. IV.3.2,</w:t>
      </w:r>
    </w:p>
    <w:p w14:paraId="6D4A2A4C" w14:textId="77777777" w:rsidR="00753A09" w:rsidRPr="00F65FCC" w:rsidRDefault="00753A09">
      <w:pPr>
        <w:pStyle w:val="Akapitzlist"/>
        <w:numPr>
          <w:ilvl w:val="0"/>
          <w:numId w:val="117"/>
        </w:numPr>
        <w:spacing w:line="253" w:lineRule="auto"/>
        <w:ind w:right="-3"/>
        <w:jc w:val="left"/>
        <w:rPr>
          <w:rFonts w:ascii="Garamond" w:hAnsi="Garamond"/>
          <w:sz w:val="24"/>
          <w:szCs w:val="24"/>
        </w:rPr>
      </w:pPr>
      <w:r w:rsidRPr="00F65FCC">
        <w:rPr>
          <w:rFonts w:ascii="Garamond" w:hAnsi="Garamond"/>
          <w:sz w:val="24"/>
          <w:szCs w:val="24"/>
        </w:rPr>
        <w:t>tryb normalny na polecenie OSP, określony w pkt. IV.3.3,</w:t>
      </w:r>
    </w:p>
    <w:p w14:paraId="5145A3A3" w14:textId="27DBC3E0" w:rsidR="00753A09" w:rsidRPr="00F65FCC" w:rsidRDefault="00753A09">
      <w:pPr>
        <w:pStyle w:val="Akapitzlist"/>
        <w:numPr>
          <w:ilvl w:val="0"/>
          <w:numId w:val="117"/>
        </w:numPr>
        <w:spacing w:line="253" w:lineRule="auto"/>
        <w:ind w:right="-3"/>
        <w:jc w:val="left"/>
        <w:rPr>
          <w:rFonts w:ascii="Garamond" w:hAnsi="Garamond"/>
          <w:sz w:val="24"/>
          <w:szCs w:val="24"/>
        </w:rPr>
      </w:pPr>
      <w:r w:rsidRPr="00F65FCC">
        <w:rPr>
          <w:rFonts w:ascii="Garamond" w:hAnsi="Garamond"/>
          <w:sz w:val="24"/>
          <w:szCs w:val="24"/>
        </w:rPr>
        <w:t>tryb awaryjny, określony w pkt.</w:t>
      </w:r>
      <w:r w:rsidR="00D356CE">
        <w:rPr>
          <w:rFonts w:ascii="Garamond" w:hAnsi="Garamond"/>
          <w:sz w:val="24"/>
          <w:szCs w:val="24"/>
        </w:rPr>
        <w:t>I</w:t>
      </w:r>
      <w:r w:rsidRPr="00F65FCC">
        <w:rPr>
          <w:rFonts w:ascii="Garamond" w:hAnsi="Garamond"/>
          <w:sz w:val="24"/>
          <w:szCs w:val="24"/>
        </w:rPr>
        <w:t>V.3.4,</w:t>
      </w:r>
    </w:p>
    <w:p w14:paraId="77A39222" w14:textId="77777777" w:rsidR="00753A09" w:rsidRPr="00F65FCC" w:rsidRDefault="00753A09">
      <w:pPr>
        <w:pStyle w:val="Akapitzlist"/>
        <w:numPr>
          <w:ilvl w:val="0"/>
          <w:numId w:val="117"/>
        </w:numPr>
        <w:spacing w:line="253" w:lineRule="auto"/>
        <w:ind w:right="-3"/>
        <w:jc w:val="left"/>
        <w:rPr>
          <w:rFonts w:ascii="Garamond" w:hAnsi="Garamond"/>
          <w:sz w:val="24"/>
          <w:szCs w:val="24"/>
        </w:rPr>
      </w:pPr>
      <w:r w:rsidRPr="00F65FCC">
        <w:rPr>
          <w:rFonts w:ascii="Garamond" w:hAnsi="Garamond"/>
          <w:sz w:val="24"/>
          <w:szCs w:val="24"/>
        </w:rPr>
        <w:t>tryb automatyczny, określony w pkt. IV.3.5,</w:t>
      </w:r>
    </w:p>
    <w:p w14:paraId="592A0E19" w14:textId="77777777" w:rsidR="00753A09" w:rsidRPr="00F65FCC" w:rsidRDefault="00753A09">
      <w:pPr>
        <w:pStyle w:val="Akapitzlist"/>
        <w:numPr>
          <w:ilvl w:val="0"/>
          <w:numId w:val="117"/>
        </w:numPr>
        <w:spacing w:after="104" w:line="253" w:lineRule="auto"/>
        <w:ind w:right="-3"/>
        <w:jc w:val="left"/>
        <w:rPr>
          <w:rFonts w:ascii="Garamond" w:hAnsi="Garamond"/>
          <w:sz w:val="24"/>
          <w:szCs w:val="24"/>
        </w:rPr>
      </w:pPr>
      <w:r w:rsidRPr="00F65FCC">
        <w:rPr>
          <w:rFonts w:ascii="Garamond" w:hAnsi="Garamond"/>
          <w:sz w:val="24"/>
          <w:szCs w:val="24"/>
        </w:rPr>
        <w:t>tryb ograniczenia poziomu napięć, określony w pkt. IV.3.6.</w:t>
      </w:r>
    </w:p>
    <w:p w14:paraId="3D6BB6B7" w14:textId="21A850BA" w:rsidR="008F1DCB" w:rsidRPr="00AE3F1B" w:rsidRDefault="00F65FCC" w:rsidP="00F65FCC">
      <w:pPr>
        <w:spacing w:line="253" w:lineRule="auto"/>
        <w:ind w:left="360" w:right="-3" w:hanging="360"/>
        <w:jc w:val="left"/>
        <w:rPr>
          <w:rFonts w:ascii="Garamond" w:hAnsi="Garamond"/>
          <w:sz w:val="24"/>
          <w:szCs w:val="24"/>
        </w:rPr>
      </w:pPr>
      <w:r w:rsidRPr="00AE3F1B">
        <w:rPr>
          <w:rFonts w:ascii="Garamond" w:hAnsi="Garamond"/>
          <w:sz w:val="24"/>
          <w:szCs w:val="24"/>
        </w:rPr>
        <w:t xml:space="preserve">IV.3.1.4. </w:t>
      </w:r>
      <w:r>
        <w:rPr>
          <w:rFonts w:ascii="Garamond" w:hAnsi="Garamond"/>
          <w:sz w:val="24"/>
          <w:szCs w:val="24"/>
        </w:rPr>
        <w:t xml:space="preserve"> </w:t>
      </w:r>
      <w:r w:rsidR="00753A09" w:rsidRPr="00AE3F1B">
        <w:rPr>
          <w:rFonts w:ascii="Garamond" w:hAnsi="Garamond"/>
          <w:sz w:val="24"/>
          <w:szCs w:val="24"/>
        </w:rPr>
        <w:t>ID Sp. z o.o. nie ponosi odpowiedzialności za skutki ograniczeń w dostawach energii</w:t>
      </w:r>
      <w:r>
        <w:rPr>
          <w:rFonts w:ascii="Garamond" w:hAnsi="Garamond"/>
          <w:sz w:val="24"/>
          <w:szCs w:val="24"/>
        </w:rPr>
        <w:t xml:space="preserve"> </w:t>
      </w:r>
      <w:r w:rsidR="00753A09" w:rsidRPr="00AE3F1B">
        <w:rPr>
          <w:rFonts w:ascii="Garamond" w:hAnsi="Garamond"/>
          <w:sz w:val="24"/>
          <w:szCs w:val="24"/>
        </w:rPr>
        <w:t>elektrycznej</w:t>
      </w:r>
      <w:r>
        <w:rPr>
          <w:rFonts w:ascii="Garamond" w:hAnsi="Garamond"/>
          <w:sz w:val="24"/>
          <w:szCs w:val="24"/>
        </w:rPr>
        <w:t xml:space="preserve"> </w:t>
      </w:r>
      <w:r w:rsidR="00753A09" w:rsidRPr="00AE3F1B">
        <w:rPr>
          <w:rFonts w:ascii="Garamond" w:hAnsi="Garamond"/>
          <w:sz w:val="24"/>
          <w:szCs w:val="24"/>
        </w:rPr>
        <w:t>wprowadzonych wg. rozporządzenia wydanego na podstawie delegacji zawartej w ustawie Prawo Energetyczne wg trybu opisanego w pkt. IV.3.2, jak i w wyniku ochrony</w:t>
      </w:r>
      <w:r w:rsidR="00645717">
        <w:rPr>
          <w:rFonts w:ascii="Garamond" w:hAnsi="Garamond"/>
          <w:sz w:val="24"/>
          <w:szCs w:val="24"/>
        </w:rPr>
        <w:t xml:space="preserve"> </w:t>
      </w:r>
      <w:r w:rsidR="00753A09" w:rsidRPr="00AE3F1B">
        <w:rPr>
          <w:rFonts w:ascii="Garamond" w:hAnsi="Garamond"/>
          <w:sz w:val="24"/>
          <w:szCs w:val="24"/>
        </w:rPr>
        <w:t>systemu realizowanego przez OSP wg trybów opisanych w pkt. IV.3.3, IV.3.4, IV.3.5 i IV.3.6.</w:t>
      </w:r>
    </w:p>
    <w:p w14:paraId="684D57F4" w14:textId="77777777" w:rsidR="00753A09" w:rsidRPr="00B87D8B" w:rsidRDefault="008F1DCB" w:rsidP="00FB3B27">
      <w:pPr>
        <w:spacing w:line="253" w:lineRule="auto"/>
        <w:ind w:right="-3"/>
        <w:jc w:val="left"/>
        <w:rPr>
          <w:rFonts w:asciiTheme="majorHAnsi" w:hAnsiTheme="majorHAnsi"/>
          <w:sz w:val="24"/>
          <w:szCs w:val="24"/>
        </w:rPr>
      </w:pPr>
      <w:r w:rsidRPr="00AE3F1B">
        <w:rPr>
          <w:rFonts w:ascii="Garamond" w:hAnsi="Garamond"/>
          <w:sz w:val="24"/>
          <w:szCs w:val="24"/>
        </w:rPr>
        <w:br/>
      </w:r>
      <w:r w:rsidR="00753A09" w:rsidRPr="00B87D8B">
        <w:rPr>
          <w:rFonts w:asciiTheme="majorHAnsi" w:hAnsiTheme="majorHAnsi"/>
          <w:sz w:val="24"/>
          <w:szCs w:val="24"/>
        </w:rPr>
        <w:t xml:space="preserve">IV.3.2. </w:t>
      </w:r>
      <w:r w:rsidR="000D4009" w:rsidRPr="00B87D8B">
        <w:rPr>
          <w:rFonts w:asciiTheme="majorHAnsi" w:hAnsiTheme="majorHAnsi"/>
          <w:sz w:val="24"/>
          <w:szCs w:val="24"/>
        </w:rPr>
        <w:t xml:space="preserve">Tryb normalny </w:t>
      </w:r>
    </w:p>
    <w:p w14:paraId="7A3424CC" w14:textId="514F919C" w:rsidR="00753A09" w:rsidRPr="00AE3F1B" w:rsidRDefault="00F65FCC" w:rsidP="00F65FCC">
      <w:pPr>
        <w:spacing w:after="191" w:line="253" w:lineRule="auto"/>
        <w:ind w:left="708" w:right="-3" w:hanging="708"/>
        <w:jc w:val="left"/>
        <w:rPr>
          <w:rFonts w:ascii="Garamond" w:hAnsi="Garamond"/>
          <w:sz w:val="24"/>
          <w:szCs w:val="24"/>
        </w:rPr>
      </w:pPr>
      <w:r w:rsidRPr="00AE3F1B">
        <w:rPr>
          <w:rFonts w:ascii="Garamond" w:hAnsi="Garamond"/>
          <w:sz w:val="24"/>
          <w:szCs w:val="24"/>
        </w:rPr>
        <w:t xml:space="preserve">IV.3.2.1. </w:t>
      </w:r>
      <w:r>
        <w:rPr>
          <w:rFonts w:ascii="Garamond" w:hAnsi="Garamond"/>
          <w:sz w:val="24"/>
          <w:szCs w:val="24"/>
        </w:rPr>
        <w:t xml:space="preserve"> </w:t>
      </w:r>
      <w:r w:rsidR="00753A09" w:rsidRPr="00AE3F1B">
        <w:rPr>
          <w:rFonts w:ascii="Garamond" w:hAnsi="Garamond"/>
          <w:sz w:val="24"/>
          <w:szCs w:val="24"/>
        </w:rPr>
        <w:t>Ograniczenia w trybie normalnym wprowadza Rada Ministrów, w drodze rozporządzenia, wydanego na podstawie ustawy Prawo energetyczne, na wniosek ministra właściwego do spraw gospodarki. Ograniczenia w dostarczaniu i poborze energii elektrycznej wprowadzane są na czas oznaczony, na terytorium Rzeczypospolitej Polskiej lub jego części, w przypadku wystąpienia zagrożenia:</w:t>
      </w:r>
    </w:p>
    <w:p w14:paraId="3D749B4C" w14:textId="77777777" w:rsidR="00753A09" w:rsidRPr="00F65FCC" w:rsidRDefault="00753A09">
      <w:pPr>
        <w:pStyle w:val="Akapitzlist"/>
        <w:numPr>
          <w:ilvl w:val="0"/>
          <w:numId w:val="118"/>
        </w:numPr>
        <w:spacing w:line="253" w:lineRule="auto"/>
        <w:ind w:right="-3"/>
        <w:jc w:val="left"/>
        <w:rPr>
          <w:rFonts w:ascii="Garamond" w:hAnsi="Garamond"/>
          <w:sz w:val="24"/>
          <w:szCs w:val="24"/>
        </w:rPr>
      </w:pPr>
      <w:r w:rsidRPr="00F65FCC">
        <w:rPr>
          <w:rFonts w:ascii="Garamond" w:hAnsi="Garamond"/>
          <w:sz w:val="24"/>
          <w:szCs w:val="24"/>
        </w:rPr>
        <w:t>bezpieczeństwa energetycznego Rzeczypospolitej Polskiej polegającego na długo okresowym braku równowagi na rynku paliwowo energetycznym,</w:t>
      </w:r>
    </w:p>
    <w:p w14:paraId="3D768FBF" w14:textId="77777777" w:rsidR="00753A09" w:rsidRPr="00F65FCC" w:rsidRDefault="00753A09">
      <w:pPr>
        <w:pStyle w:val="Akapitzlist"/>
        <w:numPr>
          <w:ilvl w:val="0"/>
          <w:numId w:val="118"/>
        </w:numPr>
        <w:spacing w:line="253" w:lineRule="auto"/>
        <w:ind w:right="-3"/>
        <w:jc w:val="left"/>
        <w:rPr>
          <w:rFonts w:ascii="Garamond" w:hAnsi="Garamond"/>
          <w:sz w:val="24"/>
          <w:szCs w:val="24"/>
        </w:rPr>
      </w:pPr>
      <w:r w:rsidRPr="00F65FCC">
        <w:rPr>
          <w:rFonts w:ascii="Garamond" w:hAnsi="Garamond"/>
          <w:sz w:val="24"/>
          <w:szCs w:val="24"/>
        </w:rPr>
        <w:t>bezpieczeństwa dostaw energii elektrycznej,</w:t>
      </w:r>
    </w:p>
    <w:p w14:paraId="087563C3" w14:textId="77777777" w:rsidR="00753A09" w:rsidRPr="00F65FCC" w:rsidRDefault="00753A09">
      <w:pPr>
        <w:pStyle w:val="Akapitzlist"/>
        <w:numPr>
          <w:ilvl w:val="0"/>
          <w:numId w:val="118"/>
        </w:numPr>
        <w:spacing w:line="253" w:lineRule="auto"/>
        <w:ind w:right="-3"/>
        <w:jc w:val="left"/>
        <w:rPr>
          <w:rFonts w:ascii="Garamond" w:hAnsi="Garamond"/>
          <w:sz w:val="24"/>
          <w:szCs w:val="24"/>
        </w:rPr>
      </w:pPr>
      <w:r w:rsidRPr="00F65FCC">
        <w:rPr>
          <w:rFonts w:ascii="Garamond" w:hAnsi="Garamond"/>
          <w:sz w:val="24"/>
          <w:szCs w:val="24"/>
        </w:rPr>
        <w:t>bezpieczeństwa osób,</w:t>
      </w:r>
    </w:p>
    <w:p w14:paraId="1A80ED5C" w14:textId="77777777" w:rsidR="00753A09" w:rsidRPr="00F65FCC" w:rsidRDefault="00753A09">
      <w:pPr>
        <w:pStyle w:val="Akapitzlist"/>
        <w:numPr>
          <w:ilvl w:val="0"/>
          <w:numId w:val="118"/>
        </w:numPr>
        <w:spacing w:after="100" w:line="253" w:lineRule="auto"/>
        <w:ind w:right="-3"/>
        <w:jc w:val="left"/>
        <w:rPr>
          <w:rFonts w:ascii="Garamond" w:hAnsi="Garamond"/>
          <w:sz w:val="24"/>
          <w:szCs w:val="24"/>
        </w:rPr>
      </w:pPr>
      <w:r w:rsidRPr="00F65FCC">
        <w:rPr>
          <w:rFonts w:ascii="Garamond" w:hAnsi="Garamond"/>
          <w:sz w:val="24"/>
          <w:szCs w:val="24"/>
        </w:rPr>
        <w:t>wystąpienia znacznych strat materialnych.</w:t>
      </w:r>
    </w:p>
    <w:p w14:paraId="5F1E9AC4" w14:textId="77777777" w:rsidR="00753A09" w:rsidRPr="00AE3F1B" w:rsidRDefault="00753A09" w:rsidP="00F65FCC">
      <w:pPr>
        <w:spacing w:after="212" w:line="253" w:lineRule="auto"/>
        <w:ind w:left="567" w:right="-3"/>
        <w:jc w:val="left"/>
        <w:rPr>
          <w:rFonts w:ascii="Garamond" w:hAnsi="Garamond"/>
          <w:sz w:val="24"/>
          <w:szCs w:val="24"/>
        </w:rPr>
      </w:pPr>
      <w:r w:rsidRPr="00AE3F1B">
        <w:rPr>
          <w:rFonts w:ascii="Garamond" w:hAnsi="Garamond"/>
          <w:sz w:val="24"/>
          <w:szCs w:val="24"/>
        </w:rPr>
        <w:t>Ograniczenia w dostarczaniu i poborze energii elektrycznej mogą być wprowadzane po wyczerpaniu, przez operatorów we współpracy z zainteresowanymi podmiotami, wszelkich środków, służących do zapewnienia prawidłowego funkcjonowania systemu elektroenergetycznego, przy dołożeniu należytej staranności.</w:t>
      </w:r>
    </w:p>
    <w:p w14:paraId="342441D2" w14:textId="77777777" w:rsidR="00753A09" w:rsidRPr="00AE3F1B" w:rsidRDefault="00753A09" w:rsidP="00175586">
      <w:pPr>
        <w:spacing w:after="190" w:line="253" w:lineRule="auto"/>
        <w:ind w:left="567" w:right="-3" w:hanging="567"/>
        <w:jc w:val="left"/>
        <w:rPr>
          <w:rFonts w:ascii="Garamond" w:hAnsi="Garamond"/>
          <w:sz w:val="24"/>
          <w:szCs w:val="24"/>
        </w:rPr>
      </w:pPr>
      <w:r w:rsidRPr="00AE3F1B">
        <w:rPr>
          <w:rFonts w:ascii="Garamond" w:hAnsi="Garamond"/>
          <w:sz w:val="24"/>
          <w:szCs w:val="24"/>
        </w:rPr>
        <w:t>IV.3.2.2. Wniosek, o którym mowa w pkt. IV.3.2.1, sporządza minister, właściwy dla spraw gospodarki z własnej inicjatywy lub na podstawie zgłoszenia OSP.</w:t>
      </w:r>
    </w:p>
    <w:p w14:paraId="6DFDEF5A" w14:textId="77777777" w:rsidR="00753A09" w:rsidRPr="00AE3F1B" w:rsidRDefault="00753A09" w:rsidP="00175586">
      <w:pPr>
        <w:spacing w:after="213" w:line="253" w:lineRule="auto"/>
        <w:ind w:left="567" w:right="-3" w:hanging="567"/>
        <w:jc w:val="left"/>
        <w:rPr>
          <w:rFonts w:ascii="Garamond" w:hAnsi="Garamond"/>
          <w:sz w:val="24"/>
          <w:szCs w:val="24"/>
        </w:rPr>
      </w:pPr>
      <w:r w:rsidRPr="00AE3F1B">
        <w:rPr>
          <w:rFonts w:ascii="Garamond" w:hAnsi="Garamond"/>
          <w:sz w:val="24"/>
          <w:szCs w:val="24"/>
        </w:rPr>
        <w:lastRenderedPageBreak/>
        <w:t>IV.3.2.3. OSP we współpracy z PGE Dystrybucja S.A. i ID Sp. z o.o. opracowuje plany wprowadzania ograniczeń w dostarczaniu i poborze energii elektrycznej na wypadek wystąpienia okoliczności powołanych w pkt. IV.3.2.1. Ograniczenia w dostarczaniu i poborze energii elektrycznej nie mogą powodować zagrożenia bezpieczeństwa osób oraz uszkodzenia lub zniszczenia obiektów technologicznych, a także zakłóceń w funkcjonowaniu obiektów przeznaczonych do wykonywania zadań w zakresie bezpieczeństwa lub obronności państwa, opieki zdrowotnej, telekomunikacji, edukacji, wydobywania paliw kopalnych ze złóż, ich przeróbki i dostarczania do odbiorców, wytwarzania i dostarczania energii elektrycznej oraz ciepła do odbiorców oraz ochrony środowiska.</w:t>
      </w:r>
    </w:p>
    <w:p w14:paraId="41D43646" w14:textId="2A9D8AAA" w:rsidR="00753A09" w:rsidRPr="00AE3F1B" w:rsidRDefault="00F65FCC" w:rsidP="00F65FCC">
      <w:pPr>
        <w:spacing w:after="189" w:line="253" w:lineRule="auto"/>
        <w:ind w:left="567" w:right="-3" w:hanging="567"/>
        <w:jc w:val="left"/>
        <w:rPr>
          <w:rFonts w:ascii="Garamond" w:hAnsi="Garamond"/>
          <w:sz w:val="24"/>
          <w:szCs w:val="24"/>
        </w:rPr>
      </w:pPr>
      <w:r w:rsidRPr="00AE3F1B">
        <w:rPr>
          <w:rFonts w:ascii="Garamond" w:hAnsi="Garamond"/>
          <w:sz w:val="24"/>
          <w:szCs w:val="24"/>
        </w:rPr>
        <w:t>IV.3.2.4.</w:t>
      </w:r>
      <w:r>
        <w:rPr>
          <w:rFonts w:ascii="Garamond" w:hAnsi="Garamond"/>
          <w:sz w:val="24"/>
          <w:szCs w:val="24"/>
        </w:rPr>
        <w:t xml:space="preserve">  </w:t>
      </w:r>
      <w:r w:rsidR="00753A09" w:rsidRPr="00AE3F1B">
        <w:rPr>
          <w:rFonts w:ascii="Garamond" w:hAnsi="Garamond"/>
          <w:sz w:val="24"/>
          <w:szCs w:val="24"/>
        </w:rPr>
        <w:t>Ograniczenia w dostarczaniu i poborze energii elektrycznej wprowadzane w trybie normalnym mogą dotyczyć odbiorców o mocy umownej wyższej niż 300kW.</w:t>
      </w:r>
    </w:p>
    <w:p w14:paraId="0532E889" w14:textId="77777777" w:rsidR="00753A09" w:rsidRPr="00AE3F1B" w:rsidRDefault="00753A09" w:rsidP="00175586">
      <w:pPr>
        <w:spacing w:after="188" w:line="253" w:lineRule="auto"/>
        <w:ind w:left="567" w:right="-3" w:hanging="567"/>
        <w:jc w:val="left"/>
        <w:rPr>
          <w:rFonts w:ascii="Garamond" w:hAnsi="Garamond"/>
          <w:sz w:val="24"/>
          <w:szCs w:val="24"/>
        </w:rPr>
      </w:pPr>
      <w:r w:rsidRPr="00AE3F1B">
        <w:rPr>
          <w:rFonts w:ascii="Garamond" w:hAnsi="Garamond"/>
          <w:sz w:val="24"/>
          <w:szCs w:val="24"/>
        </w:rPr>
        <w:t xml:space="preserve">IV.3.2.5. Przyporządkowane odbiorcom, wymienionym w pkt. IV.3.2.4, wielkości dopuszczalnego maksymalnego ograniczenia w dostarczaniu i poborze energii elektrycznej uwzględnia </w:t>
      </w:r>
      <w:r w:rsidR="00900EE3" w:rsidRPr="00AE3F1B">
        <w:rPr>
          <w:rFonts w:ascii="Garamond" w:hAnsi="Garamond"/>
          <w:sz w:val="24"/>
          <w:szCs w:val="24"/>
        </w:rPr>
        <w:br/>
      </w:r>
      <w:r w:rsidRPr="00AE3F1B">
        <w:rPr>
          <w:rFonts w:ascii="Garamond" w:hAnsi="Garamond"/>
          <w:sz w:val="24"/>
          <w:szCs w:val="24"/>
        </w:rPr>
        <w:t>się w umowach zawartych z tymi odbiorcami.</w:t>
      </w:r>
    </w:p>
    <w:p w14:paraId="0D0F7FBA" w14:textId="77777777" w:rsidR="00753A09" w:rsidRPr="00AE3F1B" w:rsidRDefault="00753A09" w:rsidP="00175586">
      <w:pPr>
        <w:spacing w:after="47" w:line="253" w:lineRule="auto"/>
        <w:ind w:left="567" w:right="-3" w:hanging="567"/>
        <w:jc w:val="left"/>
        <w:rPr>
          <w:rFonts w:ascii="Garamond" w:hAnsi="Garamond"/>
          <w:sz w:val="24"/>
          <w:szCs w:val="24"/>
        </w:rPr>
      </w:pPr>
      <w:r w:rsidRPr="00AE3F1B">
        <w:rPr>
          <w:rFonts w:ascii="Garamond" w:hAnsi="Garamond"/>
          <w:sz w:val="24"/>
          <w:szCs w:val="24"/>
        </w:rPr>
        <w:t>IV.3.2.6. Plany wprowadzania ograniczeń w dostarczaniu i poborze energii elektrycznej, o których mowa w pkt IV.3.2.3 obowiązują dla okresu od dnia I września danego roku do dnia 31 sierpnia roku następnego i wymagają:</w:t>
      </w:r>
    </w:p>
    <w:p w14:paraId="26A3BFA4" w14:textId="77777777" w:rsidR="00753A09" w:rsidRPr="00F65FCC" w:rsidRDefault="00753A09">
      <w:pPr>
        <w:pStyle w:val="Akapitzlist"/>
        <w:numPr>
          <w:ilvl w:val="0"/>
          <w:numId w:val="119"/>
        </w:numPr>
        <w:spacing w:line="253" w:lineRule="auto"/>
        <w:ind w:right="-3"/>
        <w:jc w:val="left"/>
        <w:rPr>
          <w:rFonts w:ascii="Garamond" w:hAnsi="Garamond"/>
          <w:sz w:val="24"/>
          <w:szCs w:val="24"/>
        </w:rPr>
      </w:pPr>
      <w:r w:rsidRPr="00F65FCC">
        <w:rPr>
          <w:rFonts w:ascii="Garamond" w:hAnsi="Garamond"/>
          <w:sz w:val="24"/>
          <w:szCs w:val="24"/>
        </w:rPr>
        <w:t>uzgodnienia z Prezesem URE w przypadku planów opracowywanych przez OSP,</w:t>
      </w:r>
    </w:p>
    <w:p w14:paraId="72FBAB7A" w14:textId="77777777" w:rsidR="00753A09" w:rsidRPr="00F65FCC" w:rsidRDefault="00753A09">
      <w:pPr>
        <w:pStyle w:val="Akapitzlist"/>
        <w:numPr>
          <w:ilvl w:val="0"/>
          <w:numId w:val="119"/>
        </w:numPr>
        <w:spacing w:line="253" w:lineRule="auto"/>
        <w:ind w:right="-3"/>
        <w:jc w:val="left"/>
        <w:rPr>
          <w:rFonts w:ascii="Garamond" w:hAnsi="Garamond"/>
          <w:sz w:val="24"/>
          <w:szCs w:val="24"/>
        </w:rPr>
      </w:pPr>
      <w:r w:rsidRPr="00F65FCC">
        <w:rPr>
          <w:rFonts w:ascii="Garamond" w:hAnsi="Garamond"/>
          <w:sz w:val="24"/>
          <w:szCs w:val="24"/>
        </w:rPr>
        <w:t>uzgodnienia z OSP w przypadku planów opracowywanych przez PGE Dystrybucja,</w:t>
      </w:r>
    </w:p>
    <w:p w14:paraId="3BEE4A4D" w14:textId="77777777" w:rsidR="00753A09" w:rsidRPr="00F65FCC" w:rsidRDefault="00753A09">
      <w:pPr>
        <w:pStyle w:val="Akapitzlist"/>
        <w:numPr>
          <w:ilvl w:val="0"/>
          <w:numId w:val="119"/>
        </w:numPr>
        <w:spacing w:line="253" w:lineRule="auto"/>
        <w:ind w:right="-3"/>
        <w:jc w:val="left"/>
        <w:rPr>
          <w:rFonts w:ascii="Garamond" w:hAnsi="Garamond"/>
          <w:sz w:val="24"/>
          <w:szCs w:val="24"/>
        </w:rPr>
      </w:pPr>
      <w:r w:rsidRPr="00F65FCC">
        <w:rPr>
          <w:rFonts w:ascii="Garamond" w:hAnsi="Garamond"/>
          <w:sz w:val="24"/>
          <w:szCs w:val="24"/>
        </w:rPr>
        <w:t>uzgodnienia z PGE Dystrybucja, w przypadku planów opracowywanych przez ID Sp. z o.o.,</w:t>
      </w:r>
    </w:p>
    <w:p w14:paraId="3FA543DD" w14:textId="77777777" w:rsidR="00753A09" w:rsidRPr="00F65FCC" w:rsidRDefault="00753A09">
      <w:pPr>
        <w:pStyle w:val="Akapitzlist"/>
        <w:numPr>
          <w:ilvl w:val="0"/>
          <w:numId w:val="119"/>
        </w:numPr>
        <w:spacing w:line="253" w:lineRule="auto"/>
        <w:ind w:right="-3"/>
        <w:jc w:val="left"/>
        <w:rPr>
          <w:rFonts w:ascii="Garamond" w:hAnsi="Garamond"/>
          <w:sz w:val="24"/>
          <w:szCs w:val="24"/>
        </w:rPr>
      </w:pPr>
      <w:r w:rsidRPr="00F65FCC">
        <w:rPr>
          <w:rFonts w:ascii="Garamond" w:hAnsi="Garamond"/>
          <w:sz w:val="24"/>
          <w:szCs w:val="24"/>
        </w:rPr>
        <w:t>corocznej aktualizacji w terminie do dnia 31 sierpnia.</w:t>
      </w:r>
    </w:p>
    <w:p w14:paraId="42295199" w14:textId="77777777" w:rsidR="00753A09" w:rsidRPr="00AE3F1B" w:rsidRDefault="00753A09" w:rsidP="00175586">
      <w:pPr>
        <w:spacing w:after="223" w:line="253" w:lineRule="auto"/>
        <w:ind w:left="567" w:right="-3" w:hanging="567"/>
        <w:jc w:val="left"/>
        <w:rPr>
          <w:rFonts w:ascii="Garamond" w:hAnsi="Garamond"/>
          <w:sz w:val="24"/>
          <w:szCs w:val="24"/>
        </w:rPr>
      </w:pPr>
      <w:r w:rsidRPr="00AE3F1B">
        <w:rPr>
          <w:rFonts w:ascii="Garamond" w:hAnsi="Garamond"/>
          <w:sz w:val="24"/>
          <w:szCs w:val="24"/>
        </w:rPr>
        <w:t>IV.3.2.7.Procedura przygotowania planu ograniczeń w dostarczaniu i poborze energii elektrycznej obejmuje:</w:t>
      </w:r>
    </w:p>
    <w:p w14:paraId="462C2C07" w14:textId="77777777" w:rsidR="00753A09" w:rsidRPr="00F65FCC" w:rsidRDefault="00753A09">
      <w:pPr>
        <w:pStyle w:val="Akapitzlist"/>
        <w:numPr>
          <w:ilvl w:val="0"/>
          <w:numId w:val="120"/>
        </w:numPr>
        <w:spacing w:line="253" w:lineRule="auto"/>
        <w:ind w:right="-3"/>
        <w:jc w:val="left"/>
        <w:rPr>
          <w:rFonts w:ascii="Garamond" w:hAnsi="Garamond"/>
          <w:sz w:val="24"/>
          <w:szCs w:val="24"/>
        </w:rPr>
      </w:pPr>
      <w:r w:rsidRPr="00F65FCC">
        <w:rPr>
          <w:rFonts w:ascii="Garamond" w:hAnsi="Garamond"/>
          <w:sz w:val="24"/>
          <w:szCs w:val="24"/>
        </w:rPr>
        <w:t>przygotowanie przez operatora systemu dystrybucyjnego wstępnego planu ograniczeń w dostarczaniu i poborze energii elektrycznej,</w:t>
      </w:r>
    </w:p>
    <w:p w14:paraId="27A1F364" w14:textId="77777777" w:rsidR="00753A09" w:rsidRPr="00F65FCC" w:rsidRDefault="00753A09">
      <w:pPr>
        <w:pStyle w:val="Akapitzlist"/>
        <w:numPr>
          <w:ilvl w:val="0"/>
          <w:numId w:val="120"/>
        </w:numPr>
        <w:spacing w:after="40" w:line="253" w:lineRule="auto"/>
        <w:ind w:right="-3"/>
        <w:jc w:val="left"/>
        <w:rPr>
          <w:rFonts w:ascii="Garamond" w:hAnsi="Garamond"/>
          <w:sz w:val="24"/>
          <w:szCs w:val="24"/>
        </w:rPr>
      </w:pPr>
      <w:r w:rsidRPr="00F65FCC">
        <w:rPr>
          <w:rFonts w:ascii="Garamond" w:hAnsi="Garamond"/>
          <w:sz w:val="24"/>
          <w:szCs w:val="24"/>
        </w:rPr>
        <w:t xml:space="preserve">uzgodnienie planu ograniczeń w dostarczaniu i poborze energii elektrycznej </w:t>
      </w:r>
      <w:r w:rsidR="00FB3B27" w:rsidRPr="00F65FCC">
        <w:rPr>
          <w:rFonts w:ascii="Garamond" w:hAnsi="Garamond"/>
          <w:sz w:val="24"/>
          <w:szCs w:val="24"/>
        </w:rPr>
        <w:t>z</w:t>
      </w:r>
      <w:r w:rsidRPr="00F65FCC">
        <w:rPr>
          <w:rFonts w:ascii="Garamond" w:hAnsi="Garamond"/>
          <w:sz w:val="24"/>
          <w:szCs w:val="24"/>
        </w:rPr>
        <w:t xml:space="preserve"> PGE Dystrybucja S.A.,</w:t>
      </w:r>
    </w:p>
    <w:p w14:paraId="0B031DEC" w14:textId="77777777" w:rsidR="00753A09" w:rsidRPr="00F65FCC" w:rsidRDefault="00753A09">
      <w:pPr>
        <w:pStyle w:val="Akapitzlist"/>
        <w:numPr>
          <w:ilvl w:val="0"/>
          <w:numId w:val="120"/>
        </w:numPr>
        <w:spacing w:after="4" w:line="216" w:lineRule="auto"/>
        <w:ind w:right="-3"/>
        <w:jc w:val="left"/>
        <w:rPr>
          <w:rFonts w:ascii="Garamond" w:hAnsi="Garamond"/>
          <w:sz w:val="24"/>
          <w:szCs w:val="24"/>
        </w:rPr>
      </w:pPr>
      <w:r w:rsidRPr="00F65FCC">
        <w:rPr>
          <w:rFonts w:ascii="Garamond" w:hAnsi="Garamond"/>
          <w:sz w:val="24"/>
          <w:szCs w:val="24"/>
        </w:rPr>
        <w:t>powiadomienie odbiorców, w sposób przyjęty zwyczajowo przez operatora systemu dystrybucyjnego, o uzgodnionym planie ograniczeń w dostarczaniu i poborze energii elektrycznej, w terminie do 4 tygodni od przekazania do ID Sp. z o.o. przez PGE Dystrybucja uzgodnionego pomiędzy Prezesem URE, a operatorem systemu przesyłowego planu ograniczeń w dostarczaniu i poborze energii elektrycznej.</w:t>
      </w:r>
    </w:p>
    <w:p w14:paraId="119F8B01" w14:textId="77777777" w:rsidR="00753A09" w:rsidRPr="00AE3F1B" w:rsidRDefault="00900EE3" w:rsidP="00B87D8B">
      <w:pPr>
        <w:spacing w:after="227" w:line="253" w:lineRule="auto"/>
        <w:ind w:left="709" w:right="-3"/>
        <w:jc w:val="left"/>
        <w:rPr>
          <w:rFonts w:ascii="Garamond" w:hAnsi="Garamond"/>
          <w:sz w:val="24"/>
          <w:szCs w:val="24"/>
        </w:rPr>
      </w:pPr>
      <w:r w:rsidRPr="00AE3F1B">
        <w:rPr>
          <w:rFonts w:ascii="Garamond" w:hAnsi="Garamond"/>
          <w:sz w:val="24"/>
          <w:szCs w:val="24"/>
        </w:rPr>
        <w:br/>
      </w:r>
      <w:r w:rsidR="00753A09" w:rsidRPr="00AE3F1B">
        <w:rPr>
          <w:rFonts w:ascii="Garamond" w:hAnsi="Garamond"/>
          <w:sz w:val="24"/>
          <w:szCs w:val="24"/>
        </w:rPr>
        <w:t xml:space="preserve">W przypadku zmiany wielkości ograniczeń w poborze mocy i minimalnego dobowego poboru energii elektrycznej, odbiorcy przyłączeni do sieci ID Sp. z o.o. są zobowiązani do powiadomienia o tym ID Sp. z o.o. w formie pisemnej </w:t>
      </w:r>
      <w:r w:rsidR="00FB3B27" w:rsidRPr="00AE3F1B">
        <w:rPr>
          <w:rFonts w:ascii="Garamond" w:hAnsi="Garamond"/>
          <w:sz w:val="24"/>
          <w:szCs w:val="24"/>
        </w:rPr>
        <w:br/>
      </w:r>
      <w:r w:rsidR="00753A09" w:rsidRPr="00AE3F1B">
        <w:rPr>
          <w:rFonts w:ascii="Garamond" w:hAnsi="Garamond"/>
          <w:sz w:val="24"/>
          <w:szCs w:val="24"/>
        </w:rPr>
        <w:t>w terminie 7 dni od zaistniałej zmiany.</w:t>
      </w:r>
    </w:p>
    <w:p w14:paraId="30A4558B" w14:textId="77777777" w:rsidR="00753A09" w:rsidRPr="00AE3F1B" w:rsidRDefault="00753A09" w:rsidP="00175586">
      <w:pPr>
        <w:spacing w:after="178" w:line="253" w:lineRule="auto"/>
        <w:ind w:left="567" w:right="-3" w:hanging="567"/>
        <w:jc w:val="left"/>
        <w:rPr>
          <w:rFonts w:ascii="Garamond" w:hAnsi="Garamond"/>
          <w:sz w:val="24"/>
          <w:szCs w:val="24"/>
        </w:rPr>
      </w:pPr>
      <w:r w:rsidRPr="00AE3F1B">
        <w:rPr>
          <w:rFonts w:ascii="Garamond" w:hAnsi="Garamond"/>
          <w:sz w:val="24"/>
          <w:szCs w:val="24"/>
        </w:rPr>
        <w:t>IV.3.2.8. Wielkości planowanych ograniczeń w dostarczaniu i poborze energii elektrycznej, ujęte w planach wprowadzania ograniczeń w dostarczaniu i poborze energii elektrycznej, poprzez ograniczenie poboru mocy, określa się w stopniach zasilania od 11 do 20, przy czym:</w:t>
      </w:r>
    </w:p>
    <w:p w14:paraId="2B728778" w14:textId="77777777" w:rsidR="00753A09" w:rsidRPr="00F65FCC" w:rsidRDefault="00753A09">
      <w:pPr>
        <w:pStyle w:val="Akapitzlist"/>
        <w:numPr>
          <w:ilvl w:val="0"/>
          <w:numId w:val="121"/>
        </w:numPr>
        <w:spacing w:line="253" w:lineRule="auto"/>
        <w:ind w:right="-3"/>
        <w:jc w:val="left"/>
        <w:rPr>
          <w:rFonts w:ascii="Garamond" w:hAnsi="Garamond"/>
          <w:sz w:val="24"/>
          <w:szCs w:val="24"/>
        </w:rPr>
      </w:pPr>
      <w:r w:rsidRPr="00F65FCC">
        <w:rPr>
          <w:rFonts w:ascii="Garamond" w:hAnsi="Garamond"/>
          <w:sz w:val="24"/>
          <w:szCs w:val="24"/>
        </w:rPr>
        <w:t>11 stopień zasilania określa, że odbiorca może pobierać moc do wysokości mocy umownej,</w:t>
      </w:r>
    </w:p>
    <w:p w14:paraId="63C3D57E" w14:textId="77777777" w:rsidR="00753A09" w:rsidRPr="00F65FCC" w:rsidRDefault="00753A09">
      <w:pPr>
        <w:pStyle w:val="Akapitzlist"/>
        <w:numPr>
          <w:ilvl w:val="0"/>
          <w:numId w:val="121"/>
        </w:numPr>
        <w:spacing w:line="253" w:lineRule="auto"/>
        <w:ind w:right="-3"/>
        <w:jc w:val="left"/>
        <w:rPr>
          <w:rFonts w:ascii="Garamond" w:hAnsi="Garamond"/>
          <w:sz w:val="24"/>
          <w:szCs w:val="24"/>
        </w:rPr>
      </w:pPr>
      <w:r w:rsidRPr="00F65FCC">
        <w:rPr>
          <w:rFonts w:ascii="Garamond" w:hAnsi="Garamond"/>
          <w:sz w:val="24"/>
          <w:szCs w:val="24"/>
        </w:rPr>
        <w:lastRenderedPageBreak/>
        <w:t>stopnie zasilania od 12 do 19 powinny zapewniać równomierne obniżanie mocy pobieranej przez odbiorcę,</w:t>
      </w:r>
    </w:p>
    <w:p w14:paraId="6AE226E0" w14:textId="77777777" w:rsidR="00753A09" w:rsidRPr="00F65FCC" w:rsidRDefault="00753A09">
      <w:pPr>
        <w:pStyle w:val="Akapitzlist"/>
        <w:numPr>
          <w:ilvl w:val="0"/>
          <w:numId w:val="121"/>
        </w:numPr>
        <w:spacing w:after="175" w:line="253" w:lineRule="auto"/>
        <w:ind w:right="-3"/>
        <w:jc w:val="left"/>
        <w:rPr>
          <w:rFonts w:ascii="Garamond" w:hAnsi="Garamond"/>
          <w:sz w:val="24"/>
          <w:szCs w:val="24"/>
        </w:rPr>
      </w:pPr>
      <w:r w:rsidRPr="00F65FCC">
        <w:rPr>
          <w:rFonts w:ascii="Garamond" w:hAnsi="Garamond"/>
          <w:sz w:val="24"/>
          <w:szCs w:val="24"/>
        </w:rPr>
        <w:t>20 stopień zasilania określa, iż odbiorca może pobierać moc do wysokości ustalonego minimum, niepowodującego zagrożenia bezpieczeństwa osób oraz uszkodzenia lub zniszczenia obiektów technologicznych, zakłóceń w funkcjonowaniu obiektów przeznaczonych do wykonywania zadań w zakresie bezpieczeństwa lub obronności państwa określonych w przepisach odrębnych, opieki zdrowotnej, telekomunikacji, edukacji, wydobywania paliw kopalnych ze złóż, ich przeróbki i dostarczania do odbiorców, wytwarzania i dostarczania energii elektrycznej oraz ciepła do odbiorców, ochrony środowiska.</w:t>
      </w:r>
    </w:p>
    <w:p w14:paraId="00FA52FE" w14:textId="30672763" w:rsidR="00753A09" w:rsidRPr="00AE3F1B" w:rsidRDefault="00F65FCC" w:rsidP="00F65FCC">
      <w:pPr>
        <w:spacing w:after="225" w:line="253" w:lineRule="auto"/>
        <w:ind w:left="360" w:right="-3" w:hanging="360"/>
        <w:jc w:val="left"/>
        <w:rPr>
          <w:rFonts w:ascii="Garamond" w:hAnsi="Garamond"/>
          <w:sz w:val="24"/>
          <w:szCs w:val="24"/>
        </w:rPr>
      </w:pPr>
      <w:r w:rsidRPr="00AE3F1B">
        <w:rPr>
          <w:rFonts w:ascii="Garamond" w:hAnsi="Garamond"/>
          <w:sz w:val="24"/>
          <w:szCs w:val="24"/>
        </w:rPr>
        <w:t xml:space="preserve">IV.3.2.9. </w:t>
      </w:r>
      <w:r w:rsidR="00753A09" w:rsidRPr="00AE3F1B">
        <w:rPr>
          <w:rFonts w:ascii="Garamond" w:hAnsi="Garamond"/>
          <w:sz w:val="24"/>
          <w:szCs w:val="24"/>
        </w:rPr>
        <w:t>W trybie normalnym ograniczenia w poborze energii elektrycznej są realizowane przez odbiorców, stosownie do komunikatów operatora systemu przesyłowego obowiązujących stopniach zasilania. Komunikaty o stopniach zasilania wprowadzonych jako obowiązujące w najbliższych 12 godzinach i przewidywanych na następne 12 godzin, są ogłaszane w radiowych komunikatach energetycznych w I Programie Polskiego Radia o godz. 7:55 i 19:55 i obowiązują w czasie określonym w tych komunikatach. W przypadku zróżnicowania wprowadzonych ograniczeń w dostarczaniu i poborze energii elektrycznej w stosunku do stopni zasilania ogłoszonych w komunikatach, ID Sp. z o.o. powiadamia odbiorców ujętych w planach ograniczeń indywidualnie w formie pisemnej lub w sposób określony w umowach lub za pomocą innego środka komunikowania się w sposób zwyczajowo przyjęty przez ID Sp. z o.o.</w:t>
      </w:r>
    </w:p>
    <w:p w14:paraId="1E4E983E" w14:textId="77777777" w:rsidR="00753A09" w:rsidRPr="00AE3F1B" w:rsidRDefault="00753A09" w:rsidP="00175586">
      <w:pPr>
        <w:tabs>
          <w:tab w:val="center" w:pos="3630"/>
        </w:tabs>
        <w:spacing w:line="253" w:lineRule="auto"/>
        <w:ind w:left="567" w:right="-3" w:hanging="567"/>
        <w:jc w:val="left"/>
        <w:rPr>
          <w:rFonts w:ascii="Garamond" w:hAnsi="Garamond"/>
          <w:sz w:val="24"/>
          <w:szCs w:val="24"/>
        </w:rPr>
      </w:pPr>
      <w:r w:rsidRPr="00AE3F1B">
        <w:rPr>
          <w:rFonts w:ascii="Garamond" w:hAnsi="Garamond"/>
          <w:sz w:val="24"/>
          <w:szCs w:val="24"/>
        </w:rPr>
        <w:t>IV.3.2.10.Polecenia dyspozytorskie dotyczące ograniczeń.</w:t>
      </w:r>
    </w:p>
    <w:p w14:paraId="48333E51" w14:textId="348D5F74" w:rsidR="00753A09" w:rsidRPr="00AE3F1B" w:rsidRDefault="00F65FCC" w:rsidP="00F65FCC">
      <w:pPr>
        <w:spacing w:after="138" w:line="253" w:lineRule="auto"/>
        <w:ind w:left="360" w:right="-3" w:hanging="360"/>
        <w:jc w:val="left"/>
        <w:rPr>
          <w:rFonts w:ascii="Garamond" w:hAnsi="Garamond"/>
          <w:sz w:val="24"/>
          <w:szCs w:val="24"/>
        </w:rPr>
      </w:pPr>
      <w:r w:rsidRPr="00AE3F1B">
        <w:rPr>
          <w:rFonts w:ascii="Garamond" w:hAnsi="Garamond"/>
          <w:sz w:val="24"/>
          <w:szCs w:val="24"/>
        </w:rPr>
        <w:t xml:space="preserve">IV.3.2.11. </w:t>
      </w:r>
      <w:r w:rsidR="00753A09" w:rsidRPr="00AE3F1B">
        <w:rPr>
          <w:rFonts w:ascii="Garamond" w:hAnsi="Garamond"/>
          <w:sz w:val="24"/>
          <w:szCs w:val="24"/>
        </w:rPr>
        <w:t>Odbiorcy objęci planem ograniczeń w dostarczaniu i poborze energii elektrycznej rejestrują</w:t>
      </w:r>
      <w:r>
        <w:rPr>
          <w:rFonts w:ascii="Garamond" w:hAnsi="Garamond"/>
          <w:sz w:val="24"/>
          <w:szCs w:val="24"/>
        </w:rPr>
        <w:t xml:space="preserve"> </w:t>
      </w:r>
      <w:r w:rsidR="00753A09" w:rsidRPr="00AE3F1B">
        <w:rPr>
          <w:rFonts w:ascii="Garamond" w:hAnsi="Garamond"/>
          <w:sz w:val="24"/>
          <w:szCs w:val="24"/>
        </w:rPr>
        <w:t>w czasie trwania ograniczeń:</w:t>
      </w:r>
    </w:p>
    <w:p w14:paraId="70EA8CD1" w14:textId="77777777" w:rsidR="00900EE3" w:rsidRPr="00F65FCC" w:rsidRDefault="00900EE3">
      <w:pPr>
        <w:pStyle w:val="Akapitzlist"/>
        <w:numPr>
          <w:ilvl w:val="0"/>
          <w:numId w:val="122"/>
        </w:numPr>
        <w:spacing w:line="253" w:lineRule="auto"/>
        <w:ind w:right="-3"/>
        <w:jc w:val="left"/>
        <w:rPr>
          <w:rFonts w:ascii="Garamond" w:hAnsi="Garamond"/>
          <w:sz w:val="24"/>
          <w:szCs w:val="24"/>
        </w:rPr>
      </w:pPr>
      <w:r w:rsidRPr="00F65FCC">
        <w:rPr>
          <w:rFonts w:ascii="Garamond" w:hAnsi="Garamond"/>
          <w:sz w:val="24"/>
          <w:szCs w:val="24"/>
        </w:rPr>
        <w:t>polecone stopnie zasilania,</w:t>
      </w:r>
    </w:p>
    <w:p w14:paraId="712918EC" w14:textId="77777777" w:rsidR="00900EE3" w:rsidRPr="00F65FCC" w:rsidRDefault="00900EE3">
      <w:pPr>
        <w:pStyle w:val="Akapitzlist"/>
        <w:numPr>
          <w:ilvl w:val="0"/>
          <w:numId w:val="122"/>
        </w:numPr>
        <w:spacing w:after="99" w:line="253" w:lineRule="auto"/>
        <w:ind w:right="-3"/>
        <w:jc w:val="left"/>
        <w:rPr>
          <w:rFonts w:ascii="Garamond" w:hAnsi="Garamond"/>
          <w:sz w:val="24"/>
          <w:szCs w:val="24"/>
        </w:rPr>
      </w:pPr>
      <w:r w:rsidRPr="00F65FCC">
        <w:rPr>
          <w:rFonts w:ascii="Garamond" w:hAnsi="Garamond"/>
          <w:sz w:val="24"/>
          <w:szCs w:val="24"/>
        </w:rPr>
        <w:t>wielkości poboru mocy w poszczególnych stopniach zasilania.</w:t>
      </w:r>
    </w:p>
    <w:p w14:paraId="50ADFE42" w14:textId="77777777" w:rsidR="00900EE3" w:rsidRPr="00660DC3" w:rsidRDefault="00900EE3" w:rsidP="00175586">
      <w:pPr>
        <w:spacing w:after="76" w:line="253" w:lineRule="auto"/>
        <w:ind w:left="567" w:right="-3" w:hanging="567"/>
        <w:jc w:val="left"/>
        <w:rPr>
          <w:rFonts w:asciiTheme="majorHAnsi" w:hAnsiTheme="majorHAnsi"/>
          <w:sz w:val="24"/>
          <w:szCs w:val="24"/>
        </w:rPr>
      </w:pPr>
      <w:r w:rsidRPr="00660DC3">
        <w:rPr>
          <w:rFonts w:asciiTheme="majorHAnsi" w:hAnsiTheme="majorHAnsi"/>
          <w:sz w:val="24"/>
          <w:szCs w:val="24"/>
        </w:rPr>
        <w:t xml:space="preserve">IV.3.3. </w:t>
      </w:r>
      <w:r w:rsidR="00703EE6" w:rsidRPr="00660DC3">
        <w:rPr>
          <w:rFonts w:asciiTheme="majorHAnsi" w:hAnsiTheme="majorHAnsi"/>
          <w:sz w:val="24"/>
          <w:szCs w:val="24"/>
        </w:rPr>
        <w:t>Tryb normalny na polecenie OSP</w:t>
      </w:r>
    </w:p>
    <w:p w14:paraId="3E0012CD" w14:textId="2723D91D" w:rsidR="00900EE3" w:rsidRPr="00AE3F1B" w:rsidRDefault="00B369AF" w:rsidP="00B369AF">
      <w:pPr>
        <w:spacing w:after="193" w:line="253" w:lineRule="auto"/>
        <w:ind w:left="567" w:right="-3" w:hanging="567"/>
        <w:jc w:val="left"/>
        <w:rPr>
          <w:rFonts w:ascii="Garamond" w:hAnsi="Garamond"/>
          <w:sz w:val="24"/>
          <w:szCs w:val="24"/>
        </w:rPr>
      </w:pPr>
      <w:r w:rsidRPr="00AE3F1B">
        <w:rPr>
          <w:rFonts w:ascii="Garamond" w:hAnsi="Garamond"/>
          <w:sz w:val="24"/>
          <w:szCs w:val="24"/>
        </w:rPr>
        <w:t xml:space="preserve">IV.3.3.1. </w:t>
      </w:r>
      <w:r w:rsidR="00900EE3" w:rsidRPr="00AE3F1B">
        <w:rPr>
          <w:rFonts w:ascii="Garamond" w:hAnsi="Garamond"/>
          <w:sz w:val="24"/>
          <w:szCs w:val="24"/>
        </w:rPr>
        <w:t>W przypadku zagrożenia bezpieczeństwa dostaw energii elektrycznej OSP może wprowadzić ograniczenia w dostarczaniu i poborze energii elektrycznej na terytorium Rzeczypospolitej Polskiej lub jego części do czasu wejścia w życie przepisów, o których mowa w pkt. IV.3.2.1, lecz nie dłużej niż na okres 72 godzin.</w:t>
      </w:r>
    </w:p>
    <w:p w14:paraId="23DE20BC" w14:textId="33C5DB41" w:rsidR="00900EE3" w:rsidRPr="00AE3F1B" w:rsidRDefault="00B369AF" w:rsidP="00B369AF">
      <w:pPr>
        <w:spacing w:after="204" w:line="253" w:lineRule="auto"/>
        <w:ind w:left="567" w:right="-3" w:hanging="567"/>
        <w:jc w:val="left"/>
        <w:rPr>
          <w:rFonts w:ascii="Garamond" w:hAnsi="Garamond"/>
          <w:sz w:val="24"/>
          <w:szCs w:val="24"/>
        </w:rPr>
      </w:pPr>
      <w:r w:rsidRPr="00AE3F1B">
        <w:rPr>
          <w:rFonts w:ascii="Garamond" w:hAnsi="Garamond"/>
          <w:sz w:val="24"/>
          <w:szCs w:val="24"/>
        </w:rPr>
        <w:t xml:space="preserve">IV.3.3.2. </w:t>
      </w:r>
      <w:r>
        <w:rPr>
          <w:rFonts w:ascii="Garamond" w:hAnsi="Garamond"/>
          <w:sz w:val="24"/>
          <w:szCs w:val="24"/>
        </w:rPr>
        <w:t xml:space="preserve"> </w:t>
      </w:r>
      <w:r w:rsidR="00900EE3" w:rsidRPr="00AE3F1B">
        <w:rPr>
          <w:rFonts w:ascii="Garamond" w:hAnsi="Garamond"/>
          <w:sz w:val="24"/>
          <w:szCs w:val="24"/>
        </w:rPr>
        <w:t>Plany wprowadzania ograniczeń w dostarczaniu i poborze energii elektrycznej oraz procedury związane z wprowadzaniem ograniczeń opracowane dla trybu normalnego i opisane w pkt. IV.3.2 mają zastosowanie w trybie normalnym na polecenie OSP.</w:t>
      </w:r>
    </w:p>
    <w:p w14:paraId="1B9A931B" w14:textId="1B661A39" w:rsidR="00900EE3" w:rsidRDefault="00F65FCC" w:rsidP="00F65FCC">
      <w:pPr>
        <w:spacing w:after="167" w:line="253" w:lineRule="auto"/>
        <w:ind w:left="567" w:right="-3" w:hanging="567"/>
        <w:jc w:val="left"/>
        <w:rPr>
          <w:rFonts w:ascii="Garamond" w:hAnsi="Garamond"/>
          <w:sz w:val="24"/>
          <w:szCs w:val="24"/>
        </w:rPr>
      </w:pPr>
      <w:r w:rsidRPr="00AE3F1B">
        <w:rPr>
          <w:rFonts w:ascii="Garamond" w:hAnsi="Garamond"/>
          <w:sz w:val="24"/>
          <w:szCs w:val="24"/>
        </w:rPr>
        <w:t>IV.3.3.3.</w:t>
      </w:r>
      <w:r>
        <w:rPr>
          <w:rFonts w:ascii="Garamond" w:hAnsi="Garamond"/>
          <w:sz w:val="24"/>
          <w:szCs w:val="24"/>
        </w:rPr>
        <w:t xml:space="preserve"> </w:t>
      </w:r>
      <w:r w:rsidR="00900EE3" w:rsidRPr="00AE3F1B">
        <w:rPr>
          <w:rFonts w:ascii="Garamond" w:hAnsi="Garamond"/>
          <w:sz w:val="24"/>
          <w:szCs w:val="24"/>
        </w:rPr>
        <w:t>W przypadku wprowadzenia ograniczeń w dostarczaniu i poborze energii elektrycznej w trybie normalnym na polecenie OSP, OSP przekazuje stosowne komunikaty o ograniczeniach, w sposób analogiczny jak dla informacji określonych w pkt. IV.3.2.9. Wydanie stosownych komunikatów za pośrednictwem środków masowego przekazu zgodnie z zasadami określonymi w rozporządzeniu, o którym mowa w art. 11 ust. 6 ustawy Prawo energetyczne, następuje w możliwie najkrótszym terminie.</w:t>
      </w:r>
    </w:p>
    <w:p w14:paraId="140A3F3D" w14:textId="77777777" w:rsidR="00900EE3" w:rsidRPr="00660DC3" w:rsidRDefault="00900EE3" w:rsidP="00175586">
      <w:pPr>
        <w:spacing w:after="117" w:line="253" w:lineRule="auto"/>
        <w:ind w:left="567" w:right="-3" w:hanging="567"/>
        <w:jc w:val="left"/>
        <w:rPr>
          <w:rFonts w:asciiTheme="majorHAnsi" w:hAnsiTheme="majorHAnsi"/>
          <w:sz w:val="24"/>
          <w:szCs w:val="24"/>
        </w:rPr>
      </w:pPr>
      <w:r w:rsidRPr="00660DC3">
        <w:rPr>
          <w:rFonts w:asciiTheme="majorHAnsi" w:hAnsiTheme="majorHAnsi"/>
          <w:sz w:val="24"/>
          <w:szCs w:val="24"/>
        </w:rPr>
        <w:t xml:space="preserve">IV.3.4. </w:t>
      </w:r>
      <w:r w:rsidR="006F5C6E" w:rsidRPr="00660DC3">
        <w:rPr>
          <w:rFonts w:asciiTheme="majorHAnsi" w:hAnsiTheme="majorHAnsi"/>
          <w:sz w:val="24"/>
          <w:szCs w:val="24"/>
        </w:rPr>
        <w:t>Tryb awaryjny</w:t>
      </w:r>
    </w:p>
    <w:p w14:paraId="6828C520" w14:textId="5D2E12D5" w:rsidR="00900EE3" w:rsidRPr="00AE3F1B" w:rsidRDefault="00F65FCC" w:rsidP="00F65FCC">
      <w:pPr>
        <w:spacing w:after="180" w:line="253" w:lineRule="auto"/>
        <w:ind w:left="567" w:right="-3" w:hanging="567"/>
        <w:jc w:val="left"/>
        <w:rPr>
          <w:rFonts w:ascii="Garamond" w:hAnsi="Garamond"/>
          <w:sz w:val="24"/>
          <w:szCs w:val="24"/>
        </w:rPr>
      </w:pPr>
      <w:r w:rsidRPr="00AE3F1B">
        <w:rPr>
          <w:rFonts w:ascii="Garamond" w:hAnsi="Garamond"/>
          <w:sz w:val="24"/>
          <w:szCs w:val="24"/>
        </w:rPr>
        <w:t xml:space="preserve">IV.3.4.1. </w:t>
      </w:r>
      <w:r w:rsidR="00900EE3" w:rsidRPr="00AE3F1B">
        <w:rPr>
          <w:rFonts w:ascii="Garamond" w:hAnsi="Garamond"/>
          <w:sz w:val="24"/>
          <w:szCs w:val="24"/>
        </w:rPr>
        <w:t>OSP może dokonać wyłączenia odbiorców w trybie awaryjnym w przypadku zagrożenia bezpieczeństwa dostaw energii elektrycznej lub wystąpienia zagrożenia bezpieczeństwa osób, jednak nie dłużej niż na okres 72 godzin.</w:t>
      </w:r>
    </w:p>
    <w:p w14:paraId="7F1F3EC7" w14:textId="641AEC92" w:rsidR="00900EE3" w:rsidRPr="00AE3F1B" w:rsidRDefault="00F65FCC" w:rsidP="00F65FCC">
      <w:pPr>
        <w:spacing w:after="207" w:line="253" w:lineRule="auto"/>
        <w:ind w:left="567" w:right="-3" w:hanging="567"/>
        <w:jc w:val="left"/>
        <w:rPr>
          <w:rFonts w:ascii="Garamond" w:hAnsi="Garamond"/>
          <w:sz w:val="24"/>
          <w:szCs w:val="24"/>
        </w:rPr>
      </w:pPr>
      <w:r w:rsidRPr="00AE3F1B">
        <w:rPr>
          <w:rFonts w:ascii="Garamond" w:hAnsi="Garamond"/>
          <w:sz w:val="24"/>
          <w:szCs w:val="24"/>
        </w:rPr>
        <w:lastRenderedPageBreak/>
        <w:t xml:space="preserve">IV.3.4.2. </w:t>
      </w:r>
      <w:r w:rsidR="00900EE3" w:rsidRPr="00AE3F1B">
        <w:rPr>
          <w:rFonts w:ascii="Garamond" w:hAnsi="Garamond"/>
          <w:sz w:val="24"/>
          <w:szCs w:val="24"/>
        </w:rPr>
        <w:t>Wyłączenia odbiorców według trybu awaryjnego, realizuje się na polecenie OSP jako wyłączenia awaryjne. W przypadku dokonania przez ID Sp. z o.o</w:t>
      </w:r>
      <w:r w:rsidR="00203B56" w:rsidRPr="00AE3F1B">
        <w:rPr>
          <w:rFonts w:ascii="Garamond" w:hAnsi="Garamond"/>
          <w:sz w:val="24"/>
          <w:szCs w:val="24"/>
        </w:rPr>
        <w:t>.</w:t>
      </w:r>
      <w:r w:rsidR="00900EE3" w:rsidRPr="00AE3F1B">
        <w:rPr>
          <w:rFonts w:ascii="Garamond" w:hAnsi="Garamond"/>
          <w:sz w:val="24"/>
          <w:szCs w:val="24"/>
        </w:rPr>
        <w:t xml:space="preserve"> wyłączenia odbiorców, w szczególności w związku z zagrożeniem bezpieczeństwa osób, ID Sp. z o.o. jest zobowiązany niezwłocznie powiadomić o tym fakcie odpowiednie służby dyspozytorskie PGE Dystrybucja </w:t>
      </w:r>
      <w:r w:rsidRPr="00AE3F1B">
        <w:rPr>
          <w:rFonts w:ascii="Garamond" w:hAnsi="Garamond"/>
          <w:sz w:val="24"/>
          <w:szCs w:val="24"/>
        </w:rPr>
        <w:t>S.A.</w:t>
      </w:r>
    </w:p>
    <w:p w14:paraId="6CB8568B" w14:textId="05FB12B3" w:rsidR="00900EE3" w:rsidRPr="00AE3F1B" w:rsidRDefault="00F65FCC" w:rsidP="00F65FCC">
      <w:pPr>
        <w:spacing w:after="172" w:line="253" w:lineRule="auto"/>
        <w:ind w:left="567" w:right="-3" w:hanging="567"/>
        <w:jc w:val="left"/>
        <w:rPr>
          <w:rFonts w:ascii="Garamond" w:hAnsi="Garamond"/>
          <w:sz w:val="24"/>
          <w:szCs w:val="24"/>
        </w:rPr>
      </w:pPr>
      <w:r w:rsidRPr="00AE3F1B">
        <w:rPr>
          <w:rFonts w:ascii="Garamond" w:hAnsi="Garamond"/>
          <w:sz w:val="24"/>
          <w:szCs w:val="24"/>
        </w:rPr>
        <w:t>IV.3.4.3.</w:t>
      </w:r>
      <w:r>
        <w:rPr>
          <w:rFonts w:ascii="Garamond" w:hAnsi="Garamond"/>
          <w:sz w:val="24"/>
          <w:szCs w:val="24"/>
        </w:rPr>
        <w:t xml:space="preserve"> </w:t>
      </w:r>
      <w:r w:rsidR="00900EE3" w:rsidRPr="00AE3F1B">
        <w:rPr>
          <w:rFonts w:ascii="Garamond" w:hAnsi="Garamond"/>
          <w:sz w:val="24"/>
          <w:szCs w:val="24"/>
        </w:rPr>
        <w:t xml:space="preserve">Wyłączenia awaryjne odbiorców powinny być zrealizowane bez zbędnej zwłoki, nie dłużej niż w czasie do 60 minut od wydania polecenia dyspozytorskiego. Zmniejszenie poboru mocy czynnej </w:t>
      </w:r>
      <w:r w:rsidR="00203B56" w:rsidRPr="00AE3F1B">
        <w:rPr>
          <w:rFonts w:ascii="Garamond" w:hAnsi="Garamond"/>
          <w:sz w:val="24"/>
          <w:szCs w:val="24"/>
        </w:rPr>
        <w:t>o</w:t>
      </w:r>
      <w:r w:rsidR="00900EE3" w:rsidRPr="00AE3F1B">
        <w:rPr>
          <w:rFonts w:ascii="Garamond" w:hAnsi="Garamond"/>
          <w:sz w:val="24"/>
          <w:szCs w:val="24"/>
        </w:rPr>
        <w:t xml:space="preserve"> 20% (wprowadzenie ograniczeń w stopniach A </w:t>
      </w:r>
      <w:r w:rsidR="00203B56" w:rsidRPr="00AE3F1B">
        <w:rPr>
          <w:rFonts w:ascii="Garamond" w:hAnsi="Garamond"/>
          <w:sz w:val="24"/>
          <w:szCs w:val="24"/>
        </w:rPr>
        <w:t>1</w:t>
      </w:r>
      <w:r w:rsidR="00900EE3" w:rsidRPr="00AE3F1B">
        <w:rPr>
          <w:rFonts w:ascii="Garamond" w:hAnsi="Garamond"/>
          <w:sz w:val="24"/>
          <w:szCs w:val="24"/>
        </w:rPr>
        <w:t xml:space="preserve"> i A2), powinno być zrealizowane bez zbędnej zwłoki, nie dłużej niż w ciągu 15 minut od wydania polecenia dyspozytorskiego.</w:t>
      </w:r>
      <w:r w:rsidR="00645717">
        <w:rPr>
          <w:rFonts w:ascii="Garamond" w:hAnsi="Garamond"/>
          <w:sz w:val="24"/>
          <w:szCs w:val="24"/>
        </w:rPr>
        <w:t xml:space="preserve"> </w:t>
      </w:r>
      <w:r w:rsidR="00900EE3" w:rsidRPr="00AE3F1B">
        <w:rPr>
          <w:rFonts w:ascii="Garamond" w:hAnsi="Garamond"/>
          <w:sz w:val="24"/>
          <w:szCs w:val="24"/>
        </w:rPr>
        <w:t>Ograniczenia w stopniu A3 powinny być zrealizowane bez zbędnej zwłoki, nie dłużej niż w ciągu 30 minut od wydania polecenia dyspozytorskiego. Ograniczenia w stopniu A4 powinny być zrealizowane bez zbędnej zwłoki, nie dłużej niż w ciągu 45 minut od wydania polecenia dyspozytorskiego. Ograniczenia w stopniu A5 powinny być zrealizowane bez zbędnej zwłoki, nie dłużej niż w ciągu 60 minut od wydania polecenia dyspozytorskiego.</w:t>
      </w:r>
      <w:r w:rsidR="00645717">
        <w:rPr>
          <w:rFonts w:ascii="Garamond" w:hAnsi="Garamond"/>
          <w:sz w:val="24"/>
          <w:szCs w:val="24"/>
        </w:rPr>
        <w:t xml:space="preserve"> </w:t>
      </w:r>
      <w:r w:rsidR="00900EE3" w:rsidRPr="00AE3F1B">
        <w:rPr>
          <w:rFonts w:ascii="Garamond" w:hAnsi="Garamond"/>
          <w:sz w:val="24"/>
          <w:szCs w:val="24"/>
        </w:rPr>
        <w:t>Wyłączenia awaryjne odbiorców nie mogą powodować zagrożenia bezpieczeństwa osób oraz zakłóceń w funkcjonowaniu obiektów wymienionych w pkt. IV.3.2.8.c).</w:t>
      </w:r>
    </w:p>
    <w:p w14:paraId="76DD153E" w14:textId="61F1CAF7" w:rsidR="00900EE3" w:rsidRPr="00AE3F1B" w:rsidRDefault="00F65FCC" w:rsidP="00F65FCC">
      <w:pPr>
        <w:spacing w:after="189" w:line="253" w:lineRule="auto"/>
        <w:ind w:left="567" w:right="-3" w:hanging="567"/>
        <w:jc w:val="left"/>
        <w:rPr>
          <w:rFonts w:ascii="Garamond" w:hAnsi="Garamond"/>
          <w:sz w:val="24"/>
          <w:szCs w:val="24"/>
        </w:rPr>
      </w:pPr>
      <w:r w:rsidRPr="00AE3F1B">
        <w:rPr>
          <w:rFonts w:ascii="Garamond" w:hAnsi="Garamond"/>
          <w:sz w:val="24"/>
          <w:szCs w:val="24"/>
        </w:rPr>
        <w:t>IV.3.4.4.</w:t>
      </w:r>
      <w:r>
        <w:rPr>
          <w:rFonts w:ascii="Garamond" w:hAnsi="Garamond"/>
          <w:sz w:val="24"/>
          <w:szCs w:val="24"/>
        </w:rPr>
        <w:t xml:space="preserve"> </w:t>
      </w:r>
      <w:r w:rsidR="00900EE3" w:rsidRPr="00AE3F1B">
        <w:rPr>
          <w:rFonts w:ascii="Garamond" w:hAnsi="Garamond"/>
          <w:sz w:val="24"/>
          <w:szCs w:val="24"/>
        </w:rPr>
        <w:t>Wyłączenia awaryjne odbiorców powinny być zrealizowane poprzez wyłączenia linii i stacji średnich napięć, zmniejszenie ilości pobieranej energii elektrycznej przez odbiorców końcowych przyłączonych do sieci dystrybucyjnej, na obszarze wskazanym przez służby dyspozytorskie wydające decyzję o wprowadzeniu wyłączenia awaryjnego.</w:t>
      </w:r>
    </w:p>
    <w:p w14:paraId="1A84EA61" w14:textId="3EA93177" w:rsidR="00900EE3" w:rsidRPr="00AE3F1B" w:rsidRDefault="00F65FCC" w:rsidP="00F65FCC">
      <w:pPr>
        <w:spacing w:after="210" w:line="253" w:lineRule="auto"/>
        <w:ind w:left="567" w:right="-3" w:hanging="567"/>
        <w:jc w:val="left"/>
        <w:rPr>
          <w:rFonts w:ascii="Garamond" w:hAnsi="Garamond"/>
          <w:sz w:val="24"/>
          <w:szCs w:val="24"/>
        </w:rPr>
      </w:pPr>
      <w:r w:rsidRPr="00AE3F1B">
        <w:rPr>
          <w:rFonts w:ascii="Garamond" w:hAnsi="Garamond"/>
          <w:sz w:val="24"/>
          <w:szCs w:val="24"/>
        </w:rPr>
        <w:t>IV.3.4.5.</w:t>
      </w:r>
      <w:r>
        <w:rPr>
          <w:rFonts w:ascii="Garamond" w:hAnsi="Garamond"/>
          <w:sz w:val="24"/>
          <w:szCs w:val="24"/>
        </w:rPr>
        <w:t xml:space="preserve"> </w:t>
      </w:r>
      <w:r w:rsidR="00900EE3" w:rsidRPr="00AE3F1B">
        <w:rPr>
          <w:rFonts w:ascii="Garamond" w:hAnsi="Garamond"/>
          <w:sz w:val="24"/>
          <w:szCs w:val="24"/>
        </w:rPr>
        <w:t>ID Sp. z o.o. w porozumieniu z PGE Dystrybucja S.A. ustala corocznie dla każdego miesiąca,</w:t>
      </w:r>
      <w:r>
        <w:rPr>
          <w:rFonts w:ascii="Garamond" w:hAnsi="Garamond"/>
          <w:sz w:val="24"/>
          <w:szCs w:val="24"/>
        </w:rPr>
        <w:t xml:space="preserve"> </w:t>
      </w:r>
      <w:r w:rsidR="00900EE3" w:rsidRPr="00AE3F1B">
        <w:rPr>
          <w:rFonts w:ascii="Garamond" w:hAnsi="Garamond"/>
          <w:sz w:val="24"/>
          <w:szCs w:val="24"/>
        </w:rPr>
        <w:t>dla prognozowanego zapotrzebowania na moc w dobowych szczytach tego zapotrzebowania dla typowych warunków pogodowych, wartości obniżenia poboru mocy czynnej w poszczególnych stopniach wyłączenia awaryjnego.</w:t>
      </w:r>
    </w:p>
    <w:p w14:paraId="782052A4" w14:textId="7F51CA63" w:rsidR="00900EE3" w:rsidRPr="00AE3F1B" w:rsidRDefault="00900EE3" w:rsidP="00175586">
      <w:pPr>
        <w:spacing w:after="200" w:line="253" w:lineRule="auto"/>
        <w:ind w:left="567" w:right="-3" w:hanging="567"/>
        <w:jc w:val="left"/>
        <w:rPr>
          <w:rFonts w:ascii="Garamond" w:hAnsi="Garamond"/>
          <w:sz w:val="24"/>
          <w:szCs w:val="24"/>
        </w:rPr>
      </w:pPr>
      <w:r w:rsidRPr="00AE3F1B">
        <w:rPr>
          <w:rFonts w:ascii="Garamond" w:hAnsi="Garamond"/>
          <w:sz w:val="24"/>
          <w:szCs w:val="24"/>
        </w:rPr>
        <w:t>IV.3.4.6. Opracowuje się optymalne plany wyłączenia awaryjnego dla którego przyjmuje się pięciostopniową skalę wyłączenia: od A</w:t>
      </w:r>
      <w:r w:rsidR="006E34EA">
        <w:rPr>
          <w:rFonts w:ascii="Garamond" w:hAnsi="Garamond"/>
          <w:sz w:val="24"/>
          <w:szCs w:val="24"/>
        </w:rPr>
        <w:t>1</w:t>
      </w:r>
      <w:r w:rsidRPr="00AE3F1B">
        <w:rPr>
          <w:rFonts w:ascii="Garamond" w:hAnsi="Garamond"/>
          <w:sz w:val="24"/>
          <w:szCs w:val="24"/>
        </w:rPr>
        <w:t xml:space="preserve"> do A5. Stopnie A</w:t>
      </w:r>
      <w:r w:rsidR="006E34EA">
        <w:rPr>
          <w:rFonts w:ascii="Garamond" w:hAnsi="Garamond"/>
          <w:sz w:val="24"/>
          <w:szCs w:val="24"/>
        </w:rPr>
        <w:t>1</w:t>
      </w:r>
      <w:r w:rsidRPr="00AE3F1B">
        <w:rPr>
          <w:rFonts w:ascii="Garamond" w:hAnsi="Garamond"/>
          <w:sz w:val="24"/>
          <w:szCs w:val="24"/>
        </w:rPr>
        <w:t>-A5 powinny zapewniać równomierny spadek poboru mocy czynnej (każdy około 10%).</w:t>
      </w:r>
    </w:p>
    <w:p w14:paraId="0B0F61C1" w14:textId="77777777" w:rsidR="00900EE3" w:rsidRPr="00AE3F1B" w:rsidRDefault="00900EE3" w:rsidP="00F65FCC">
      <w:pPr>
        <w:spacing w:after="108" w:line="253" w:lineRule="auto"/>
        <w:ind w:left="567" w:right="-3"/>
        <w:jc w:val="left"/>
        <w:rPr>
          <w:rFonts w:ascii="Garamond" w:hAnsi="Garamond"/>
          <w:sz w:val="24"/>
          <w:szCs w:val="24"/>
        </w:rPr>
      </w:pPr>
      <w:r w:rsidRPr="00AE3F1B">
        <w:rPr>
          <w:rFonts w:ascii="Garamond" w:hAnsi="Garamond"/>
          <w:sz w:val="24"/>
          <w:szCs w:val="24"/>
        </w:rPr>
        <w:t>Wyłączenie awaryjne w stopniu A5 powinno zapewnić zmniejszenie poboru mocy czynne o 50 % prognozowanego zapotrzebowania na moc w dobowych szczytach tego zapotrzebowania dla typowych warunków pogodowych.</w:t>
      </w:r>
    </w:p>
    <w:p w14:paraId="6825EC79" w14:textId="7BC81CA7" w:rsidR="00900EE3" w:rsidRPr="00660DC3" w:rsidRDefault="00900EE3" w:rsidP="00175586">
      <w:pPr>
        <w:keepNext/>
        <w:keepLines/>
        <w:spacing w:after="170" w:line="248" w:lineRule="auto"/>
        <w:ind w:left="567" w:right="-3" w:hanging="567"/>
        <w:jc w:val="left"/>
        <w:outlineLvl w:val="1"/>
        <w:rPr>
          <w:rFonts w:ascii="Garamond" w:hAnsi="Garamond"/>
          <w:sz w:val="24"/>
          <w:szCs w:val="24"/>
        </w:rPr>
      </w:pPr>
      <w:bookmarkStart w:id="73" w:name="_Toc171860249"/>
      <w:bookmarkStart w:id="74" w:name="_Toc171861063"/>
      <w:r w:rsidRPr="00660DC3">
        <w:rPr>
          <w:rFonts w:ascii="Garamond" w:hAnsi="Garamond"/>
          <w:sz w:val="24"/>
          <w:szCs w:val="24"/>
        </w:rPr>
        <w:t>IV.3.5.</w:t>
      </w:r>
      <w:r w:rsidR="009434A4">
        <w:rPr>
          <w:rFonts w:ascii="Garamond" w:hAnsi="Garamond"/>
          <w:sz w:val="24"/>
          <w:szCs w:val="24"/>
        </w:rPr>
        <w:t xml:space="preserve"> </w:t>
      </w:r>
      <w:r w:rsidR="00AE3F1B" w:rsidRPr="00660DC3">
        <w:rPr>
          <w:rFonts w:ascii="Garamond" w:hAnsi="Garamond"/>
          <w:sz w:val="24"/>
          <w:szCs w:val="24"/>
        </w:rPr>
        <w:t>Tryb automatyczny</w:t>
      </w:r>
      <w:bookmarkEnd w:id="73"/>
      <w:bookmarkEnd w:id="74"/>
    </w:p>
    <w:p w14:paraId="5E37BE5B" w14:textId="1B8E8DC4" w:rsidR="009434A4" w:rsidRPr="00AE3F1B" w:rsidRDefault="00900EE3" w:rsidP="009434A4">
      <w:pPr>
        <w:tabs>
          <w:tab w:val="center" w:pos="5022"/>
        </w:tabs>
        <w:spacing w:after="40" w:line="253" w:lineRule="auto"/>
        <w:ind w:left="567" w:right="-3" w:hanging="567"/>
        <w:jc w:val="left"/>
        <w:rPr>
          <w:rFonts w:ascii="Garamond" w:hAnsi="Garamond"/>
          <w:sz w:val="24"/>
          <w:szCs w:val="24"/>
        </w:rPr>
      </w:pPr>
      <w:r w:rsidRPr="00AE3F1B">
        <w:rPr>
          <w:rFonts w:ascii="Garamond" w:hAnsi="Garamond"/>
          <w:sz w:val="24"/>
          <w:szCs w:val="24"/>
        </w:rPr>
        <w:t>IV.3.5.1.</w:t>
      </w:r>
      <w:r w:rsidR="00645717">
        <w:rPr>
          <w:rFonts w:ascii="Garamond" w:hAnsi="Garamond"/>
          <w:sz w:val="24"/>
          <w:szCs w:val="24"/>
        </w:rPr>
        <w:t xml:space="preserve"> </w:t>
      </w:r>
      <w:r w:rsidRPr="00AE3F1B">
        <w:rPr>
          <w:rFonts w:ascii="Garamond" w:hAnsi="Garamond"/>
          <w:sz w:val="24"/>
          <w:szCs w:val="24"/>
        </w:rPr>
        <w:t>Pola rozdzielni 6</w:t>
      </w:r>
      <w:r w:rsidR="009434A4" w:rsidRPr="00AE3F1B">
        <w:rPr>
          <w:rFonts w:ascii="Garamond" w:hAnsi="Garamond"/>
          <w:sz w:val="24"/>
          <w:szCs w:val="24"/>
        </w:rPr>
        <w:t>kV ID</w:t>
      </w:r>
      <w:r w:rsidRPr="00AE3F1B">
        <w:rPr>
          <w:rFonts w:ascii="Garamond" w:hAnsi="Garamond"/>
          <w:sz w:val="24"/>
          <w:szCs w:val="24"/>
        </w:rPr>
        <w:t xml:space="preserve"> Sp. z o.o. nie posiadają automatyki SCO.</w:t>
      </w:r>
    </w:p>
    <w:p w14:paraId="12E7ED8A" w14:textId="20A78DB2" w:rsidR="00900EE3" w:rsidRPr="00AE3F1B" w:rsidRDefault="00900EE3" w:rsidP="009434A4">
      <w:pPr>
        <w:spacing w:line="253" w:lineRule="auto"/>
        <w:ind w:left="567" w:right="-3"/>
        <w:jc w:val="left"/>
        <w:rPr>
          <w:rFonts w:ascii="Garamond" w:hAnsi="Garamond"/>
          <w:sz w:val="24"/>
          <w:szCs w:val="24"/>
        </w:rPr>
      </w:pPr>
      <w:r w:rsidRPr="00AE3F1B">
        <w:rPr>
          <w:rFonts w:ascii="Garamond" w:hAnsi="Garamond"/>
          <w:sz w:val="24"/>
          <w:szCs w:val="24"/>
        </w:rPr>
        <w:t>Urządzenia i instalacje odbiorców przyłączonych do sieci o napięciu znamionowym 6</w:t>
      </w:r>
      <w:r w:rsidR="009434A4" w:rsidRPr="00AE3F1B">
        <w:rPr>
          <w:rFonts w:ascii="Garamond" w:hAnsi="Garamond"/>
          <w:sz w:val="24"/>
          <w:szCs w:val="24"/>
        </w:rPr>
        <w:t xml:space="preserve">kV </w:t>
      </w:r>
      <w:r w:rsidR="009434A4">
        <w:rPr>
          <w:rFonts w:ascii="Garamond" w:hAnsi="Garamond"/>
          <w:sz w:val="24"/>
          <w:szCs w:val="24"/>
        </w:rPr>
        <w:t>powinny</w:t>
      </w:r>
      <w:r w:rsidRPr="00AE3F1B">
        <w:rPr>
          <w:rFonts w:ascii="Garamond" w:hAnsi="Garamond"/>
          <w:sz w:val="24"/>
          <w:szCs w:val="24"/>
        </w:rPr>
        <w:t xml:space="preserve"> mieć zainstalowaną automatykę SCO.</w:t>
      </w:r>
      <w:r w:rsidR="006F5C6E">
        <w:rPr>
          <w:rFonts w:ascii="Garamond" w:hAnsi="Garamond"/>
          <w:sz w:val="24"/>
          <w:szCs w:val="24"/>
        </w:rPr>
        <w:br/>
      </w:r>
      <w:r w:rsidRPr="00AE3F1B">
        <w:rPr>
          <w:rFonts w:ascii="Garamond" w:hAnsi="Garamond"/>
          <w:sz w:val="24"/>
          <w:szCs w:val="24"/>
        </w:rPr>
        <w:t xml:space="preserve">W przypadku zainstalowania automatyki SCO poszczególne stopnie SCO są ustalane dla zakresu częstotliwości między wartością górną 49 </w:t>
      </w:r>
      <w:proofErr w:type="spellStart"/>
      <w:r w:rsidRPr="00AE3F1B">
        <w:rPr>
          <w:rFonts w:ascii="Garamond" w:hAnsi="Garamond"/>
          <w:sz w:val="24"/>
          <w:szCs w:val="24"/>
        </w:rPr>
        <w:t>H</w:t>
      </w:r>
      <w:r w:rsidR="001F3AAC" w:rsidRPr="00AE3F1B">
        <w:rPr>
          <w:rFonts w:ascii="Garamond" w:hAnsi="Garamond"/>
          <w:sz w:val="24"/>
          <w:szCs w:val="24"/>
        </w:rPr>
        <w:t>z</w:t>
      </w:r>
      <w:proofErr w:type="spellEnd"/>
      <w:r w:rsidRPr="00AE3F1B">
        <w:rPr>
          <w:rFonts w:ascii="Garamond" w:hAnsi="Garamond"/>
          <w:sz w:val="24"/>
          <w:szCs w:val="24"/>
        </w:rPr>
        <w:t xml:space="preserve"> i dolną 47,5 </w:t>
      </w:r>
      <w:proofErr w:type="spellStart"/>
      <w:r w:rsidRPr="00AE3F1B">
        <w:rPr>
          <w:rFonts w:ascii="Garamond" w:hAnsi="Garamond"/>
          <w:sz w:val="24"/>
          <w:szCs w:val="24"/>
        </w:rPr>
        <w:t>Hz</w:t>
      </w:r>
      <w:proofErr w:type="spellEnd"/>
      <w:r w:rsidRPr="00AE3F1B">
        <w:rPr>
          <w:rFonts w:ascii="Garamond" w:hAnsi="Garamond"/>
          <w:sz w:val="24"/>
          <w:szCs w:val="24"/>
        </w:rPr>
        <w:t>.</w:t>
      </w:r>
    </w:p>
    <w:p w14:paraId="66908133" w14:textId="77777777" w:rsidR="00900EE3" w:rsidRPr="00660DC3" w:rsidRDefault="00900EE3" w:rsidP="00175586">
      <w:pPr>
        <w:spacing w:after="199" w:line="253" w:lineRule="auto"/>
        <w:ind w:left="567" w:right="-3" w:hanging="567"/>
        <w:jc w:val="left"/>
        <w:rPr>
          <w:rFonts w:asciiTheme="majorHAnsi" w:hAnsiTheme="majorHAnsi"/>
          <w:sz w:val="24"/>
          <w:szCs w:val="24"/>
        </w:rPr>
      </w:pPr>
      <w:r w:rsidRPr="00660DC3">
        <w:rPr>
          <w:rFonts w:asciiTheme="majorHAnsi" w:hAnsiTheme="majorHAnsi"/>
          <w:sz w:val="24"/>
          <w:szCs w:val="24"/>
        </w:rPr>
        <w:t xml:space="preserve">IV.3.6. </w:t>
      </w:r>
      <w:r w:rsidR="006F5C6E" w:rsidRPr="00660DC3">
        <w:rPr>
          <w:rFonts w:asciiTheme="majorHAnsi" w:hAnsiTheme="majorHAnsi"/>
          <w:sz w:val="24"/>
          <w:szCs w:val="24"/>
        </w:rPr>
        <w:t xml:space="preserve">Tryby ograniczenia poziomu napięć </w:t>
      </w:r>
    </w:p>
    <w:p w14:paraId="50B978F6" w14:textId="77777777" w:rsidR="00900EE3" w:rsidRPr="00AE3F1B" w:rsidRDefault="00900EE3" w:rsidP="00175586">
      <w:pPr>
        <w:spacing w:after="216" w:line="253" w:lineRule="auto"/>
        <w:ind w:left="567" w:right="-3" w:hanging="567"/>
        <w:jc w:val="left"/>
        <w:rPr>
          <w:rFonts w:ascii="Garamond" w:hAnsi="Garamond"/>
          <w:sz w:val="24"/>
          <w:szCs w:val="24"/>
        </w:rPr>
      </w:pPr>
      <w:r w:rsidRPr="00AE3F1B">
        <w:rPr>
          <w:rFonts w:ascii="Garamond" w:hAnsi="Garamond"/>
          <w:sz w:val="24"/>
          <w:szCs w:val="24"/>
        </w:rPr>
        <w:t xml:space="preserve">IV.3.6.1. W przypadku zagrożenia bezpieczeństwa dostaw energii elektrycznej, OSP może dokonać </w:t>
      </w:r>
      <w:r w:rsidR="006F5C6E">
        <w:rPr>
          <w:rFonts w:ascii="Garamond" w:hAnsi="Garamond"/>
          <w:sz w:val="24"/>
          <w:szCs w:val="24"/>
        </w:rPr>
        <w:br/>
      </w:r>
      <w:r w:rsidRPr="00AE3F1B">
        <w:rPr>
          <w:rFonts w:ascii="Garamond" w:hAnsi="Garamond"/>
          <w:sz w:val="24"/>
          <w:szCs w:val="24"/>
        </w:rPr>
        <w:t>ograniczenia poziomu napięcia po stronie SN, jednak nie dłużej niż na okres 72 godzin.</w:t>
      </w:r>
    </w:p>
    <w:p w14:paraId="766263BC" w14:textId="77777777" w:rsidR="00900EE3" w:rsidRPr="00AE3F1B" w:rsidRDefault="00900EE3" w:rsidP="00175586">
      <w:pPr>
        <w:spacing w:after="198" w:line="253" w:lineRule="auto"/>
        <w:ind w:left="567" w:right="-3" w:hanging="567"/>
        <w:jc w:val="left"/>
        <w:rPr>
          <w:rFonts w:ascii="Garamond" w:hAnsi="Garamond"/>
          <w:sz w:val="24"/>
          <w:szCs w:val="24"/>
        </w:rPr>
      </w:pPr>
      <w:r w:rsidRPr="00AE3F1B">
        <w:rPr>
          <w:rFonts w:ascii="Garamond" w:hAnsi="Garamond"/>
          <w:sz w:val="24"/>
          <w:szCs w:val="24"/>
        </w:rPr>
        <w:lastRenderedPageBreak/>
        <w:t>IV.3.6.2.Ograniczenie poziom</w:t>
      </w:r>
      <w:r w:rsidR="001F3AAC" w:rsidRPr="00AE3F1B">
        <w:rPr>
          <w:rFonts w:ascii="Garamond" w:hAnsi="Garamond"/>
          <w:sz w:val="24"/>
          <w:szCs w:val="24"/>
        </w:rPr>
        <w:t>u</w:t>
      </w:r>
      <w:r w:rsidRPr="00AE3F1B">
        <w:rPr>
          <w:rFonts w:ascii="Garamond" w:hAnsi="Garamond"/>
          <w:sz w:val="24"/>
          <w:szCs w:val="24"/>
        </w:rPr>
        <w:t xml:space="preserve"> napięć na danym obszarze powinno być zrealizowane na polecenie </w:t>
      </w:r>
      <w:r w:rsidR="006F5C6E">
        <w:rPr>
          <w:rFonts w:ascii="Garamond" w:hAnsi="Garamond"/>
          <w:sz w:val="24"/>
          <w:szCs w:val="24"/>
        </w:rPr>
        <w:br/>
      </w:r>
      <w:r w:rsidRPr="00AE3F1B">
        <w:rPr>
          <w:rFonts w:ascii="Garamond" w:hAnsi="Garamond"/>
          <w:sz w:val="24"/>
          <w:szCs w:val="24"/>
        </w:rPr>
        <w:t>OSP poprzez:</w:t>
      </w:r>
    </w:p>
    <w:p w14:paraId="3799127E" w14:textId="344B1F6F" w:rsidR="00900EE3" w:rsidRPr="009434A4" w:rsidRDefault="00900EE3">
      <w:pPr>
        <w:pStyle w:val="Akapitzlist"/>
        <w:numPr>
          <w:ilvl w:val="0"/>
          <w:numId w:val="123"/>
        </w:numPr>
        <w:spacing w:line="253" w:lineRule="auto"/>
        <w:ind w:right="-3"/>
        <w:jc w:val="left"/>
        <w:rPr>
          <w:rFonts w:ascii="Garamond" w:hAnsi="Garamond"/>
          <w:sz w:val="24"/>
          <w:szCs w:val="24"/>
        </w:rPr>
      </w:pPr>
      <w:r w:rsidRPr="009434A4">
        <w:rPr>
          <w:rFonts w:ascii="Garamond" w:hAnsi="Garamond"/>
          <w:sz w:val="24"/>
          <w:szCs w:val="24"/>
        </w:rPr>
        <w:t>zablokowanie automatycznej regulacji napięć transformatorów 110kV/SN</w:t>
      </w:r>
      <w:r w:rsidR="006F5C6E" w:rsidRPr="009434A4">
        <w:rPr>
          <w:rFonts w:ascii="Garamond" w:hAnsi="Garamond"/>
          <w:sz w:val="24"/>
          <w:szCs w:val="24"/>
        </w:rPr>
        <w:br/>
      </w:r>
      <w:r w:rsidRPr="009434A4">
        <w:rPr>
          <w:rFonts w:ascii="Garamond" w:hAnsi="Garamond"/>
          <w:sz w:val="24"/>
          <w:szCs w:val="24"/>
        </w:rPr>
        <w:t xml:space="preserve"> i utrzymywaniu poleconej bądź aktualnej pozycji przełącznika zaczepów transformatora 110kV/SN, lub</w:t>
      </w:r>
    </w:p>
    <w:p w14:paraId="06673488" w14:textId="4101BEDD" w:rsidR="00900EE3" w:rsidRPr="009434A4" w:rsidRDefault="00900EE3">
      <w:pPr>
        <w:pStyle w:val="Akapitzlist"/>
        <w:numPr>
          <w:ilvl w:val="0"/>
          <w:numId w:val="123"/>
        </w:numPr>
        <w:spacing w:after="187" w:line="253" w:lineRule="auto"/>
        <w:ind w:right="-3"/>
        <w:jc w:val="left"/>
        <w:rPr>
          <w:rFonts w:ascii="Garamond" w:hAnsi="Garamond"/>
          <w:sz w:val="24"/>
          <w:szCs w:val="24"/>
        </w:rPr>
      </w:pPr>
      <w:r w:rsidRPr="009434A4">
        <w:rPr>
          <w:rFonts w:ascii="Garamond" w:hAnsi="Garamond"/>
          <w:sz w:val="24"/>
          <w:szCs w:val="24"/>
        </w:rPr>
        <w:t xml:space="preserve">obniżenie </w:t>
      </w:r>
      <w:r w:rsidR="001F3AAC" w:rsidRPr="009434A4">
        <w:rPr>
          <w:rFonts w:ascii="Garamond" w:hAnsi="Garamond"/>
          <w:sz w:val="24"/>
          <w:szCs w:val="24"/>
        </w:rPr>
        <w:t>o</w:t>
      </w:r>
      <w:r w:rsidRPr="009434A4">
        <w:rPr>
          <w:rFonts w:ascii="Garamond" w:hAnsi="Garamond"/>
          <w:sz w:val="24"/>
          <w:szCs w:val="24"/>
        </w:rPr>
        <w:t xml:space="preserve"> 5 % zadanego napięcia SN układów automatycznej regulacji napięcia transformatorów 110kV/SN.</w:t>
      </w:r>
    </w:p>
    <w:p w14:paraId="40570732" w14:textId="789256D5" w:rsidR="00900EE3" w:rsidRDefault="00B369AF" w:rsidP="00B369AF">
      <w:pPr>
        <w:spacing w:after="248" w:line="253" w:lineRule="auto"/>
        <w:ind w:left="567" w:right="-3" w:hanging="567"/>
        <w:jc w:val="left"/>
        <w:rPr>
          <w:rFonts w:ascii="Garamond" w:hAnsi="Garamond"/>
          <w:sz w:val="24"/>
          <w:szCs w:val="24"/>
        </w:rPr>
      </w:pPr>
      <w:r w:rsidRPr="00AE3F1B">
        <w:rPr>
          <w:rFonts w:ascii="Garamond" w:hAnsi="Garamond"/>
          <w:sz w:val="24"/>
          <w:szCs w:val="24"/>
        </w:rPr>
        <w:t>IV.3.6.3</w:t>
      </w:r>
      <w:r>
        <w:rPr>
          <w:rFonts w:ascii="Garamond" w:hAnsi="Garamond"/>
          <w:sz w:val="24"/>
          <w:szCs w:val="24"/>
        </w:rPr>
        <w:t xml:space="preserve">. </w:t>
      </w:r>
      <w:r w:rsidR="00900EE3" w:rsidRPr="00AE3F1B">
        <w:rPr>
          <w:rFonts w:ascii="Garamond" w:hAnsi="Garamond"/>
          <w:sz w:val="24"/>
          <w:szCs w:val="24"/>
        </w:rPr>
        <w:t>Ograniczenie poziomu napięć powinno być zrealizowane bez zbędnej zwłoki, w czasie nie dłużej niż do 60 minut od wydania polecenia; zalecany czas wprowadzenia nie powinien przekraczać 30 min.</w:t>
      </w:r>
    </w:p>
    <w:p w14:paraId="10D2E200" w14:textId="77777777" w:rsidR="009434A4" w:rsidRDefault="009434A4" w:rsidP="006F5C6E">
      <w:pPr>
        <w:spacing w:after="248" w:line="253" w:lineRule="auto"/>
        <w:ind w:left="851" w:right="-3" w:hanging="851"/>
        <w:jc w:val="left"/>
        <w:rPr>
          <w:rFonts w:ascii="Garamond" w:hAnsi="Garamond"/>
          <w:sz w:val="24"/>
          <w:szCs w:val="24"/>
        </w:rPr>
      </w:pPr>
    </w:p>
    <w:p w14:paraId="55AD33A3" w14:textId="77777777" w:rsidR="009434A4" w:rsidRPr="00AE3F1B" w:rsidRDefault="009434A4" w:rsidP="006F5C6E">
      <w:pPr>
        <w:spacing w:after="248" w:line="253" w:lineRule="auto"/>
        <w:ind w:left="851" w:right="-3" w:hanging="851"/>
        <w:jc w:val="left"/>
        <w:rPr>
          <w:rFonts w:ascii="Garamond" w:hAnsi="Garamond"/>
          <w:sz w:val="24"/>
          <w:szCs w:val="24"/>
        </w:rPr>
      </w:pPr>
    </w:p>
    <w:p w14:paraId="65BBCF12" w14:textId="77777777" w:rsidR="00900EE3" w:rsidRPr="00AE3F1B" w:rsidRDefault="00900EE3" w:rsidP="00175586">
      <w:pPr>
        <w:spacing w:after="186" w:line="253" w:lineRule="auto"/>
        <w:ind w:left="567" w:right="-3" w:hanging="567"/>
        <w:jc w:val="left"/>
        <w:rPr>
          <w:rFonts w:ascii="Garamond" w:hAnsi="Garamond"/>
          <w:sz w:val="24"/>
          <w:szCs w:val="24"/>
        </w:rPr>
      </w:pPr>
      <w:r w:rsidRPr="00AE3F1B">
        <w:rPr>
          <w:rFonts w:ascii="Garamond" w:hAnsi="Garamond"/>
          <w:sz w:val="24"/>
          <w:szCs w:val="24"/>
        </w:rPr>
        <w:t xml:space="preserve">IV.3.6.4. ID Sp. z o.o. po wprowadzeniu trybu ograniczenia poziomu napięcia rejestruje w czasie </w:t>
      </w:r>
      <w:r w:rsidR="006F5C6E">
        <w:rPr>
          <w:rFonts w:ascii="Garamond" w:hAnsi="Garamond"/>
          <w:sz w:val="24"/>
          <w:szCs w:val="24"/>
        </w:rPr>
        <w:br/>
      </w:r>
      <w:r w:rsidRPr="00AE3F1B">
        <w:rPr>
          <w:rFonts w:ascii="Garamond" w:hAnsi="Garamond"/>
          <w:sz w:val="24"/>
          <w:szCs w:val="24"/>
        </w:rPr>
        <w:t>trwania ograniczeń:</w:t>
      </w:r>
    </w:p>
    <w:p w14:paraId="7103D16F" w14:textId="3D77E16E" w:rsidR="00900EE3" w:rsidRPr="009434A4" w:rsidRDefault="00900EE3">
      <w:pPr>
        <w:pStyle w:val="Akapitzlist"/>
        <w:numPr>
          <w:ilvl w:val="0"/>
          <w:numId w:val="124"/>
        </w:numPr>
        <w:spacing w:line="253" w:lineRule="auto"/>
        <w:ind w:right="-3"/>
        <w:jc w:val="left"/>
        <w:rPr>
          <w:rFonts w:ascii="Garamond" w:hAnsi="Garamond"/>
          <w:sz w:val="24"/>
          <w:szCs w:val="24"/>
        </w:rPr>
      </w:pPr>
      <w:r w:rsidRPr="009434A4">
        <w:rPr>
          <w:rFonts w:ascii="Garamond" w:hAnsi="Garamond"/>
          <w:sz w:val="24"/>
          <w:szCs w:val="24"/>
        </w:rPr>
        <w:t>poziom napięcia,</w:t>
      </w:r>
    </w:p>
    <w:p w14:paraId="3A867EBE" w14:textId="711026C4" w:rsidR="00900EE3" w:rsidRPr="009434A4" w:rsidRDefault="00900EE3">
      <w:pPr>
        <w:pStyle w:val="Akapitzlist"/>
        <w:numPr>
          <w:ilvl w:val="0"/>
          <w:numId w:val="124"/>
        </w:numPr>
        <w:spacing w:line="253" w:lineRule="auto"/>
        <w:ind w:right="-3"/>
        <w:jc w:val="left"/>
        <w:rPr>
          <w:rFonts w:ascii="Garamond" w:hAnsi="Garamond"/>
          <w:sz w:val="24"/>
          <w:szCs w:val="24"/>
        </w:rPr>
      </w:pPr>
      <w:r w:rsidRPr="009434A4">
        <w:rPr>
          <w:rFonts w:ascii="Garamond" w:hAnsi="Garamond"/>
          <w:sz w:val="24"/>
          <w:szCs w:val="24"/>
        </w:rPr>
        <w:t>pozycje przełączników zaczepów transformatorów 110kV/SN,</w:t>
      </w:r>
    </w:p>
    <w:p w14:paraId="738975A8" w14:textId="3B100803" w:rsidR="00DD5AB5" w:rsidRDefault="00900EE3">
      <w:pPr>
        <w:pStyle w:val="Akapitzlist"/>
        <w:numPr>
          <w:ilvl w:val="0"/>
          <w:numId w:val="124"/>
        </w:numPr>
        <w:spacing w:line="253" w:lineRule="auto"/>
        <w:ind w:right="-3"/>
        <w:jc w:val="left"/>
        <w:rPr>
          <w:rFonts w:ascii="Garamond" w:hAnsi="Garamond"/>
          <w:sz w:val="24"/>
          <w:szCs w:val="24"/>
        </w:rPr>
      </w:pPr>
      <w:r w:rsidRPr="009434A4">
        <w:rPr>
          <w:rFonts w:ascii="Garamond" w:hAnsi="Garamond"/>
          <w:sz w:val="24"/>
          <w:szCs w:val="24"/>
        </w:rPr>
        <w:t>tryb pracy automatycznej regulacji napięć transformatorów 110kV/SN.</w:t>
      </w:r>
    </w:p>
    <w:p w14:paraId="33CCFDF8" w14:textId="77777777" w:rsidR="009434A4" w:rsidRPr="009434A4" w:rsidRDefault="009434A4" w:rsidP="009434A4">
      <w:pPr>
        <w:spacing w:line="253" w:lineRule="auto"/>
        <w:ind w:right="-3"/>
        <w:jc w:val="left"/>
        <w:rPr>
          <w:rFonts w:ascii="Garamond" w:hAnsi="Garamond"/>
          <w:sz w:val="24"/>
          <w:szCs w:val="24"/>
        </w:rPr>
      </w:pPr>
    </w:p>
    <w:p w14:paraId="342B546F" w14:textId="44F51948" w:rsidR="00DD5AB5" w:rsidRPr="00DD5AB5" w:rsidRDefault="00DD5AB5" w:rsidP="00DD5AB5">
      <w:pPr>
        <w:spacing w:line="253" w:lineRule="auto"/>
        <w:ind w:right="-3"/>
        <w:jc w:val="left"/>
        <w:rPr>
          <w:rFonts w:ascii="Garamond" w:hAnsi="Garamond"/>
          <w:b/>
          <w:bCs/>
          <w:color w:val="0070C0"/>
          <w:sz w:val="24"/>
          <w:szCs w:val="24"/>
        </w:rPr>
      </w:pPr>
      <w:r w:rsidRPr="00DD5AB5">
        <w:rPr>
          <w:rFonts w:ascii="Garamond" w:hAnsi="Garamond"/>
          <w:b/>
          <w:bCs/>
          <w:color w:val="0070C0"/>
          <w:sz w:val="24"/>
          <w:szCs w:val="24"/>
        </w:rPr>
        <w:t>IV.4. WYMAGANIA W ZAKRESIE PLANU OBRONY SYSTEMU I ODBUDOWY</w:t>
      </w:r>
    </w:p>
    <w:p w14:paraId="73B02322" w14:textId="727B0E23" w:rsidR="00DD5AB5" w:rsidRPr="00DD5AB5" w:rsidRDefault="00DD5AB5" w:rsidP="00DD5AB5">
      <w:pPr>
        <w:spacing w:line="253" w:lineRule="auto"/>
        <w:ind w:left="708" w:right="-3" w:hanging="708"/>
        <w:jc w:val="left"/>
        <w:rPr>
          <w:rFonts w:ascii="Garamond" w:hAnsi="Garamond"/>
          <w:color w:val="0070C0"/>
          <w:sz w:val="24"/>
          <w:szCs w:val="24"/>
        </w:rPr>
      </w:pPr>
      <w:r w:rsidRPr="00DD5AB5">
        <w:rPr>
          <w:rFonts w:ascii="Garamond" w:hAnsi="Garamond"/>
          <w:color w:val="0070C0"/>
          <w:sz w:val="24"/>
          <w:szCs w:val="24"/>
        </w:rPr>
        <w:t xml:space="preserve">IV.4.1. </w:t>
      </w:r>
      <w:r w:rsidRPr="00DD5AB5">
        <w:rPr>
          <w:rFonts w:ascii="Garamond" w:hAnsi="Garamond"/>
          <w:color w:val="0070C0"/>
          <w:sz w:val="24"/>
          <w:szCs w:val="24"/>
        </w:rPr>
        <w:tab/>
        <w:t>Użytkownicy systemu przyłączeni do sieci ID Sp. z o.o. (w szczególności podmioty zaliczane do grupy SGU) zobowiązani są do współdziałania z ID Sp. z o.o. oraz Operatorem Systemu Przesyłowego w zakresie realizacji Planu Obrony Systemu i Planu Odbudowy.</w:t>
      </w:r>
    </w:p>
    <w:p w14:paraId="68DE224F" w14:textId="41D64432" w:rsidR="00DD5AB5" w:rsidRDefault="00DD5AB5" w:rsidP="009434A4">
      <w:pPr>
        <w:spacing w:line="253" w:lineRule="auto"/>
        <w:ind w:left="567" w:right="-3" w:hanging="567"/>
        <w:jc w:val="left"/>
        <w:rPr>
          <w:rFonts w:ascii="Garamond" w:hAnsi="Garamond"/>
          <w:color w:val="0070C0"/>
          <w:sz w:val="24"/>
          <w:szCs w:val="24"/>
        </w:rPr>
      </w:pPr>
      <w:r w:rsidRPr="00DD5AB5">
        <w:rPr>
          <w:rFonts w:ascii="Garamond" w:hAnsi="Garamond"/>
          <w:color w:val="0070C0"/>
          <w:sz w:val="24"/>
          <w:szCs w:val="24"/>
        </w:rPr>
        <w:t xml:space="preserve">IV.4.2. </w:t>
      </w:r>
      <w:r w:rsidRPr="00DD5AB5">
        <w:rPr>
          <w:rFonts w:ascii="Garamond" w:hAnsi="Garamond"/>
          <w:color w:val="0070C0"/>
          <w:sz w:val="24"/>
          <w:szCs w:val="24"/>
        </w:rPr>
        <w:tab/>
        <w:t>Użytkownicy są zobowiązani do dostosowania swoich urządzeń do wymogów określonych w „Wymogach ogólnego stosowania” (NC ER) oraz realizacji poleceń dyspozytorskich w stanach zagrożenia bezpieczeństwa sieci.</w:t>
      </w:r>
    </w:p>
    <w:p w14:paraId="4F1157F5" w14:textId="77777777" w:rsidR="00DD5AB5" w:rsidRPr="00DD5AB5" w:rsidRDefault="00DD5AB5" w:rsidP="00DD5AB5">
      <w:pPr>
        <w:spacing w:line="253" w:lineRule="auto"/>
        <w:ind w:left="567" w:right="-3" w:hanging="567"/>
        <w:jc w:val="left"/>
        <w:rPr>
          <w:rFonts w:ascii="Garamond" w:hAnsi="Garamond"/>
          <w:color w:val="0070C0"/>
          <w:sz w:val="24"/>
          <w:szCs w:val="24"/>
        </w:rPr>
      </w:pPr>
      <w:r w:rsidRPr="00DD5AB5">
        <w:rPr>
          <w:rFonts w:ascii="Garamond" w:hAnsi="Garamond"/>
          <w:b/>
          <w:bCs/>
          <w:color w:val="0070C0"/>
          <w:sz w:val="24"/>
          <w:szCs w:val="24"/>
        </w:rPr>
        <w:t>IV.5. REDYSPONOWANIE NIERYNKOWE</w:t>
      </w:r>
    </w:p>
    <w:p w14:paraId="67681EF4" w14:textId="77777777" w:rsidR="00DD5AB5" w:rsidRPr="00DD5AB5" w:rsidRDefault="00DD5AB5" w:rsidP="00DD5AB5">
      <w:pPr>
        <w:spacing w:line="253" w:lineRule="auto"/>
        <w:ind w:left="567" w:right="-3" w:hanging="567"/>
        <w:jc w:val="left"/>
        <w:rPr>
          <w:rFonts w:ascii="Garamond" w:hAnsi="Garamond"/>
          <w:color w:val="0070C0"/>
          <w:sz w:val="24"/>
          <w:szCs w:val="24"/>
        </w:rPr>
      </w:pPr>
      <w:r w:rsidRPr="00DD5AB5">
        <w:rPr>
          <w:rFonts w:ascii="Garamond" w:hAnsi="Garamond"/>
          <w:b/>
          <w:bCs/>
          <w:color w:val="0070C0"/>
          <w:sz w:val="24"/>
          <w:szCs w:val="24"/>
        </w:rPr>
        <w:t>IV.5.1.</w:t>
      </w:r>
      <w:r w:rsidRPr="00DD5AB5">
        <w:rPr>
          <w:rFonts w:ascii="Garamond" w:hAnsi="Garamond"/>
          <w:color w:val="0070C0"/>
          <w:sz w:val="24"/>
          <w:szCs w:val="24"/>
        </w:rPr>
        <w:t xml:space="preserve"> ID Sp. z o.o., działając samodzielnie lub na polecenie Operatora Systemu Przesyłowego (bezpośrednio lub za pośrednictwem OSDp), ma prawo do wydania polecenia redukcji generacji mocy czynnej jednostek wytwórczych i magazynów energii przyłączonych do swojej sieci (</w:t>
      </w:r>
      <w:proofErr w:type="spellStart"/>
      <w:r w:rsidRPr="00DD5AB5">
        <w:rPr>
          <w:rFonts w:ascii="Garamond" w:hAnsi="Garamond"/>
          <w:color w:val="0070C0"/>
          <w:sz w:val="24"/>
          <w:szCs w:val="24"/>
        </w:rPr>
        <w:t>redysponowanie</w:t>
      </w:r>
      <w:proofErr w:type="spellEnd"/>
      <w:r w:rsidRPr="00DD5AB5">
        <w:rPr>
          <w:rFonts w:ascii="Garamond" w:hAnsi="Garamond"/>
          <w:color w:val="0070C0"/>
          <w:sz w:val="24"/>
          <w:szCs w:val="24"/>
        </w:rPr>
        <w:t xml:space="preserve"> nierynkowe), w celu zapewnienia bezpieczeństwa pracy sieci.</w:t>
      </w:r>
    </w:p>
    <w:p w14:paraId="20786563" w14:textId="4CD1E7B5" w:rsidR="00DD5AB5" w:rsidRDefault="00DD5AB5" w:rsidP="00DD5AB5">
      <w:pPr>
        <w:spacing w:line="253" w:lineRule="auto"/>
        <w:ind w:left="567" w:right="-3" w:hanging="567"/>
        <w:jc w:val="left"/>
        <w:rPr>
          <w:rFonts w:ascii="Garamond" w:hAnsi="Garamond"/>
          <w:color w:val="0070C0"/>
          <w:sz w:val="24"/>
          <w:szCs w:val="24"/>
        </w:rPr>
      </w:pPr>
      <w:r w:rsidRPr="00DD5AB5">
        <w:rPr>
          <w:rFonts w:ascii="Garamond" w:hAnsi="Garamond"/>
          <w:b/>
          <w:bCs/>
          <w:color w:val="0070C0"/>
          <w:sz w:val="24"/>
          <w:szCs w:val="24"/>
        </w:rPr>
        <w:t>IV.5.2.</w:t>
      </w:r>
      <w:r w:rsidRPr="00DD5AB5">
        <w:rPr>
          <w:rFonts w:ascii="Garamond" w:hAnsi="Garamond"/>
          <w:color w:val="0070C0"/>
          <w:sz w:val="24"/>
          <w:szCs w:val="24"/>
        </w:rPr>
        <w:t xml:space="preserve"> Wytwórcy zobowiązani są do niezwłocznego wykonania poleceń, o których mowa w pkt IV.</w:t>
      </w:r>
      <w:r w:rsidR="00C73787">
        <w:rPr>
          <w:rFonts w:ascii="Garamond" w:hAnsi="Garamond"/>
          <w:color w:val="0070C0"/>
          <w:sz w:val="24"/>
          <w:szCs w:val="24"/>
        </w:rPr>
        <w:t>5</w:t>
      </w:r>
      <w:r w:rsidRPr="00DD5AB5">
        <w:rPr>
          <w:rFonts w:ascii="Garamond" w:hAnsi="Garamond"/>
          <w:color w:val="0070C0"/>
          <w:sz w:val="24"/>
          <w:szCs w:val="24"/>
        </w:rPr>
        <w:t>.1.</w:t>
      </w:r>
    </w:p>
    <w:p w14:paraId="516C0A66" w14:textId="77777777" w:rsidR="00DD5AB5" w:rsidRDefault="00DD5AB5" w:rsidP="00DD5AB5">
      <w:pPr>
        <w:spacing w:line="253" w:lineRule="auto"/>
        <w:ind w:right="-3"/>
        <w:jc w:val="left"/>
        <w:rPr>
          <w:rFonts w:ascii="Garamond" w:hAnsi="Garamond"/>
          <w:sz w:val="24"/>
          <w:szCs w:val="24"/>
        </w:rPr>
      </w:pPr>
    </w:p>
    <w:p w14:paraId="397DDCFD" w14:textId="77777777" w:rsidR="00450EF0" w:rsidRDefault="00450EF0" w:rsidP="00DD5AB5">
      <w:pPr>
        <w:spacing w:line="253" w:lineRule="auto"/>
        <w:ind w:right="-3"/>
        <w:jc w:val="left"/>
        <w:rPr>
          <w:rFonts w:ascii="Garamond" w:hAnsi="Garamond"/>
          <w:sz w:val="24"/>
          <w:szCs w:val="24"/>
        </w:rPr>
      </w:pPr>
    </w:p>
    <w:p w14:paraId="2390420C" w14:textId="77777777" w:rsidR="00450EF0" w:rsidRDefault="00450EF0" w:rsidP="00DD5AB5">
      <w:pPr>
        <w:spacing w:line="253" w:lineRule="auto"/>
        <w:ind w:right="-3"/>
        <w:jc w:val="left"/>
        <w:rPr>
          <w:rFonts w:ascii="Garamond" w:hAnsi="Garamond"/>
          <w:sz w:val="24"/>
          <w:szCs w:val="24"/>
        </w:rPr>
      </w:pPr>
    </w:p>
    <w:p w14:paraId="379DDE6B" w14:textId="77777777" w:rsidR="00450EF0" w:rsidRDefault="00450EF0" w:rsidP="00DD5AB5">
      <w:pPr>
        <w:spacing w:line="253" w:lineRule="auto"/>
        <w:ind w:right="-3"/>
        <w:jc w:val="left"/>
        <w:rPr>
          <w:rFonts w:ascii="Garamond" w:hAnsi="Garamond"/>
          <w:sz w:val="24"/>
          <w:szCs w:val="24"/>
        </w:rPr>
      </w:pPr>
    </w:p>
    <w:p w14:paraId="6F3EC49D" w14:textId="77777777" w:rsidR="00450EF0" w:rsidRDefault="00450EF0" w:rsidP="00DD5AB5">
      <w:pPr>
        <w:spacing w:line="253" w:lineRule="auto"/>
        <w:ind w:right="-3"/>
        <w:jc w:val="left"/>
        <w:rPr>
          <w:rFonts w:ascii="Garamond" w:hAnsi="Garamond"/>
          <w:sz w:val="24"/>
          <w:szCs w:val="24"/>
        </w:rPr>
      </w:pPr>
    </w:p>
    <w:p w14:paraId="19E1CE1E" w14:textId="77777777" w:rsidR="00450EF0" w:rsidRDefault="00450EF0" w:rsidP="00DD5AB5">
      <w:pPr>
        <w:spacing w:line="253" w:lineRule="auto"/>
        <w:ind w:right="-3"/>
        <w:jc w:val="left"/>
        <w:rPr>
          <w:rFonts w:ascii="Garamond" w:hAnsi="Garamond"/>
          <w:sz w:val="24"/>
          <w:szCs w:val="24"/>
        </w:rPr>
      </w:pPr>
    </w:p>
    <w:p w14:paraId="1C08E107" w14:textId="77777777" w:rsidR="00450EF0" w:rsidRDefault="00450EF0" w:rsidP="00DD5AB5">
      <w:pPr>
        <w:spacing w:line="253" w:lineRule="auto"/>
        <w:ind w:right="-3"/>
        <w:jc w:val="left"/>
        <w:rPr>
          <w:rFonts w:ascii="Garamond" w:hAnsi="Garamond"/>
          <w:sz w:val="24"/>
          <w:szCs w:val="24"/>
        </w:rPr>
      </w:pPr>
    </w:p>
    <w:p w14:paraId="12432563" w14:textId="77777777" w:rsidR="00450EF0" w:rsidRDefault="00450EF0" w:rsidP="00DD5AB5">
      <w:pPr>
        <w:spacing w:line="253" w:lineRule="auto"/>
        <w:ind w:right="-3"/>
        <w:jc w:val="left"/>
        <w:rPr>
          <w:rFonts w:ascii="Garamond" w:hAnsi="Garamond"/>
          <w:sz w:val="24"/>
          <w:szCs w:val="24"/>
        </w:rPr>
      </w:pPr>
    </w:p>
    <w:p w14:paraId="10CD4B72" w14:textId="77777777" w:rsidR="00450EF0" w:rsidRDefault="00450EF0" w:rsidP="00DD5AB5">
      <w:pPr>
        <w:spacing w:line="253" w:lineRule="auto"/>
        <w:ind w:right="-3"/>
        <w:jc w:val="left"/>
        <w:rPr>
          <w:rFonts w:ascii="Garamond" w:hAnsi="Garamond"/>
          <w:sz w:val="24"/>
          <w:szCs w:val="24"/>
        </w:rPr>
      </w:pPr>
    </w:p>
    <w:p w14:paraId="231D5744" w14:textId="77777777" w:rsidR="00450EF0" w:rsidRDefault="00450EF0" w:rsidP="00DD5AB5">
      <w:pPr>
        <w:spacing w:line="253" w:lineRule="auto"/>
        <w:ind w:right="-3"/>
        <w:jc w:val="left"/>
        <w:rPr>
          <w:rFonts w:ascii="Garamond" w:hAnsi="Garamond"/>
          <w:sz w:val="24"/>
          <w:szCs w:val="24"/>
        </w:rPr>
      </w:pPr>
    </w:p>
    <w:p w14:paraId="1011C15B" w14:textId="77777777" w:rsidR="00450EF0" w:rsidRDefault="00450EF0" w:rsidP="00DD5AB5">
      <w:pPr>
        <w:spacing w:line="253" w:lineRule="auto"/>
        <w:ind w:right="-3"/>
        <w:jc w:val="left"/>
        <w:rPr>
          <w:rFonts w:ascii="Garamond" w:hAnsi="Garamond"/>
          <w:sz w:val="24"/>
          <w:szCs w:val="24"/>
        </w:rPr>
      </w:pPr>
    </w:p>
    <w:p w14:paraId="2F4D5197" w14:textId="77777777" w:rsidR="00450EF0" w:rsidRDefault="00450EF0" w:rsidP="00DD5AB5">
      <w:pPr>
        <w:spacing w:line="253" w:lineRule="auto"/>
        <w:ind w:right="-3"/>
        <w:jc w:val="left"/>
        <w:rPr>
          <w:rFonts w:ascii="Garamond" w:hAnsi="Garamond"/>
          <w:sz w:val="24"/>
          <w:szCs w:val="24"/>
        </w:rPr>
      </w:pPr>
    </w:p>
    <w:p w14:paraId="7A6AE38F" w14:textId="77777777" w:rsidR="00450EF0" w:rsidRDefault="00450EF0" w:rsidP="00DD5AB5">
      <w:pPr>
        <w:spacing w:line="253" w:lineRule="auto"/>
        <w:ind w:right="-3"/>
        <w:jc w:val="left"/>
        <w:rPr>
          <w:rFonts w:ascii="Garamond" w:hAnsi="Garamond"/>
          <w:sz w:val="24"/>
          <w:szCs w:val="24"/>
        </w:rPr>
      </w:pPr>
    </w:p>
    <w:p w14:paraId="026135BD" w14:textId="77777777" w:rsidR="00450EF0" w:rsidRDefault="00450EF0" w:rsidP="00DD5AB5">
      <w:pPr>
        <w:spacing w:line="253" w:lineRule="auto"/>
        <w:ind w:right="-3"/>
        <w:jc w:val="left"/>
        <w:rPr>
          <w:rFonts w:ascii="Garamond" w:hAnsi="Garamond"/>
          <w:sz w:val="24"/>
          <w:szCs w:val="24"/>
        </w:rPr>
      </w:pPr>
    </w:p>
    <w:p w14:paraId="6868A83F" w14:textId="77777777" w:rsidR="00450EF0" w:rsidRDefault="00450EF0" w:rsidP="00DD5AB5">
      <w:pPr>
        <w:spacing w:line="253" w:lineRule="auto"/>
        <w:ind w:right="-3"/>
        <w:jc w:val="left"/>
        <w:rPr>
          <w:rFonts w:ascii="Garamond" w:hAnsi="Garamond"/>
          <w:sz w:val="24"/>
          <w:szCs w:val="24"/>
        </w:rPr>
      </w:pPr>
    </w:p>
    <w:p w14:paraId="44854DE7" w14:textId="77777777" w:rsidR="00450EF0" w:rsidRDefault="00450EF0" w:rsidP="00DD5AB5">
      <w:pPr>
        <w:spacing w:line="253" w:lineRule="auto"/>
        <w:ind w:right="-3"/>
        <w:jc w:val="left"/>
        <w:rPr>
          <w:rFonts w:ascii="Garamond" w:hAnsi="Garamond"/>
          <w:sz w:val="24"/>
          <w:szCs w:val="24"/>
        </w:rPr>
      </w:pPr>
    </w:p>
    <w:p w14:paraId="070A0AD3" w14:textId="77777777" w:rsidR="00450EF0" w:rsidRDefault="00450EF0" w:rsidP="00DD5AB5">
      <w:pPr>
        <w:spacing w:line="253" w:lineRule="auto"/>
        <w:ind w:right="-3"/>
        <w:jc w:val="left"/>
        <w:rPr>
          <w:rFonts w:ascii="Garamond" w:hAnsi="Garamond"/>
          <w:sz w:val="24"/>
          <w:szCs w:val="24"/>
        </w:rPr>
      </w:pPr>
    </w:p>
    <w:p w14:paraId="5D788F67" w14:textId="77777777" w:rsidR="00450EF0" w:rsidRPr="00AE3F1B" w:rsidRDefault="00450EF0" w:rsidP="00DD5AB5">
      <w:pPr>
        <w:spacing w:line="253" w:lineRule="auto"/>
        <w:ind w:right="-3"/>
        <w:jc w:val="left"/>
        <w:rPr>
          <w:rFonts w:ascii="Garamond" w:hAnsi="Garamond"/>
          <w:sz w:val="24"/>
          <w:szCs w:val="24"/>
        </w:rPr>
      </w:pPr>
    </w:p>
    <w:p w14:paraId="5C91213B" w14:textId="089F50E7" w:rsidR="00900EE3" w:rsidRPr="004B69ED" w:rsidRDefault="008F1DCB" w:rsidP="00450EF0">
      <w:pPr>
        <w:keepNext/>
        <w:keepLines/>
        <w:spacing w:after="0" w:line="248" w:lineRule="auto"/>
        <w:ind w:left="567" w:right="-3" w:hanging="567"/>
        <w:jc w:val="left"/>
        <w:outlineLvl w:val="0"/>
        <w:rPr>
          <w:rFonts w:asciiTheme="majorHAnsi" w:hAnsiTheme="majorHAnsi"/>
          <w:sz w:val="24"/>
          <w:szCs w:val="24"/>
        </w:rPr>
      </w:pPr>
      <w:bookmarkStart w:id="75" w:name="_Hlk171928584"/>
      <w:r w:rsidRPr="004B69ED">
        <w:rPr>
          <w:rFonts w:asciiTheme="majorHAnsi" w:hAnsiTheme="majorHAnsi"/>
          <w:b/>
          <w:bCs/>
          <w:noProof/>
          <w:sz w:val="24"/>
          <w:szCs w:val="24"/>
        </w:rPr>
        <w:t>V.</w:t>
      </w:r>
      <w:r w:rsidR="00645717">
        <w:rPr>
          <w:rFonts w:asciiTheme="majorHAnsi" w:hAnsiTheme="majorHAnsi"/>
          <w:b/>
          <w:bCs/>
          <w:noProof/>
          <w:sz w:val="24"/>
          <w:szCs w:val="24"/>
        </w:rPr>
        <w:t xml:space="preserve">      </w:t>
      </w:r>
      <w:bookmarkStart w:id="76" w:name="_Toc171860250"/>
      <w:bookmarkStart w:id="77" w:name="_Toc171861064"/>
      <w:r w:rsidR="006F5C6E" w:rsidRPr="004B69ED">
        <w:rPr>
          <w:rFonts w:asciiTheme="majorHAnsi" w:hAnsiTheme="majorHAnsi"/>
          <w:b/>
          <w:bCs/>
          <w:sz w:val="24"/>
          <w:szCs w:val="24"/>
        </w:rPr>
        <w:t xml:space="preserve">Współpraca ID Sp. z o.o. z innymi </w:t>
      </w:r>
      <w:r w:rsidR="00C73787" w:rsidRPr="004B69ED">
        <w:rPr>
          <w:rFonts w:asciiTheme="majorHAnsi" w:hAnsiTheme="majorHAnsi"/>
          <w:b/>
          <w:bCs/>
          <w:sz w:val="24"/>
          <w:szCs w:val="24"/>
        </w:rPr>
        <w:t>operatorami i</w:t>
      </w:r>
      <w:r w:rsidR="006F5C6E" w:rsidRPr="004B69ED">
        <w:rPr>
          <w:rFonts w:asciiTheme="majorHAnsi" w:hAnsiTheme="majorHAnsi"/>
          <w:b/>
          <w:bCs/>
          <w:sz w:val="24"/>
          <w:szCs w:val="24"/>
        </w:rPr>
        <w:t xml:space="preserve"> przekazywanie informacji pomiędzy operatorami oraz operatorami a użytkownikami systemu</w:t>
      </w:r>
      <w:bookmarkEnd w:id="76"/>
      <w:bookmarkEnd w:id="77"/>
    </w:p>
    <w:p w14:paraId="46B4BDB5" w14:textId="7DF42845" w:rsidR="00900EE3" w:rsidRPr="00AE3F1B" w:rsidRDefault="008F1DCB" w:rsidP="00450EF0">
      <w:pPr>
        <w:tabs>
          <w:tab w:val="center" w:pos="4497"/>
        </w:tabs>
        <w:spacing w:after="0" w:line="253" w:lineRule="auto"/>
        <w:ind w:left="567" w:right="-3" w:hanging="567"/>
        <w:jc w:val="left"/>
        <w:rPr>
          <w:rFonts w:ascii="Garamond" w:hAnsi="Garamond"/>
          <w:sz w:val="24"/>
          <w:szCs w:val="24"/>
        </w:rPr>
      </w:pPr>
      <w:r w:rsidRPr="00AE3F1B">
        <w:rPr>
          <w:rFonts w:ascii="Garamond" w:hAnsi="Garamond"/>
          <w:sz w:val="24"/>
          <w:szCs w:val="24"/>
        </w:rPr>
        <w:t>V.1.</w:t>
      </w:r>
      <w:r w:rsidR="009504A7">
        <w:rPr>
          <w:rFonts w:ascii="Garamond" w:hAnsi="Garamond"/>
          <w:sz w:val="24"/>
          <w:szCs w:val="24"/>
        </w:rPr>
        <w:t xml:space="preserve"> </w:t>
      </w:r>
      <w:r w:rsidR="00900EE3" w:rsidRPr="00AE3F1B">
        <w:rPr>
          <w:rFonts w:ascii="Garamond" w:hAnsi="Garamond"/>
          <w:sz w:val="24"/>
          <w:szCs w:val="24"/>
        </w:rPr>
        <w:t>ID Sp. z o.o. współpracuje z następującymi operatorami:</w:t>
      </w:r>
    </w:p>
    <w:p w14:paraId="1EDEAA76" w14:textId="77777777" w:rsidR="00900EE3" w:rsidRPr="009504A7" w:rsidRDefault="00900EE3">
      <w:pPr>
        <w:pStyle w:val="Akapitzlist"/>
        <w:numPr>
          <w:ilvl w:val="0"/>
          <w:numId w:val="125"/>
        </w:numPr>
        <w:spacing w:line="253" w:lineRule="auto"/>
        <w:ind w:right="-3"/>
        <w:jc w:val="left"/>
        <w:rPr>
          <w:rFonts w:ascii="Garamond" w:hAnsi="Garamond"/>
          <w:sz w:val="24"/>
          <w:szCs w:val="24"/>
        </w:rPr>
      </w:pPr>
      <w:r w:rsidRPr="009504A7">
        <w:rPr>
          <w:rFonts w:ascii="Garamond" w:hAnsi="Garamond"/>
          <w:sz w:val="24"/>
          <w:szCs w:val="24"/>
        </w:rPr>
        <w:t>operatorem systemu dystrybucyjnego PGE Dystrybucja S.A.,</w:t>
      </w:r>
    </w:p>
    <w:p w14:paraId="5F3E454F" w14:textId="77777777" w:rsidR="00900EE3" w:rsidRPr="009504A7" w:rsidRDefault="00900EE3">
      <w:pPr>
        <w:pStyle w:val="Akapitzlist"/>
        <w:numPr>
          <w:ilvl w:val="0"/>
          <w:numId w:val="125"/>
        </w:numPr>
        <w:spacing w:line="253" w:lineRule="auto"/>
        <w:ind w:right="-3"/>
        <w:jc w:val="left"/>
        <w:rPr>
          <w:rFonts w:ascii="Garamond" w:hAnsi="Garamond"/>
          <w:sz w:val="24"/>
          <w:szCs w:val="24"/>
        </w:rPr>
      </w:pPr>
      <w:r w:rsidRPr="009504A7">
        <w:rPr>
          <w:rFonts w:ascii="Garamond" w:hAnsi="Garamond"/>
          <w:sz w:val="24"/>
          <w:szCs w:val="24"/>
        </w:rPr>
        <w:t>operatorami handlowo-technicznymi,</w:t>
      </w:r>
    </w:p>
    <w:p w14:paraId="72F5DCBC" w14:textId="77777777" w:rsidR="00900EE3" w:rsidRPr="009504A7" w:rsidRDefault="00900EE3">
      <w:pPr>
        <w:pStyle w:val="Akapitzlist"/>
        <w:numPr>
          <w:ilvl w:val="0"/>
          <w:numId w:val="125"/>
        </w:numPr>
        <w:spacing w:line="253" w:lineRule="auto"/>
        <w:ind w:right="-3"/>
        <w:jc w:val="left"/>
        <w:rPr>
          <w:rFonts w:ascii="Garamond" w:hAnsi="Garamond"/>
          <w:sz w:val="24"/>
          <w:szCs w:val="24"/>
        </w:rPr>
      </w:pPr>
      <w:r w:rsidRPr="009504A7">
        <w:rPr>
          <w:rFonts w:ascii="Garamond" w:hAnsi="Garamond"/>
          <w:sz w:val="24"/>
          <w:szCs w:val="24"/>
        </w:rPr>
        <w:t>operatorami handlowymi,</w:t>
      </w:r>
    </w:p>
    <w:p w14:paraId="5D220DDC" w14:textId="77777777" w:rsidR="00900EE3" w:rsidRPr="009504A7" w:rsidRDefault="00900EE3">
      <w:pPr>
        <w:pStyle w:val="Akapitzlist"/>
        <w:numPr>
          <w:ilvl w:val="0"/>
          <w:numId w:val="125"/>
        </w:numPr>
        <w:spacing w:line="253" w:lineRule="auto"/>
        <w:ind w:right="-3"/>
        <w:jc w:val="left"/>
        <w:rPr>
          <w:rFonts w:ascii="Garamond" w:hAnsi="Garamond"/>
          <w:sz w:val="24"/>
          <w:szCs w:val="24"/>
        </w:rPr>
      </w:pPr>
      <w:r w:rsidRPr="009504A7">
        <w:rPr>
          <w:rFonts w:ascii="Garamond" w:hAnsi="Garamond"/>
          <w:sz w:val="24"/>
          <w:szCs w:val="24"/>
        </w:rPr>
        <w:t>operatorami pomiarów oraz odbiorcami i wytwórcami.</w:t>
      </w:r>
    </w:p>
    <w:p w14:paraId="7E7A8A9C" w14:textId="501B6DE6" w:rsidR="00900EE3" w:rsidRPr="00AE3F1B" w:rsidRDefault="00B369AF" w:rsidP="00B369AF">
      <w:pPr>
        <w:spacing w:after="222" w:line="253" w:lineRule="auto"/>
        <w:ind w:left="360" w:right="-3" w:hanging="360"/>
        <w:jc w:val="left"/>
        <w:rPr>
          <w:rFonts w:ascii="Garamond" w:hAnsi="Garamond"/>
          <w:sz w:val="24"/>
          <w:szCs w:val="24"/>
        </w:rPr>
      </w:pPr>
      <w:r w:rsidRPr="00AE3F1B">
        <w:rPr>
          <w:rFonts w:ascii="Garamond" w:hAnsi="Garamond"/>
          <w:sz w:val="24"/>
          <w:szCs w:val="24"/>
        </w:rPr>
        <w:t xml:space="preserve">V.2. </w:t>
      </w:r>
      <w:r w:rsidR="00900EE3" w:rsidRPr="00AE3F1B">
        <w:rPr>
          <w:rFonts w:ascii="Garamond" w:hAnsi="Garamond"/>
          <w:sz w:val="24"/>
          <w:szCs w:val="24"/>
        </w:rPr>
        <w:t>Zasady i zakres współpracy ID Sp. z o.o. z operatorem systemu przesyłowego, tj. PSE Operator</w:t>
      </w:r>
      <w:r>
        <w:rPr>
          <w:rFonts w:ascii="Garamond" w:hAnsi="Garamond"/>
          <w:sz w:val="24"/>
          <w:szCs w:val="24"/>
        </w:rPr>
        <w:t xml:space="preserve"> </w:t>
      </w:r>
      <w:r w:rsidR="00900EE3" w:rsidRPr="00AE3F1B">
        <w:rPr>
          <w:rFonts w:ascii="Garamond" w:hAnsi="Garamond"/>
          <w:sz w:val="24"/>
          <w:szCs w:val="24"/>
        </w:rPr>
        <w:t xml:space="preserve">S.A. są określone w Umowie o świadczenie usługi udostępniania KSE. Współpraca ID Sp. z o.o. z operatorem systemu przesyłowego odbywa się za pośrednictwem PGE Dystrybucja S.A. na zasadach opisanych w </w:t>
      </w:r>
      <w:r w:rsidR="005A49CC" w:rsidRPr="005A49CC">
        <w:rPr>
          <w:rFonts w:ascii="Garamond" w:hAnsi="Garamond"/>
          <w:sz w:val="24"/>
          <w:szCs w:val="24"/>
        </w:rPr>
        <w:t>IRiESD</w:t>
      </w:r>
      <w:r w:rsidR="00900EE3" w:rsidRPr="00AE3F1B">
        <w:rPr>
          <w:rFonts w:ascii="Garamond" w:hAnsi="Garamond"/>
          <w:sz w:val="24"/>
          <w:szCs w:val="24"/>
        </w:rPr>
        <w:t xml:space="preserve"> PGE Dystrybucja S.A.</w:t>
      </w:r>
    </w:p>
    <w:p w14:paraId="3E246CC5" w14:textId="4753FAE1" w:rsidR="00900EE3" w:rsidRPr="00AE3F1B" w:rsidRDefault="00B369AF" w:rsidP="00B369AF">
      <w:pPr>
        <w:spacing w:after="184" w:line="253" w:lineRule="auto"/>
        <w:ind w:left="360" w:right="-3" w:hanging="360"/>
        <w:jc w:val="left"/>
        <w:rPr>
          <w:rFonts w:ascii="Garamond" w:hAnsi="Garamond"/>
          <w:sz w:val="24"/>
          <w:szCs w:val="24"/>
        </w:rPr>
      </w:pPr>
      <w:r w:rsidRPr="00AE3F1B">
        <w:rPr>
          <w:rFonts w:ascii="Garamond" w:hAnsi="Garamond"/>
          <w:sz w:val="24"/>
          <w:szCs w:val="24"/>
        </w:rPr>
        <w:t>V.3</w:t>
      </w:r>
      <w:r>
        <w:rPr>
          <w:rFonts w:ascii="Garamond" w:hAnsi="Garamond"/>
          <w:sz w:val="24"/>
          <w:szCs w:val="24"/>
        </w:rPr>
        <w:t xml:space="preserve">. </w:t>
      </w:r>
      <w:r w:rsidR="00900EE3" w:rsidRPr="00AE3F1B">
        <w:rPr>
          <w:rFonts w:ascii="Garamond" w:hAnsi="Garamond"/>
          <w:sz w:val="24"/>
          <w:szCs w:val="24"/>
        </w:rPr>
        <w:t>Współpraca ID Sp. z o.o. z operatorami handlowo-technicznymi, operatorami handlowymi oraz</w:t>
      </w:r>
      <w:r>
        <w:rPr>
          <w:rFonts w:ascii="Garamond" w:hAnsi="Garamond"/>
          <w:sz w:val="24"/>
          <w:szCs w:val="24"/>
        </w:rPr>
        <w:t xml:space="preserve"> </w:t>
      </w:r>
      <w:r w:rsidR="00900EE3" w:rsidRPr="00AE3F1B">
        <w:rPr>
          <w:rFonts w:ascii="Garamond" w:hAnsi="Garamond"/>
          <w:sz w:val="24"/>
          <w:szCs w:val="24"/>
        </w:rPr>
        <w:t xml:space="preserve">operatorami pomiarów jest określona w części </w:t>
      </w:r>
      <w:r w:rsidR="005A49CC" w:rsidRPr="005A49CC">
        <w:rPr>
          <w:rFonts w:ascii="Garamond" w:hAnsi="Garamond"/>
          <w:sz w:val="24"/>
          <w:szCs w:val="24"/>
        </w:rPr>
        <w:t xml:space="preserve">IRiESD </w:t>
      </w:r>
      <w:r w:rsidR="00900EE3" w:rsidRPr="00AE3F1B">
        <w:rPr>
          <w:rFonts w:ascii="Garamond" w:hAnsi="Garamond"/>
          <w:sz w:val="24"/>
          <w:szCs w:val="24"/>
        </w:rPr>
        <w:t>-Bilansowanie.</w:t>
      </w:r>
    </w:p>
    <w:p w14:paraId="166DA333" w14:textId="7DE2C231" w:rsidR="00900EE3" w:rsidRPr="00450EF0" w:rsidRDefault="00450EF0" w:rsidP="00450EF0">
      <w:pPr>
        <w:spacing w:after="185" w:line="253" w:lineRule="auto"/>
        <w:ind w:left="360" w:right="-3" w:hanging="360"/>
        <w:jc w:val="left"/>
        <w:rPr>
          <w:rFonts w:ascii="Garamond" w:hAnsi="Garamond"/>
          <w:color w:val="0B769F" w:themeColor="accent4" w:themeShade="BF"/>
          <w:sz w:val="24"/>
          <w:szCs w:val="24"/>
        </w:rPr>
      </w:pPr>
      <w:r w:rsidRPr="00450EF0">
        <w:rPr>
          <w:rFonts w:ascii="Garamond" w:hAnsi="Garamond"/>
          <w:color w:val="0B769F" w:themeColor="accent4" w:themeShade="BF"/>
          <w:sz w:val="24"/>
          <w:szCs w:val="24"/>
        </w:rPr>
        <w:t xml:space="preserve">V.4. </w:t>
      </w:r>
      <w:r w:rsidR="00900EE3" w:rsidRPr="00450EF0">
        <w:rPr>
          <w:rFonts w:ascii="Garamond" w:hAnsi="Garamond"/>
          <w:color w:val="0B769F" w:themeColor="accent4" w:themeShade="BF"/>
          <w:sz w:val="24"/>
          <w:szCs w:val="24"/>
        </w:rPr>
        <w:t>Operatorzy handlowo-technicznymi oraz operatorzy handlowi są zobowiązani do podpisania stosownej umowy z operatorem systemu przesyłowego oraz z właściwymi operatorami systemu dystrybucyjnego, jeżeli ich działalność dotyczy podmiotów przyłączonych do sieci dystrybucyjnej.</w:t>
      </w:r>
    </w:p>
    <w:p w14:paraId="071AA902" w14:textId="18D1C3DF" w:rsidR="00900EE3" w:rsidRPr="00AE3F1B" w:rsidRDefault="00450EF0" w:rsidP="00450EF0">
      <w:pPr>
        <w:spacing w:after="220" w:line="253" w:lineRule="auto"/>
        <w:ind w:left="360" w:right="-3" w:hanging="360"/>
        <w:jc w:val="left"/>
        <w:rPr>
          <w:rFonts w:ascii="Garamond" w:hAnsi="Garamond"/>
          <w:sz w:val="24"/>
          <w:szCs w:val="24"/>
        </w:rPr>
      </w:pPr>
      <w:r w:rsidRPr="00AE3F1B">
        <w:rPr>
          <w:rFonts w:ascii="Garamond" w:hAnsi="Garamond"/>
          <w:sz w:val="24"/>
          <w:szCs w:val="24"/>
        </w:rPr>
        <w:t>V.5.</w:t>
      </w:r>
      <w:r w:rsidR="00900EE3" w:rsidRPr="00AE3F1B">
        <w:rPr>
          <w:rFonts w:ascii="Garamond" w:hAnsi="Garamond"/>
          <w:sz w:val="24"/>
          <w:szCs w:val="24"/>
        </w:rPr>
        <w:t>Zasady współpracy własnych służb dyspozytorskich ze służbami dyspozytorskimi innych</w:t>
      </w:r>
      <w:r>
        <w:rPr>
          <w:rFonts w:ascii="Garamond" w:hAnsi="Garamond"/>
          <w:sz w:val="24"/>
          <w:szCs w:val="24"/>
        </w:rPr>
        <w:t xml:space="preserve"> </w:t>
      </w:r>
      <w:r w:rsidR="00900EE3" w:rsidRPr="00AE3F1B">
        <w:rPr>
          <w:rFonts w:ascii="Garamond" w:hAnsi="Garamond"/>
          <w:sz w:val="24"/>
          <w:szCs w:val="24"/>
        </w:rPr>
        <w:t>operatorów systemów dystrybucyjnych, zawarte są w umowach i/lub w instrukcjach współpracy ruchowej.</w:t>
      </w:r>
    </w:p>
    <w:p w14:paraId="24D25E29" w14:textId="7BCC59E9" w:rsidR="00496347" w:rsidRPr="00AE3F1B" w:rsidRDefault="00450EF0" w:rsidP="00450EF0">
      <w:pPr>
        <w:spacing w:after="199" w:line="253" w:lineRule="auto"/>
        <w:ind w:left="360" w:right="-3" w:hanging="360"/>
        <w:jc w:val="left"/>
        <w:rPr>
          <w:rFonts w:ascii="Garamond" w:hAnsi="Garamond"/>
          <w:sz w:val="24"/>
          <w:szCs w:val="24"/>
        </w:rPr>
      </w:pPr>
      <w:r w:rsidRPr="00AE3F1B">
        <w:rPr>
          <w:rFonts w:ascii="Garamond" w:hAnsi="Garamond"/>
          <w:sz w:val="24"/>
          <w:szCs w:val="24"/>
        </w:rPr>
        <w:t>V.6.</w:t>
      </w:r>
      <w:r w:rsidR="00496347" w:rsidRPr="00AE3F1B">
        <w:rPr>
          <w:rFonts w:ascii="Garamond" w:hAnsi="Garamond"/>
          <w:sz w:val="24"/>
          <w:szCs w:val="24"/>
        </w:rPr>
        <w:t xml:space="preserve">Podmioty przyłączone do sieci dystrybucyjnej ID Sp. z o.o. o napięciu SN, a w szczególnych przypadkach także inne podmioty wskazane przez ID Sp. z o.o., opracowują i uzgadniają z ID Sp. z o.o. instrukcje współpracy, które powinny uwzględniać wymagania określone w niniejszej </w:t>
      </w:r>
      <w:r w:rsidR="005A49CC" w:rsidRPr="005A49CC">
        <w:rPr>
          <w:rFonts w:ascii="Garamond" w:hAnsi="Garamond"/>
          <w:sz w:val="24"/>
          <w:szCs w:val="24"/>
        </w:rPr>
        <w:t>IRiESD</w:t>
      </w:r>
      <w:r w:rsidR="00496347" w:rsidRPr="00AE3F1B">
        <w:rPr>
          <w:rFonts w:ascii="Garamond" w:hAnsi="Garamond"/>
          <w:sz w:val="24"/>
          <w:szCs w:val="24"/>
        </w:rPr>
        <w:t>.</w:t>
      </w:r>
    </w:p>
    <w:p w14:paraId="357319B8" w14:textId="4BAC24E7" w:rsidR="00496347" w:rsidRPr="00AE3F1B" w:rsidRDefault="00450EF0" w:rsidP="00450EF0">
      <w:pPr>
        <w:spacing w:after="0" w:line="253" w:lineRule="auto"/>
        <w:ind w:left="360" w:right="-3" w:hanging="360"/>
        <w:jc w:val="left"/>
        <w:rPr>
          <w:rFonts w:ascii="Garamond" w:hAnsi="Garamond"/>
          <w:sz w:val="24"/>
          <w:szCs w:val="24"/>
        </w:rPr>
      </w:pPr>
      <w:r w:rsidRPr="00AE3F1B">
        <w:rPr>
          <w:rFonts w:ascii="Garamond" w:hAnsi="Garamond"/>
          <w:sz w:val="24"/>
          <w:szCs w:val="24"/>
        </w:rPr>
        <w:t xml:space="preserve">V.7. </w:t>
      </w:r>
      <w:r w:rsidR="008F1DCB" w:rsidRPr="00AE3F1B">
        <w:rPr>
          <w:rFonts w:ascii="Garamond" w:hAnsi="Garamond"/>
          <w:sz w:val="24"/>
          <w:szCs w:val="24"/>
        </w:rPr>
        <w:t>P</w:t>
      </w:r>
      <w:r w:rsidR="00496347" w:rsidRPr="00AE3F1B">
        <w:rPr>
          <w:rFonts w:ascii="Garamond" w:hAnsi="Garamond"/>
          <w:sz w:val="24"/>
          <w:szCs w:val="24"/>
        </w:rPr>
        <w:t>rzedmiotem instrukcji współpracy, służb dyspozytorskich ID Sp. z o.o. ze służbami</w:t>
      </w:r>
      <w:r w:rsidR="00B369AF">
        <w:rPr>
          <w:rFonts w:ascii="Garamond" w:hAnsi="Garamond"/>
          <w:sz w:val="24"/>
          <w:szCs w:val="24"/>
        </w:rPr>
        <w:t xml:space="preserve"> </w:t>
      </w:r>
      <w:r w:rsidR="00496347" w:rsidRPr="00AE3F1B">
        <w:rPr>
          <w:rFonts w:ascii="Garamond" w:hAnsi="Garamond"/>
          <w:sz w:val="24"/>
          <w:szCs w:val="24"/>
        </w:rPr>
        <w:t>dyspozytorskimi PGE Dystrybucja S.A. jest w zależności od potrzeb:</w:t>
      </w:r>
    </w:p>
    <w:p w14:paraId="1BAE84FB" w14:textId="77777777" w:rsidR="00496347" w:rsidRPr="00AE3F1B" w:rsidRDefault="00496347">
      <w:pPr>
        <w:numPr>
          <w:ilvl w:val="0"/>
          <w:numId w:val="35"/>
        </w:numPr>
        <w:spacing w:after="61"/>
        <w:ind w:left="993" w:right="-3" w:hanging="567"/>
        <w:jc w:val="left"/>
        <w:rPr>
          <w:rFonts w:ascii="Garamond" w:hAnsi="Garamond"/>
          <w:sz w:val="24"/>
          <w:szCs w:val="24"/>
        </w:rPr>
      </w:pPr>
      <w:r w:rsidRPr="00AE3F1B">
        <w:rPr>
          <w:rFonts w:ascii="Garamond" w:hAnsi="Garamond"/>
          <w:sz w:val="24"/>
          <w:szCs w:val="24"/>
        </w:rPr>
        <w:t>podział kompetencji i odpowiedzialności w zakresie czynności łączeniowych i regulacyjnych,</w:t>
      </w:r>
    </w:p>
    <w:p w14:paraId="1130628F" w14:textId="77777777" w:rsidR="00496347" w:rsidRPr="00AE3F1B" w:rsidRDefault="00496347">
      <w:pPr>
        <w:numPr>
          <w:ilvl w:val="0"/>
          <w:numId w:val="35"/>
        </w:numPr>
        <w:ind w:left="993" w:right="-3" w:hanging="567"/>
        <w:jc w:val="left"/>
        <w:rPr>
          <w:rFonts w:ascii="Garamond" w:hAnsi="Garamond"/>
          <w:sz w:val="24"/>
          <w:szCs w:val="24"/>
        </w:rPr>
      </w:pPr>
      <w:r w:rsidRPr="00AE3F1B">
        <w:rPr>
          <w:rFonts w:ascii="Garamond" w:hAnsi="Garamond"/>
          <w:sz w:val="24"/>
          <w:szCs w:val="24"/>
        </w:rPr>
        <w:t>organizacja przerw i ograniczeń w dostawach energii elektrycznej,</w:t>
      </w:r>
    </w:p>
    <w:p w14:paraId="0841C578" w14:textId="77777777" w:rsidR="00496347" w:rsidRPr="00AE3F1B" w:rsidRDefault="00496347">
      <w:pPr>
        <w:numPr>
          <w:ilvl w:val="0"/>
          <w:numId w:val="35"/>
        </w:numPr>
        <w:spacing w:after="45"/>
        <w:ind w:left="993" w:right="-3" w:hanging="567"/>
        <w:jc w:val="left"/>
        <w:rPr>
          <w:rFonts w:ascii="Garamond" w:hAnsi="Garamond"/>
          <w:sz w:val="24"/>
          <w:szCs w:val="24"/>
        </w:rPr>
      </w:pPr>
      <w:r w:rsidRPr="00AE3F1B">
        <w:rPr>
          <w:rFonts w:ascii="Garamond" w:hAnsi="Garamond"/>
          <w:sz w:val="24"/>
          <w:szCs w:val="24"/>
        </w:rPr>
        <w:t>określenie zasad i warunków związanych z wzajemnym wykorzystaniem elementów sieci dystrybucyjnej,</w:t>
      </w:r>
    </w:p>
    <w:p w14:paraId="5E4144F0" w14:textId="77777777" w:rsidR="00496347" w:rsidRPr="00AE3F1B" w:rsidRDefault="00496347">
      <w:pPr>
        <w:numPr>
          <w:ilvl w:val="0"/>
          <w:numId w:val="35"/>
        </w:numPr>
        <w:spacing w:after="43"/>
        <w:ind w:left="993" w:right="-3" w:hanging="567"/>
        <w:jc w:val="left"/>
        <w:rPr>
          <w:rFonts w:ascii="Garamond" w:hAnsi="Garamond"/>
          <w:sz w:val="24"/>
          <w:szCs w:val="24"/>
        </w:rPr>
      </w:pPr>
      <w:r w:rsidRPr="00AE3F1B">
        <w:rPr>
          <w:rFonts w:ascii="Garamond" w:hAnsi="Garamond"/>
          <w:sz w:val="24"/>
          <w:szCs w:val="24"/>
        </w:rPr>
        <w:lastRenderedPageBreak/>
        <w:t>szczegółowe ustalenia sposobów realizacji poszczególnych zadań wymienionych w pkt.V.1,</w:t>
      </w:r>
    </w:p>
    <w:p w14:paraId="08FE9BCF" w14:textId="77777777" w:rsidR="00496347" w:rsidRPr="00AE3F1B" w:rsidRDefault="00496347">
      <w:pPr>
        <w:numPr>
          <w:ilvl w:val="0"/>
          <w:numId w:val="35"/>
        </w:numPr>
        <w:spacing w:after="46"/>
        <w:ind w:left="993" w:right="-3" w:hanging="567"/>
        <w:jc w:val="left"/>
        <w:rPr>
          <w:rFonts w:ascii="Garamond" w:hAnsi="Garamond"/>
          <w:sz w:val="24"/>
          <w:szCs w:val="24"/>
        </w:rPr>
      </w:pPr>
      <w:r w:rsidRPr="00AE3F1B">
        <w:rPr>
          <w:rFonts w:ascii="Garamond" w:hAnsi="Garamond"/>
          <w:sz w:val="24"/>
          <w:szCs w:val="24"/>
        </w:rPr>
        <w:t>określenie zasad wzajemnego wykorzystywania służb dyspozytorskich,</w:t>
      </w:r>
    </w:p>
    <w:p w14:paraId="2AAC07E7" w14:textId="77777777" w:rsidR="00496347" w:rsidRPr="00AE3F1B" w:rsidRDefault="00496347">
      <w:pPr>
        <w:numPr>
          <w:ilvl w:val="0"/>
          <w:numId w:val="35"/>
        </w:numPr>
        <w:ind w:left="993" w:right="-3" w:hanging="567"/>
        <w:jc w:val="left"/>
        <w:rPr>
          <w:rFonts w:ascii="Garamond" w:hAnsi="Garamond"/>
          <w:sz w:val="24"/>
          <w:szCs w:val="24"/>
        </w:rPr>
      </w:pPr>
      <w:r w:rsidRPr="00AE3F1B">
        <w:rPr>
          <w:rFonts w:ascii="Garamond" w:hAnsi="Garamond"/>
          <w:sz w:val="24"/>
          <w:szCs w:val="24"/>
        </w:rPr>
        <w:t>koordynacja pracy elektroenergetycznej automatyki zabezpieczeniowej i sieciowej,</w:t>
      </w:r>
    </w:p>
    <w:p w14:paraId="24B7E922" w14:textId="77777777" w:rsidR="00496347" w:rsidRPr="00AE3F1B" w:rsidRDefault="00496347">
      <w:pPr>
        <w:numPr>
          <w:ilvl w:val="0"/>
          <w:numId w:val="35"/>
        </w:numPr>
        <w:ind w:left="993" w:right="-3" w:hanging="567"/>
        <w:jc w:val="left"/>
        <w:rPr>
          <w:rFonts w:ascii="Garamond" w:hAnsi="Garamond"/>
          <w:sz w:val="24"/>
          <w:szCs w:val="24"/>
        </w:rPr>
      </w:pPr>
      <w:r w:rsidRPr="00AE3F1B">
        <w:rPr>
          <w:rFonts w:ascii="Garamond" w:hAnsi="Garamond"/>
          <w:sz w:val="24"/>
          <w:szCs w:val="24"/>
        </w:rPr>
        <w:t>wykazy osób upoważnionych do prowadzenia uzgodnień,</w:t>
      </w:r>
    </w:p>
    <w:p w14:paraId="3E778A61" w14:textId="77777777" w:rsidR="00496347" w:rsidRPr="00AE3F1B" w:rsidRDefault="00496347">
      <w:pPr>
        <w:numPr>
          <w:ilvl w:val="0"/>
          <w:numId w:val="35"/>
        </w:numPr>
        <w:ind w:left="993" w:right="-3" w:hanging="567"/>
        <w:jc w:val="left"/>
        <w:rPr>
          <w:rFonts w:ascii="Garamond" w:hAnsi="Garamond"/>
          <w:sz w:val="24"/>
          <w:szCs w:val="24"/>
        </w:rPr>
      </w:pPr>
      <w:r w:rsidRPr="00AE3F1B">
        <w:rPr>
          <w:rFonts w:ascii="Garamond" w:hAnsi="Garamond"/>
          <w:sz w:val="24"/>
          <w:szCs w:val="24"/>
        </w:rPr>
        <w:t>zakres i tryb obiegu informacji,</w:t>
      </w:r>
    </w:p>
    <w:p w14:paraId="64EC5CA2" w14:textId="10932000" w:rsidR="00450EF0" w:rsidRPr="00450EF0" w:rsidRDefault="00496347">
      <w:pPr>
        <w:numPr>
          <w:ilvl w:val="0"/>
          <w:numId w:val="35"/>
        </w:numPr>
        <w:spacing w:after="192"/>
        <w:ind w:left="993" w:right="-3" w:hanging="567"/>
        <w:jc w:val="left"/>
        <w:rPr>
          <w:rFonts w:ascii="Garamond" w:hAnsi="Garamond"/>
          <w:sz w:val="24"/>
          <w:szCs w:val="24"/>
        </w:rPr>
      </w:pPr>
      <w:r w:rsidRPr="00AE3F1B">
        <w:rPr>
          <w:rFonts w:ascii="Garamond" w:hAnsi="Garamond"/>
          <w:sz w:val="24"/>
          <w:szCs w:val="24"/>
        </w:rPr>
        <w:t>określenie zasad i odpowiedzialności związanej z usuwaniem zakłóceń i awarii oraz koordynacja prac eksploatacyjnych.</w:t>
      </w:r>
    </w:p>
    <w:p w14:paraId="45DFB40B" w14:textId="72D34898" w:rsidR="00496347" w:rsidRPr="00AE3F1B" w:rsidRDefault="00450EF0" w:rsidP="00450EF0">
      <w:pPr>
        <w:spacing w:after="0" w:line="253" w:lineRule="auto"/>
        <w:ind w:left="360" w:right="-3" w:hanging="360"/>
        <w:jc w:val="left"/>
        <w:rPr>
          <w:rFonts w:ascii="Garamond" w:hAnsi="Garamond"/>
          <w:sz w:val="24"/>
          <w:szCs w:val="24"/>
        </w:rPr>
      </w:pPr>
      <w:r w:rsidRPr="00AE3F1B">
        <w:rPr>
          <w:rFonts w:ascii="Garamond" w:hAnsi="Garamond"/>
          <w:sz w:val="24"/>
          <w:szCs w:val="24"/>
        </w:rPr>
        <w:t xml:space="preserve">V.8 </w:t>
      </w:r>
      <w:r>
        <w:rPr>
          <w:rFonts w:ascii="Garamond" w:hAnsi="Garamond"/>
          <w:sz w:val="24"/>
          <w:szCs w:val="24"/>
        </w:rPr>
        <w:t>Instrukcja</w:t>
      </w:r>
      <w:r w:rsidR="00496347" w:rsidRPr="00AE3F1B">
        <w:rPr>
          <w:rFonts w:ascii="Garamond" w:hAnsi="Garamond"/>
          <w:sz w:val="24"/>
          <w:szCs w:val="24"/>
        </w:rPr>
        <w:t xml:space="preserve"> współpracy, służb dyspozytorskich ID Sp. z o.o. z podmiotami przyłączonymi do </w:t>
      </w:r>
      <w:r w:rsidRPr="00AE3F1B">
        <w:rPr>
          <w:rFonts w:ascii="Garamond" w:hAnsi="Garamond"/>
          <w:sz w:val="24"/>
          <w:szCs w:val="24"/>
        </w:rPr>
        <w:t>sieci dystrybucyjnej</w:t>
      </w:r>
      <w:r w:rsidR="00496347" w:rsidRPr="00AE3F1B">
        <w:rPr>
          <w:rFonts w:ascii="Garamond" w:hAnsi="Garamond"/>
          <w:sz w:val="24"/>
          <w:szCs w:val="24"/>
        </w:rPr>
        <w:t xml:space="preserve"> ID Sp. z o.o. zawiera co najmniej:</w:t>
      </w:r>
    </w:p>
    <w:p w14:paraId="320AE4E3" w14:textId="77777777" w:rsidR="00496347" w:rsidRPr="00B369AF" w:rsidRDefault="00496347">
      <w:pPr>
        <w:pStyle w:val="Akapitzlist"/>
        <w:numPr>
          <w:ilvl w:val="0"/>
          <w:numId w:val="126"/>
        </w:numPr>
        <w:ind w:right="-3"/>
        <w:jc w:val="left"/>
        <w:rPr>
          <w:rFonts w:ascii="Garamond" w:hAnsi="Garamond"/>
          <w:sz w:val="24"/>
          <w:szCs w:val="24"/>
        </w:rPr>
      </w:pPr>
      <w:r w:rsidRPr="00B369AF">
        <w:rPr>
          <w:rFonts w:ascii="Garamond" w:hAnsi="Garamond"/>
          <w:sz w:val="24"/>
          <w:szCs w:val="24"/>
        </w:rPr>
        <w:t>podział kompetencji i odpowiedzialności w zakresie czynności łączeniowych,</w:t>
      </w:r>
    </w:p>
    <w:p w14:paraId="66FB989A" w14:textId="77777777" w:rsidR="00496347" w:rsidRPr="00B369AF" w:rsidRDefault="00496347">
      <w:pPr>
        <w:pStyle w:val="Akapitzlist"/>
        <w:numPr>
          <w:ilvl w:val="0"/>
          <w:numId w:val="126"/>
        </w:numPr>
        <w:ind w:right="-3"/>
        <w:jc w:val="left"/>
        <w:rPr>
          <w:rFonts w:ascii="Garamond" w:hAnsi="Garamond"/>
          <w:sz w:val="24"/>
          <w:szCs w:val="24"/>
        </w:rPr>
      </w:pPr>
      <w:r w:rsidRPr="00B369AF">
        <w:rPr>
          <w:rFonts w:ascii="Garamond" w:hAnsi="Garamond"/>
          <w:sz w:val="24"/>
          <w:szCs w:val="24"/>
        </w:rPr>
        <w:t>eksploatacyjne granice stron,</w:t>
      </w:r>
    </w:p>
    <w:p w14:paraId="5D1A385D" w14:textId="77777777" w:rsidR="00496347" w:rsidRPr="00B369AF" w:rsidRDefault="00496347">
      <w:pPr>
        <w:pStyle w:val="Akapitzlist"/>
        <w:numPr>
          <w:ilvl w:val="0"/>
          <w:numId w:val="126"/>
        </w:numPr>
        <w:ind w:right="-3"/>
        <w:jc w:val="left"/>
        <w:rPr>
          <w:rFonts w:ascii="Garamond" w:hAnsi="Garamond"/>
          <w:sz w:val="24"/>
          <w:szCs w:val="24"/>
        </w:rPr>
      </w:pPr>
      <w:r w:rsidRPr="00B369AF">
        <w:rPr>
          <w:rFonts w:ascii="Garamond" w:hAnsi="Garamond"/>
          <w:sz w:val="24"/>
          <w:szCs w:val="24"/>
        </w:rPr>
        <w:t>zakres i tryb obiegu informacji,</w:t>
      </w:r>
    </w:p>
    <w:p w14:paraId="51F1419E" w14:textId="77777777" w:rsidR="00496347" w:rsidRDefault="00496347">
      <w:pPr>
        <w:pStyle w:val="Akapitzlist"/>
        <w:numPr>
          <w:ilvl w:val="0"/>
          <w:numId w:val="126"/>
        </w:numPr>
        <w:spacing w:after="143"/>
        <w:ind w:right="-3"/>
        <w:jc w:val="left"/>
        <w:rPr>
          <w:rFonts w:ascii="Garamond" w:hAnsi="Garamond"/>
          <w:sz w:val="24"/>
          <w:szCs w:val="24"/>
        </w:rPr>
      </w:pPr>
      <w:r w:rsidRPr="00B369AF">
        <w:rPr>
          <w:rFonts w:ascii="Garamond" w:hAnsi="Garamond"/>
          <w:sz w:val="24"/>
          <w:szCs w:val="24"/>
        </w:rPr>
        <w:t>wykazy osób upoważnionych wraz z danymi teleadresowymi, które podlegają aktualizacji po każdej zmianie oraz aktualizacji corocznej w terminie określonym przez PGE Dystrybucja S.A.</w:t>
      </w:r>
    </w:p>
    <w:p w14:paraId="2F6F3193" w14:textId="74BC4FCC" w:rsidR="00496347" w:rsidRPr="00660DC3" w:rsidRDefault="00496347" w:rsidP="00450EF0">
      <w:pPr>
        <w:keepNext/>
        <w:keepLines/>
        <w:tabs>
          <w:tab w:val="center" w:pos="317"/>
          <w:tab w:val="center" w:pos="3335"/>
        </w:tabs>
        <w:spacing w:after="184" w:line="248" w:lineRule="auto"/>
        <w:ind w:right="-3"/>
        <w:jc w:val="left"/>
        <w:outlineLvl w:val="0"/>
        <w:rPr>
          <w:rFonts w:asciiTheme="majorHAnsi" w:hAnsiTheme="majorHAnsi"/>
          <w:b/>
          <w:bCs/>
          <w:sz w:val="24"/>
          <w:szCs w:val="24"/>
        </w:rPr>
      </w:pPr>
      <w:bookmarkStart w:id="78" w:name="_Hlk171928654"/>
      <w:bookmarkEnd w:id="75"/>
      <w:r w:rsidRPr="00660DC3">
        <w:rPr>
          <w:rFonts w:asciiTheme="majorHAnsi" w:hAnsiTheme="majorHAnsi"/>
          <w:b/>
          <w:bCs/>
          <w:sz w:val="24"/>
          <w:szCs w:val="24"/>
        </w:rPr>
        <w:t>VI.</w:t>
      </w:r>
      <w:r w:rsidR="00450EF0">
        <w:rPr>
          <w:rFonts w:asciiTheme="majorHAnsi" w:hAnsiTheme="majorHAnsi"/>
          <w:b/>
          <w:bCs/>
          <w:sz w:val="24"/>
          <w:szCs w:val="24"/>
        </w:rPr>
        <w:t xml:space="preserve"> </w:t>
      </w:r>
      <w:bookmarkStart w:id="79" w:name="_Toc171860251"/>
      <w:bookmarkStart w:id="80" w:name="_Toc171861065"/>
      <w:r w:rsidR="00450EF0">
        <w:rPr>
          <w:rFonts w:asciiTheme="majorHAnsi" w:hAnsiTheme="majorHAnsi"/>
          <w:b/>
          <w:bCs/>
          <w:sz w:val="24"/>
          <w:szCs w:val="24"/>
        </w:rPr>
        <w:t xml:space="preserve"> </w:t>
      </w:r>
      <w:r w:rsidR="003C7C8A" w:rsidRPr="00660DC3">
        <w:rPr>
          <w:rFonts w:asciiTheme="majorHAnsi" w:hAnsiTheme="majorHAnsi"/>
          <w:b/>
          <w:bCs/>
          <w:sz w:val="24"/>
          <w:szCs w:val="24"/>
        </w:rPr>
        <w:t>Prowadzenie Ruchu Sieci dystrybucyjnej</w:t>
      </w:r>
      <w:bookmarkEnd w:id="79"/>
      <w:bookmarkEnd w:id="80"/>
    </w:p>
    <w:p w14:paraId="10A8E944" w14:textId="65A3AFBB" w:rsidR="00450EF0" w:rsidRDefault="00496347" w:rsidP="00450EF0">
      <w:pPr>
        <w:tabs>
          <w:tab w:val="center" w:pos="3137"/>
        </w:tabs>
        <w:spacing w:after="228" w:line="248" w:lineRule="auto"/>
        <w:ind w:left="567" w:right="-3" w:hanging="567"/>
        <w:jc w:val="left"/>
        <w:rPr>
          <w:rFonts w:asciiTheme="majorHAnsi" w:hAnsiTheme="majorHAnsi"/>
          <w:b/>
          <w:bCs/>
          <w:sz w:val="24"/>
          <w:szCs w:val="24"/>
        </w:rPr>
      </w:pPr>
      <w:r w:rsidRPr="00660DC3">
        <w:rPr>
          <w:rFonts w:asciiTheme="majorHAnsi" w:hAnsiTheme="majorHAnsi"/>
          <w:b/>
          <w:bCs/>
          <w:sz w:val="24"/>
          <w:szCs w:val="24"/>
        </w:rPr>
        <w:t>VI.</w:t>
      </w:r>
      <w:r w:rsidR="004F29E3">
        <w:rPr>
          <w:rFonts w:asciiTheme="majorHAnsi" w:hAnsiTheme="majorHAnsi"/>
          <w:b/>
          <w:bCs/>
          <w:sz w:val="24"/>
          <w:szCs w:val="24"/>
        </w:rPr>
        <w:t>1</w:t>
      </w:r>
      <w:r w:rsidRPr="00660DC3">
        <w:rPr>
          <w:rFonts w:asciiTheme="majorHAnsi" w:hAnsiTheme="majorHAnsi"/>
          <w:b/>
          <w:bCs/>
          <w:sz w:val="24"/>
          <w:szCs w:val="24"/>
        </w:rPr>
        <w:t>.</w:t>
      </w:r>
      <w:r w:rsidRPr="00660DC3">
        <w:rPr>
          <w:rFonts w:asciiTheme="majorHAnsi" w:hAnsiTheme="majorHAnsi"/>
          <w:b/>
          <w:bCs/>
          <w:sz w:val="24"/>
          <w:szCs w:val="24"/>
        </w:rPr>
        <w:tab/>
      </w:r>
      <w:r w:rsidR="003C7C8A" w:rsidRPr="00660DC3">
        <w:rPr>
          <w:rFonts w:asciiTheme="majorHAnsi" w:hAnsiTheme="majorHAnsi"/>
          <w:b/>
          <w:bCs/>
          <w:sz w:val="24"/>
          <w:szCs w:val="24"/>
        </w:rPr>
        <w:t>Obowiązki</w:t>
      </w:r>
      <w:r w:rsidR="00645717">
        <w:rPr>
          <w:rFonts w:asciiTheme="majorHAnsi" w:hAnsiTheme="majorHAnsi"/>
          <w:b/>
          <w:bCs/>
          <w:sz w:val="24"/>
          <w:szCs w:val="24"/>
        </w:rPr>
        <w:t xml:space="preserve"> </w:t>
      </w:r>
      <w:r w:rsidR="003C7C8A" w:rsidRPr="00660DC3">
        <w:rPr>
          <w:rFonts w:asciiTheme="majorHAnsi" w:hAnsiTheme="majorHAnsi"/>
          <w:b/>
          <w:bCs/>
          <w:sz w:val="24"/>
          <w:szCs w:val="24"/>
        </w:rPr>
        <w:t>ID Sp. z o.o.</w:t>
      </w:r>
    </w:p>
    <w:p w14:paraId="0951AA4F" w14:textId="4604368C" w:rsidR="00496347" w:rsidRPr="00450EF0" w:rsidRDefault="00450EF0" w:rsidP="00450EF0">
      <w:pPr>
        <w:tabs>
          <w:tab w:val="center" w:pos="3137"/>
        </w:tabs>
        <w:spacing w:after="228" w:line="248" w:lineRule="auto"/>
        <w:ind w:left="426" w:right="-3" w:hanging="426"/>
        <w:jc w:val="left"/>
        <w:rPr>
          <w:rFonts w:asciiTheme="majorHAnsi" w:hAnsiTheme="majorHAnsi"/>
          <w:b/>
          <w:bCs/>
          <w:sz w:val="24"/>
          <w:szCs w:val="24"/>
        </w:rPr>
      </w:pPr>
      <w:r w:rsidRPr="00AE3F1B">
        <w:rPr>
          <w:rFonts w:ascii="Garamond" w:hAnsi="Garamond"/>
          <w:sz w:val="24"/>
          <w:szCs w:val="24"/>
        </w:rPr>
        <w:t>V</w:t>
      </w:r>
      <w:r w:rsidR="00FF23BB">
        <w:rPr>
          <w:rFonts w:ascii="Garamond" w:hAnsi="Garamond"/>
          <w:sz w:val="24"/>
          <w:szCs w:val="24"/>
        </w:rPr>
        <w:t>I</w:t>
      </w:r>
      <w:r w:rsidRPr="00AE3F1B">
        <w:rPr>
          <w:rFonts w:ascii="Garamond" w:hAnsi="Garamond"/>
          <w:sz w:val="24"/>
          <w:szCs w:val="24"/>
        </w:rPr>
        <w:t>.</w:t>
      </w:r>
      <w:r w:rsidR="004F29E3">
        <w:rPr>
          <w:rFonts w:ascii="Garamond" w:hAnsi="Garamond"/>
          <w:sz w:val="24"/>
          <w:szCs w:val="24"/>
        </w:rPr>
        <w:t>1</w:t>
      </w:r>
      <w:r w:rsidRPr="00AE3F1B">
        <w:rPr>
          <w:rFonts w:ascii="Garamond" w:hAnsi="Garamond"/>
          <w:sz w:val="24"/>
          <w:szCs w:val="24"/>
        </w:rPr>
        <w:t>.</w:t>
      </w:r>
      <w:r w:rsidR="004F29E3">
        <w:rPr>
          <w:rFonts w:ascii="Garamond" w:hAnsi="Garamond"/>
          <w:sz w:val="24"/>
          <w:szCs w:val="24"/>
        </w:rPr>
        <w:t>1</w:t>
      </w:r>
      <w:r w:rsidRPr="00AE3F1B">
        <w:rPr>
          <w:rFonts w:ascii="Garamond" w:hAnsi="Garamond"/>
          <w:sz w:val="24"/>
          <w:szCs w:val="24"/>
        </w:rPr>
        <w:t>.</w:t>
      </w:r>
      <w:r>
        <w:rPr>
          <w:rFonts w:ascii="Garamond" w:hAnsi="Garamond"/>
          <w:sz w:val="24"/>
          <w:szCs w:val="24"/>
        </w:rPr>
        <w:t xml:space="preserve"> </w:t>
      </w:r>
      <w:r w:rsidR="00496347" w:rsidRPr="00AE3F1B">
        <w:rPr>
          <w:rFonts w:ascii="Garamond" w:hAnsi="Garamond"/>
          <w:sz w:val="24"/>
          <w:szCs w:val="24"/>
        </w:rPr>
        <w:t xml:space="preserve">W zakresie prowadzenia ruchu sieciowego ID Sp. z o.o. na obszarze kierowanej sieci </w:t>
      </w:r>
      <w:r w:rsidR="00C73787" w:rsidRPr="00AE3F1B">
        <w:rPr>
          <w:rFonts w:ascii="Garamond" w:hAnsi="Garamond"/>
          <w:sz w:val="24"/>
          <w:szCs w:val="24"/>
        </w:rPr>
        <w:t>dystrybucyjnej:</w:t>
      </w:r>
    </w:p>
    <w:p w14:paraId="1CFF5CE3" w14:textId="77777777" w:rsidR="00496347" w:rsidRPr="00450EF0" w:rsidRDefault="00496347">
      <w:pPr>
        <w:pStyle w:val="Akapitzlist"/>
        <w:numPr>
          <w:ilvl w:val="0"/>
          <w:numId w:val="127"/>
        </w:numPr>
        <w:spacing w:line="253" w:lineRule="auto"/>
        <w:ind w:right="-3"/>
        <w:jc w:val="left"/>
        <w:rPr>
          <w:rFonts w:ascii="Garamond" w:hAnsi="Garamond"/>
          <w:sz w:val="24"/>
          <w:szCs w:val="24"/>
        </w:rPr>
      </w:pPr>
      <w:r w:rsidRPr="00450EF0">
        <w:rPr>
          <w:rFonts w:ascii="Garamond" w:hAnsi="Garamond"/>
          <w:sz w:val="24"/>
          <w:szCs w:val="24"/>
        </w:rPr>
        <w:t>planuje pracę sieci dystrybucyjnej ID Sp. z o.o., w tym opracowuje programy pracy sieci, plany wyłączenia oraz planuje i kieruje operacjami łączeniowymi,</w:t>
      </w:r>
    </w:p>
    <w:p w14:paraId="0B9B2F2F" w14:textId="77777777" w:rsidR="00496347" w:rsidRPr="00450EF0" w:rsidRDefault="00496347">
      <w:pPr>
        <w:pStyle w:val="Akapitzlist"/>
        <w:numPr>
          <w:ilvl w:val="0"/>
          <w:numId w:val="127"/>
        </w:numPr>
        <w:spacing w:after="51" w:line="253" w:lineRule="auto"/>
        <w:ind w:right="-3"/>
        <w:jc w:val="left"/>
        <w:rPr>
          <w:rFonts w:ascii="Garamond" w:hAnsi="Garamond"/>
          <w:sz w:val="24"/>
          <w:szCs w:val="24"/>
        </w:rPr>
      </w:pPr>
      <w:r w:rsidRPr="00450EF0">
        <w:rPr>
          <w:rFonts w:ascii="Garamond" w:hAnsi="Garamond"/>
          <w:sz w:val="24"/>
          <w:szCs w:val="24"/>
        </w:rPr>
        <w:t>planuje i kieruje pracą jednostek wytwórczych przyłączonych do sieci dystrybucyjnej, innych niż JWCD, w tym planuje techniczne możliwości pokrycia zapotrzebowania w ramach sporządzania koordynacyjnych planów produkcji energii elektrycznej,</w:t>
      </w:r>
    </w:p>
    <w:p w14:paraId="5B6DD2D3" w14:textId="77777777" w:rsidR="00496347" w:rsidRPr="00450EF0" w:rsidRDefault="00496347">
      <w:pPr>
        <w:pStyle w:val="Akapitzlist"/>
        <w:numPr>
          <w:ilvl w:val="0"/>
          <w:numId w:val="127"/>
        </w:numPr>
        <w:spacing w:after="50" w:line="253" w:lineRule="auto"/>
        <w:ind w:right="-3"/>
        <w:jc w:val="left"/>
        <w:rPr>
          <w:rFonts w:ascii="Garamond" w:hAnsi="Garamond"/>
          <w:sz w:val="24"/>
          <w:szCs w:val="24"/>
        </w:rPr>
      </w:pPr>
      <w:r w:rsidRPr="00450EF0">
        <w:rPr>
          <w:rFonts w:ascii="Garamond" w:hAnsi="Garamond"/>
          <w:sz w:val="24"/>
          <w:szCs w:val="24"/>
        </w:rPr>
        <w:t>monitoruje pracę sieci dystrybucyjnej oraz zapobiega wystąpieniu zagrożenia dostaw energii elektrycznej,</w:t>
      </w:r>
    </w:p>
    <w:p w14:paraId="1F3DBDB3" w14:textId="77777777" w:rsidR="00496347" w:rsidRPr="00450EF0" w:rsidRDefault="00496347">
      <w:pPr>
        <w:pStyle w:val="Akapitzlist"/>
        <w:numPr>
          <w:ilvl w:val="0"/>
          <w:numId w:val="127"/>
        </w:numPr>
        <w:spacing w:line="253" w:lineRule="auto"/>
        <w:ind w:right="-3"/>
        <w:jc w:val="left"/>
        <w:rPr>
          <w:rFonts w:ascii="Garamond" w:hAnsi="Garamond"/>
          <w:sz w:val="24"/>
          <w:szCs w:val="24"/>
        </w:rPr>
      </w:pPr>
      <w:r w:rsidRPr="00450EF0">
        <w:rPr>
          <w:rFonts w:ascii="Garamond" w:hAnsi="Garamond"/>
          <w:sz w:val="24"/>
          <w:szCs w:val="24"/>
        </w:rPr>
        <w:t>usuwa skutki awarii w tym awarii sieciowych i awarii w systemie,</w:t>
      </w:r>
    </w:p>
    <w:p w14:paraId="1EA335B9" w14:textId="77777777" w:rsidR="00496347" w:rsidRPr="00450EF0" w:rsidRDefault="00496347">
      <w:pPr>
        <w:pStyle w:val="Akapitzlist"/>
        <w:numPr>
          <w:ilvl w:val="0"/>
          <w:numId w:val="127"/>
        </w:numPr>
        <w:spacing w:after="52" w:line="253" w:lineRule="auto"/>
        <w:ind w:right="-3"/>
        <w:jc w:val="left"/>
        <w:rPr>
          <w:rFonts w:ascii="Garamond" w:hAnsi="Garamond"/>
          <w:sz w:val="24"/>
          <w:szCs w:val="24"/>
        </w:rPr>
      </w:pPr>
      <w:r w:rsidRPr="00450EF0">
        <w:rPr>
          <w:rFonts w:ascii="Garamond" w:hAnsi="Garamond"/>
          <w:sz w:val="24"/>
          <w:szCs w:val="24"/>
        </w:rPr>
        <w:t>samodzielnie oraz we współpracy z PGE Dystrybucja S.A. prowadzi działania sterownicze,</w:t>
      </w:r>
    </w:p>
    <w:p w14:paraId="7650CECC" w14:textId="77777777" w:rsidR="00496347" w:rsidRPr="00450EF0" w:rsidRDefault="00496347">
      <w:pPr>
        <w:pStyle w:val="Akapitzlist"/>
        <w:numPr>
          <w:ilvl w:val="0"/>
          <w:numId w:val="127"/>
        </w:numPr>
        <w:spacing w:line="253" w:lineRule="auto"/>
        <w:ind w:right="-3"/>
        <w:jc w:val="left"/>
        <w:rPr>
          <w:rFonts w:ascii="Garamond" w:hAnsi="Garamond"/>
          <w:sz w:val="24"/>
          <w:szCs w:val="24"/>
        </w:rPr>
      </w:pPr>
      <w:r w:rsidRPr="00450EF0">
        <w:rPr>
          <w:rFonts w:ascii="Garamond" w:hAnsi="Garamond"/>
          <w:sz w:val="24"/>
          <w:szCs w:val="24"/>
        </w:rPr>
        <w:t>opracowuje bilanse mocy i energii elektrycznej uwzględniając zawarte umowy sprzedaży energii elektrycznej oraz umowy o świadczenie usług dystrybucji,</w:t>
      </w:r>
    </w:p>
    <w:p w14:paraId="151A6B16" w14:textId="77777777" w:rsidR="00496347" w:rsidRPr="00450EF0" w:rsidRDefault="00496347">
      <w:pPr>
        <w:pStyle w:val="Akapitzlist"/>
        <w:numPr>
          <w:ilvl w:val="0"/>
          <w:numId w:val="127"/>
        </w:numPr>
        <w:spacing w:after="48" w:line="253" w:lineRule="auto"/>
        <w:ind w:right="-3"/>
        <w:jc w:val="left"/>
        <w:rPr>
          <w:rFonts w:ascii="Garamond" w:hAnsi="Garamond"/>
          <w:sz w:val="24"/>
          <w:szCs w:val="24"/>
        </w:rPr>
      </w:pPr>
      <w:r w:rsidRPr="00450EF0">
        <w:rPr>
          <w:rFonts w:ascii="Garamond" w:hAnsi="Garamond"/>
          <w:sz w:val="24"/>
          <w:szCs w:val="24"/>
        </w:rPr>
        <w:t>zapewnia utrzymanie odpowiedniego poziomu rezerw mocy elementów sieci dystrybucyjnej, w celu dotrzymania standardowych parametrów jakościowych energii elektrycznej,</w:t>
      </w:r>
    </w:p>
    <w:p w14:paraId="318AF1F3" w14:textId="77777777" w:rsidR="00496347" w:rsidRPr="00450EF0" w:rsidRDefault="00496347">
      <w:pPr>
        <w:pStyle w:val="Akapitzlist"/>
        <w:numPr>
          <w:ilvl w:val="0"/>
          <w:numId w:val="127"/>
        </w:numPr>
        <w:spacing w:after="50" w:line="253" w:lineRule="auto"/>
        <w:ind w:right="-3"/>
        <w:jc w:val="left"/>
        <w:rPr>
          <w:rFonts w:ascii="Garamond" w:hAnsi="Garamond"/>
          <w:sz w:val="24"/>
          <w:szCs w:val="24"/>
        </w:rPr>
      </w:pPr>
      <w:r w:rsidRPr="00450EF0">
        <w:rPr>
          <w:rFonts w:ascii="Garamond" w:hAnsi="Garamond"/>
          <w:sz w:val="24"/>
          <w:szCs w:val="24"/>
        </w:rPr>
        <w:t>wprowadza ograniczenia w dostarczaniu i poborze energii elektrycznej, zgodnie z zapisami punktu IV.3,</w:t>
      </w:r>
    </w:p>
    <w:p w14:paraId="3A70D1A4" w14:textId="69A2271E" w:rsidR="00496347" w:rsidRPr="00450EF0" w:rsidRDefault="00496347">
      <w:pPr>
        <w:pStyle w:val="Akapitzlist"/>
        <w:numPr>
          <w:ilvl w:val="0"/>
          <w:numId w:val="127"/>
        </w:numPr>
        <w:spacing w:after="54" w:line="253" w:lineRule="auto"/>
        <w:ind w:right="-3"/>
        <w:jc w:val="left"/>
        <w:rPr>
          <w:rFonts w:ascii="Garamond" w:hAnsi="Garamond"/>
          <w:sz w:val="24"/>
          <w:szCs w:val="24"/>
        </w:rPr>
      </w:pPr>
      <w:r w:rsidRPr="00450EF0">
        <w:rPr>
          <w:rFonts w:ascii="Garamond" w:hAnsi="Garamond"/>
          <w:sz w:val="24"/>
          <w:szCs w:val="24"/>
        </w:rPr>
        <w:t xml:space="preserve">przekazuje do operatora PGE Dystrybucja S.A. zebrane i otrzymane dane oraz informacje niezbędne dla prowadzenia ruchu sieciowego i bezpieczeństwa pracy zgodnie </w:t>
      </w:r>
      <w:r w:rsidR="00FF23BB" w:rsidRPr="00450EF0">
        <w:rPr>
          <w:rFonts w:ascii="Garamond" w:hAnsi="Garamond"/>
          <w:sz w:val="24"/>
          <w:szCs w:val="24"/>
        </w:rPr>
        <w:t xml:space="preserve">z </w:t>
      </w:r>
      <w:r w:rsidR="005A49CC" w:rsidRPr="005A49CC">
        <w:rPr>
          <w:rFonts w:ascii="Garamond" w:hAnsi="Garamond"/>
          <w:sz w:val="24"/>
          <w:szCs w:val="24"/>
        </w:rPr>
        <w:t>IRiESD</w:t>
      </w:r>
      <w:r w:rsidR="005A49CC">
        <w:rPr>
          <w:rFonts w:ascii="Garamond" w:hAnsi="Garamond"/>
          <w:sz w:val="24"/>
          <w:szCs w:val="24"/>
        </w:rPr>
        <w:t xml:space="preserve"> </w:t>
      </w:r>
      <w:r w:rsidR="00FF23BB" w:rsidRPr="00450EF0">
        <w:rPr>
          <w:rFonts w:ascii="Garamond" w:hAnsi="Garamond"/>
          <w:sz w:val="24"/>
          <w:szCs w:val="24"/>
        </w:rPr>
        <w:t>PGE</w:t>
      </w:r>
      <w:r w:rsidRPr="00450EF0">
        <w:rPr>
          <w:rFonts w:ascii="Garamond" w:hAnsi="Garamond"/>
          <w:sz w:val="24"/>
          <w:szCs w:val="24"/>
        </w:rPr>
        <w:t xml:space="preserve"> Dystrybucja S.A.,</w:t>
      </w:r>
    </w:p>
    <w:p w14:paraId="15275CAB" w14:textId="77777777" w:rsidR="00496347" w:rsidRPr="00450EF0" w:rsidRDefault="00496347">
      <w:pPr>
        <w:pStyle w:val="Akapitzlist"/>
        <w:numPr>
          <w:ilvl w:val="0"/>
          <w:numId w:val="127"/>
        </w:numPr>
        <w:spacing w:after="323" w:line="253" w:lineRule="auto"/>
        <w:ind w:right="-3"/>
        <w:jc w:val="left"/>
        <w:rPr>
          <w:rFonts w:ascii="Garamond" w:hAnsi="Garamond"/>
          <w:sz w:val="24"/>
          <w:szCs w:val="24"/>
        </w:rPr>
      </w:pPr>
      <w:r w:rsidRPr="00450EF0">
        <w:rPr>
          <w:rFonts w:ascii="Garamond" w:hAnsi="Garamond"/>
          <w:sz w:val="24"/>
          <w:szCs w:val="24"/>
        </w:rPr>
        <w:t>identyfikuje ograniczenia sieciowe w sieci dystrybucyjnej PGE Dystrybucja S.A.</w:t>
      </w:r>
    </w:p>
    <w:p w14:paraId="221AC8AA" w14:textId="27F9534A" w:rsidR="00496347" w:rsidRPr="00660DC3" w:rsidRDefault="00496347" w:rsidP="00175586">
      <w:pPr>
        <w:spacing w:after="16" w:line="248" w:lineRule="auto"/>
        <w:ind w:left="567" w:right="-3" w:hanging="567"/>
        <w:jc w:val="left"/>
        <w:rPr>
          <w:rFonts w:asciiTheme="majorHAnsi" w:hAnsiTheme="majorHAnsi"/>
          <w:b/>
          <w:bCs/>
          <w:sz w:val="24"/>
          <w:szCs w:val="24"/>
        </w:rPr>
      </w:pPr>
      <w:r w:rsidRPr="00660DC3">
        <w:rPr>
          <w:rFonts w:asciiTheme="majorHAnsi" w:hAnsiTheme="majorHAnsi"/>
          <w:b/>
          <w:bCs/>
          <w:sz w:val="24"/>
          <w:szCs w:val="24"/>
        </w:rPr>
        <w:t xml:space="preserve">VI.2. </w:t>
      </w:r>
      <w:r w:rsidR="003C7C8A" w:rsidRPr="00660DC3">
        <w:rPr>
          <w:rFonts w:asciiTheme="majorHAnsi" w:hAnsiTheme="majorHAnsi"/>
          <w:b/>
          <w:bCs/>
          <w:sz w:val="24"/>
          <w:szCs w:val="24"/>
        </w:rPr>
        <w:t xml:space="preserve">Struktura i podział kompetencji Służb dyspozytorskich </w:t>
      </w:r>
      <w:r w:rsidR="00645717">
        <w:rPr>
          <w:rFonts w:asciiTheme="majorHAnsi" w:hAnsiTheme="majorHAnsi"/>
          <w:b/>
          <w:bCs/>
          <w:sz w:val="24"/>
          <w:szCs w:val="24"/>
        </w:rPr>
        <w:t xml:space="preserve">ID </w:t>
      </w:r>
      <w:r w:rsidR="00626B07" w:rsidRPr="00660DC3">
        <w:rPr>
          <w:rFonts w:asciiTheme="majorHAnsi" w:hAnsiTheme="majorHAnsi"/>
          <w:b/>
          <w:bCs/>
          <w:sz w:val="24"/>
          <w:szCs w:val="24"/>
        </w:rPr>
        <w:t>Sp. z o.o.</w:t>
      </w:r>
    </w:p>
    <w:p w14:paraId="7890F29A" w14:textId="210E7593" w:rsidR="00496347" w:rsidRPr="00AE3F1B" w:rsidRDefault="00C50211" w:rsidP="00C50211">
      <w:pPr>
        <w:spacing w:line="253" w:lineRule="auto"/>
        <w:ind w:left="567" w:right="-3" w:hanging="567"/>
        <w:jc w:val="left"/>
        <w:rPr>
          <w:rFonts w:ascii="Garamond" w:hAnsi="Garamond"/>
          <w:sz w:val="24"/>
          <w:szCs w:val="24"/>
        </w:rPr>
      </w:pPr>
      <w:r w:rsidRPr="00AE3F1B">
        <w:rPr>
          <w:rFonts w:ascii="Garamond" w:hAnsi="Garamond"/>
          <w:sz w:val="24"/>
          <w:szCs w:val="24"/>
        </w:rPr>
        <w:t xml:space="preserve">VI.2.1. </w:t>
      </w:r>
      <w:r>
        <w:rPr>
          <w:rFonts w:ascii="Garamond" w:hAnsi="Garamond"/>
          <w:sz w:val="24"/>
          <w:szCs w:val="24"/>
        </w:rPr>
        <w:tab/>
      </w:r>
      <w:r w:rsidR="00496347" w:rsidRPr="00AE3F1B">
        <w:rPr>
          <w:rFonts w:ascii="Garamond" w:hAnsi="Garamond"/>
          <w:noProof/>
          <w:sz w:val="24"/>
          <w:szCs w:val="24"/>
          <w:lang w:eastAsia="pl-PL"/>
        </w:rPr>
        <w:drawing>
          <wp:inline distT="0" distB="0" distL="0" distR="0" wp14:anchorId="18994AE8" wp14:editId="4BDB5B7B">
            <wp:extent cx="4569" cy="4568"/>
            <wp:effectExtent l="0" t="0" r="0" b="0"/>
            <wp:docPr id="145611" name="Picture 145611"/>
            <wp:cNvGraphicFramePr/>
            <a:graphic xmlns:a="http://schemas.openxmlformats.org/drawingml/2006/main">
              <a:graphicData uri="http://schemas.openxmlformats.org/drawingml/2006/picture">
                <pic:pic xmlns:pic="http://schemas.openxmlformats.org/drawingml/2006/picture">
                  <pic:nvPicPr>
                    <pic:cNvPr id="145611" name="Picture 145611"/>
                    <pic:cNvPicPr/>
                  </pic:nvPicPr>
                  <pic:blipFill>
                    <a:blip r:embed="rId11"/>
                    <a:stretch>
                      <a:fillRect/>
                    </a:stretch>
                  </pic:blipFill>
                  <pic:spPr>
                    <a:xfrm>
                      <a:off x="0" y="0"/>
                      <a:ext cx="4569" cy="4568"/>
                    </a:xfrm>
                    <a:prstGeom prst="rect">
                      <a:avLst/>
                    </a:prstGeom>
                  </pic:spPr>
                </pic:pic>
              </a:graphicData>
            </a:graphic>
          </wp:inline>
        </w:drawing>
      </w:r>
      <w:r w:rsidR="00496347" w:rsidRPr="00AE3F1B">
        <w:rPr>
          <w:rFonts w:ascii="Garamond" w:hAnsi="Garamond"/>
          <w:sz w:val="24"/>
          <w:szCs w:val="24"/>
        </w:rPr>
        <w:t>ID Sp. z o.o. realizuje zadania wymienione w pkt.V.1., poprzez służbę dyspozytorską (dyżurni</w:t>
      </w:r>
      <w:r>
        <w:rPr>
          <w:rFonts w:ascii="Garamond" w:hAnsi="Garamond"/>
          <w:sz w:val="24"/>
          <w:szCs w:val="24"/>
        </w:rPr>
        <w:t xml:space="preserve"> </w:t>
      </w:r>
      <w:r w:rsidR="00496347" w:rsidRPr="00AE3F1B">
        <w:rPr>
          <w:rFonts w:ascii="Garamond" w:hAnsi="Garamond"/>
          <w:sz w:val="24"/>
          <w:szCs w:val="24"/>
        </w:rPr>
        <w:t xml:space="preserve">stacji 110/6 </w:t>
      </w:r>
      <w:proofErr w:type="spellStart"/>
      <w:r w:rsidR="00496347" w:rsidRPr="00AE3F1B">
        <w:rPr>
          <w:rFonts w:ascii="Garamond" w:hAnsi="Garamond"/>
          <w:sz w:val="24"/>
          <w:szCs w:val="24"/>
        </w:rPr>
        <w:t>kV</w:t>
      </w:r>
      <w:proofErr w:type="spellEnd"/>
      <w:r w:rsidR="00496347" w:rsidRPr="00AE3F1B">
        <w:rPr>
          <w:rFonts w:ascii="Garamond" w:hAnsi="Garamond"/>
          <w:sz w:val="24"/>
          <w:szCs w:val="24"/>
        </w:rPr>
        <w:t>).</w:t>
      </w:r>
    </w:p>
    <w:p w14:paraId="6BB7FDC5" w14:textId="77777777" w:rsidR="00496347" w:rsidRPr="00AE3F1B" w:rsidRDefault="00496347">
      <w:pPr>
        <w:numPr>
          <w:ilvl w:val="2"/>
          <w:numId w:val="36"/>
        </w:numPr>
        <w:spacing w:after="166" w:line="253" w:lineRule="auto"/>
        <w:ind w:left="567" w:right="-3" w:hanging="567"/>
        <w:jc w:val="left"/>
        <w:rPr>
          <w:rFonts w:ascii="Garamond" w:hAnsi="Garamond"/>
          <w:sz w:val="24"/>
          <w:szCs w:val="24"/>
        </w:rPr>
      </w:pPr>
      <w:r w:rsidRPr="00AE3F1B">
        <w:rPr>
          <w:rFonts w:ascii="Garamond" w:hAnsi="Garamond"/>
          <w:sz w:val="24"/>
          <w:szCs w:val="24"/>
        </w:rPr>
        <w:t xml:space="preserve">Służba dyspozytorska PGE Dystrybucja S.A. Oddział Skarżysko — Kamienna jest uprawniona </w:t>
      </w:r>
      <w:r w:rsidR="002A0B0B">
        <w:rPr>
          <w:rFonts w:ascii="Garamond" w:hAnsi="Garamond"/>
          <w:sz w:val="24"/>
          <w:szCs w:val="24"/>
        </w:rPr>
        <w:br/>
      </w:r>
      <w:r w:rsidRPr="00AE3F1B">
        <w:rPr>
          <w:rFonts w:ascii="Garamond" w:hAnsi="Garamond"/>
          <w:sz w:val="24"/>
          <w:szCs w:val="24"/>
        </w:rPr>
        <w:t>do wydawania poleceń ruchowych służbie dyspozytorskiej ID Sp. z o.o.</w:t>
      </w:r>
    </w:p>
    <w:p w14:paraId="0C8F6A47" w14:textId="4027DF0D" w:rsidR="00496347" w:rsidRPr="00AE3F1B" w:rsidRDefault="00496347">
      <w:pPr>
        <w:numPr>
          <w:ilvl w:val="2"/>
          <w:numId w:val="36"/>
        </w:numPr>
        <w:spacing w:after="0" w:line="252" w:lineRule="auto"/>
        <w:ind w:left="567" w:right="-6" w:hanging="567"/>
        <w:jc w:val="left"/>
        <w:rPr>
          <w:rFonts w:ascii="Garamond" w:hAnsi="Garamond"/>
          <w:sz w:val="24"/>
          <w:szCs w:val="24"/>
        </w:rPr>
      </w:pPr>
      <w:r w:rsidRPr="00AE3F1B">
        <w:rPr>
          <w:rFonts w:ascii="Garamond" w:hAnsi="Garamond"/>
          <w:sz w:val="24"/>
          <w:szCs w:val="24"/>
        </w:rPr>
        <w:lastRenderedPageBreak/>
        <w:t>Służba dyspozytorska ID Sp. z o.o. działa za pośrednictwem własnego personelu dyżurnego (obsługa stacji 110/6kV</w:t>
      </w:r>
      <w:r w:rsidR="00C50211" w:rsidRPr="00AE3F1B">
        <w:rPr>
          <w:rFonts w:ascii="Garamond" w:hAnsi="Garamond"/>
          <w:sz w:val="24"/>
          <w:szCs w:val="24"/>
        </w:rPr>
        <w:t>). Służba</w:t>
      </w:r>
      <w:r w:rsidRPr="00AE3F1B">
        <w:rPr>
          <w:rFonts w:ascii="Garamond" w:hAnsi="Garamond"/>
          <w:sz w:val="24"/>
          <w:szCs w:val="24"/>
        </w:rPr>
        <w:t xml:space="preserve"> dyspozytorska ID Sp. z o.o. na obszarze sieci dystrybucyjnej, </w:t>
      </w:r>
      <w:r w:rsidR="002A0B0B">
        <w:rPr>
          <w:rFonts w:ascii="Garamond" w:hAnsi="Garamond"/>
          <w:sz w:val="24"/>
          <w:szCs w:val="24"/>
        </w:rPr>
        <w:br/>
      </w:r>
      <w:r w:rsidRPr="00AE3F1B">
        <w:rPr>
          <w:rFonts w:ascii="Garamond" w:hAnsi="Garamond"/>
          <w:sz w:val="24"/>
          <w:szCs w:val="24"/>
        </w:rPr>
        <w:t>za której ruch odpowiadają, zgodnie z ustalonym podziałem kompetencji operatywnie kieruje:</w:t>
      </w:r>
    </w:p>
    <w:p w14:paraId="74ECD512" w14:textId="77777777" w:rsidR="00496347" w:rsidRPr="00C50211" w:rsidRDefault="00496347">
      <w:pPr>
        <w:pStyle w:val="Akapitzlist"/>
        <w:numPr>
          <w:ilvl w:val="0"/>
          <w:numId w:val="128"/>
        </w:numPr>
        <w:spacing w:line="253" w:lineRule="auto"/>
        <w:ind w:right="-3"/>
        <w:jc w:val="left"/>
        <w:rPr>
          <w:rFonts w:ascii="Garamond" w:hAnsi="Garamond"/>
          <w:sz w:val="24"/>
          <w:szCs w:val="24"/>
        </w:rPr>
      </w:pPr>
      <w:r w:rsidRPr="00C50211">
        <w:rPr>
          <w:rFonts w:ascii="Garamond" w:hAnsi="Garamond"/>
          <w:sz w:val="24"/>
          <w:szCs w:val="24"/>
        </w:rPr>
        <w:t>układami pracy sieci dystrybucyjnej ID Sp. z o.o.,</w:t>
      </w:r>
    </w:p>
    <w:p w14:paraId="3CB704FB" w14:textId="77777777" w:rsidR="00496347" w:rsidRPr="00C50211" w:rsidRDefault="00496347">
      <w:pPr>
        <w:pStyle w:val="Akapitzlist"/>
        <w:numPr>
          <w:ilvl w:val="0"/>
          <w:numId w:val="128"/>
        </w:numPr>
        <w:spacing w:line="253" w:lineRule="auto"/>
        <w:ind w:right="-3"/>
        <w:jc w:val="left"/>
        <w:rPr>
          <w:rFonts w:ascii="Garamond" w:hAnsi="Garamond"/>
          <w:sz w:val="24"/>
          <w:szCs w:val="24"/>
        </w:rPr>
      </w:pPr>
      <w:r w:rsidRPr="00C50211">
        <w:rPr>
          <w:rFonts w:ascii="Garamond" w:hAnsi="Garamond"/>
          <w:sz w:val="24"/>
          <w:szCs w:val="24"/>
        </w:rPr>
        <w:t>urządzeniami sieci dystrybucyjnej ID Sp. z o.o.,</w:t>
      </w:r>
    </w:p>
    <w:p w14:paraId="5446EB52" w14:textId="77777777" w:rsidR="00496347" w:rsidRPr="00C50211" w:rsidRDefault="00496347">
      <w:pPr>
        <w:pStyle w:val="Akapitzlist"/>
        <w:numPr>
          <w:ilvl w:val="0"/>
          <w:numId w:val="128"/>
        </w:numPr>
        <w:spacing w:line="253" w:lineRule="auto"/>
        <w:ind w:right="-3"/>
        <w:jc w:val="left"/>
        <w:rPr>
          <w:rFonts w:ascii="Garamond" w:hAnsi="Garamond"/>
          <w:sz w:val="24"/>
          <w:szCs w:val="24"/>
        </w:rPr>
      </w:pPr>
      <w:r w:rsidRPr="00C50211">
        <w:rPr>
          <w:rFonts w:ascii="Garamond" w:hAnsi="Garamond"/>
          <w:sz w:val="24"/>
          <w:szCs w:val="24"/>
        </w:rPr>
        <w:t>czynnościami łączeniowymi i regulacyjnymi wykonywanymi przez podległy personel dyżurny wg podziału kompetencji,</w:t>
      </w:r>
    </w:p>
    <w:p w14:paraId="3FBE9656" w14:textId="77777777" w:rsidR="00496347" w:rsidRDefault="00496347">
      <w:pPr>
        <w:pStyle w:val="Akapitzlist"/>
        <w:numPr>
          <w:ilvl w:val="0"/>
          <w:numId w:val="128"/>
        </w:numPr>
        <w:spacing w:line="253" w:lineRule="auto"/>
        <w:ind w:right="-3"/>
        <w:jc w:val="left"/>
        <w:rPr>
          <w:rFonts w:ascii="Garamond" w:hAnsi="Garamond"/>
          <w:sz w:val="24"/>
          <w:szCs w:val="24"/>
        </w:rPr>
      </w:pPr>
      <w:r w:rsidRPr="00C50211">
        <w:rPr>
          <w:rFonts w:ascii="Garamond" w:hAnsi="Garamond"/>
          <w:sz w:val="24"/>
          <w:szCs w:val="24"/>
        </w:rPr>
        <w:t>źródłami energii elektrycznej czynnej i biernej, w tym pracą jednostek wytwórczych przyłączonych do sieci dystrybucyjnej ID Sp. z o.o., innych niż JWCD i JWCK.</w:t>
      </w:r>
    </w:p>
    <w:p w14:paraId="127258D8" w14:textId="77777777" w:rsidR="00C50211" w:rsidRDefault="00C50211" w:rsidP="00C50211">
      <w:pPr>
        <w:spacing w:line="253" w:lineRule="auto"/>
        <w:ind w:right="-3"/>
        <w:jc w:val="left"/>
        <w:rPr>
          <w:rFonts w:ascii="Garamond" w:hAnsi="Garamond"/>
          <w:sz w:val="24"/>
          <w:szCs w:val="24"/>
        </w:rPr>
      </w:pPr>
    </w:p>
    <w:p w14:paraId="1767106F" w14:textId="77777777" w:rsidR="00C50211" w:rsidRDefault="00C50211" w:rsidP="00C50211">
      <w:pPr>
        <w:spacing w:line="253" w:lineRule="auto"/>
        <w:ind w:right="-3"/>
        <w:jc w:val="left"/>
        <w:rPr>
          <w:rFonts w:ascii="Garamond" w:hAnsi="Garamond"/>
          <w:sz w:val="24"/>
          <w:szCs w:val="24"/>
        </w:rPr>
      </w:pPr>
    </w:p>
    <w:p w14:paraId="3507C856" w14:textId="77777777" w:rsidR="00C50211" w:rsidRDefault="00C50211" w:rsidP="00C50211">
      <w:pPr>
        <w:spacing w:line="253" w:lineRule="auto"/>
        <w:ind w:right="-3"/>
        <w:jc w:val="left"/>
        <w:rPr>
          <w:rFonts w:ascii="Garamond" w:hAnsi="Garamond"/>
          <w:sz w:val="24"/>
          <w:szCs w:val="24"/>
        </w:rPr>
      </w:pPr>
    </w:p>
    <w:p w14:paraId="5EEB2BEC" w14:textId="77777777" w:rsidR="00C50211" w:rsidRPr="00C50211" w:rsidRDefault="00C50211" w:rsidP="00C50211">
      <w:pPr>
        <w:spacing w:line="253" w:lineRule="auto"/>
        <w:ind w:right="-3"/>
        <w:jc w:val="left"/>
        <w:rPr>
          <w:rFonts w:ascii="Garamond" w:hAnsi="Garamond"/>
          <w:sz w:val="24"/>
          <w:szCs w:val="24"/>
        </w:rPr>
      </w:pPr>
    </w:p>
    <w:p w14:paraId="0D9A2A27" w14:textId="5D8FE48E" w:rsidR="00496347" w:rsidRPr="00AE3F1B" w:rsidRDefault="00496347" w:rsidP="00175586">
      <w:pPr>
        <w:spacing w:after="164" w:line="253" w:lineRule="auto"/>
        <w:ind w:left="567" w:right="-3" w:hanging="567"/>
        <w:jc w:val="left"/>
        <w:rPr>
          <w:rFonts w:ascii="Garamond" w:hAnsi="Garamond"/>
          <w:sz w:val="24"/>
          <w:szCs w:val="24"/>
        </w:rPr>
      </w:pPr>
      <w:r w:rsidRPr="00AE3F1B">
        <w:rPr>
          <w:rFonts w:ascii="Garamond" w:hAnsi="Garamond"/>
          <w:sz w:val="24"/>
          <w:szCs w:val="24"/>
        </w:rPr>
        <w:t>VI.2.4. Służba dyspozytorska ID Sp. z o.o., sprawuj</w:t>
      </w:r>
      <w:r w:rsidR="007904D6">
        <w:rPr>
          <w:rFonts w:ascii="Garamond" w:hAnsi="Garamond"/>
          <w:sz w:val="24"/>
          <w:szCs w:val="24"/>
        </w:rPr>
        <w:t>e</w:t>
      </w:r>
      <w:r w:rsidRPr="00AE3F1B">
        <w:rPr>
          <w:rFonts w:ascii="Garamond" w:hAnsi="Garamond"/>
          <w:sz w:val="24"/>
          <w:szCs w:val="24"/>
        </w:rPr>
        <w:t xml:space="preserve"> operatywne kierownictwo nad urządzeniami systemu dystrybucyjnego, polegające w szczególności na:</w:t>
      </w:r>
    </w:p>
    <w:p w14:paraId="6E4FC387" w14:textId="77777777" w:rsidR="00496347" w:rsidRPr="00AE3F1B" w:rsidRDefault="00496347">
      <w:pPr>
        <w:numPr>
          <w:ilvl w:val="0"/>
          <w:numId w:val="37"/>
        </w:numPr>
        <w:spacing w:line="253" w:lineRule="auto"/>
        <w:ind w:left="993" w:right="-3" w:hanging="567"/>
        <w:jc w:val="left"/>
        <w:rPr>
          <w:rFonts w:ascii="Garamond" w:hAnsi="Garamond"/>
          <w:sz w:val="24"/>
          <w:szCs w:val="24"/>
        </w:rPr>
      </w:pPr>
      <w:r w:rsidRPr="00AE3F1B">
        <w:rPr>
          <w:rFonts w:ascii="Garamond" w:hAnsi="Garamond"/>
          <w:sz w:val="24"/>
          <w:szCs w:val="24"/>
        </w:rPr>
        <w:t>monitorowaniu pracy urządzeń,</w:t>
      </w:r>
    </w:p>
    <w:p w14:paraId="050CF613" w14:textId="537924F0" w:rsidR="00496347" w:rsidRPr="00AE3F1B" w:rsidRDefault="00496347">
      <w:pPr>
        <w:numPr>
          <w:ilvl w:val="0"/>
          <w:numId w:val="37"/>
        </w:numPr>
        <w:spacing w:line="253" w:lineRule="auto"/>
        <w:ind w:left="993" w:right="-3" w:hanging="567"/>
        <w:jc w:val="left"/>
        <w:rPr>
          <w:rFonts w:ascii="Garamond" w:hAnsi="Garamond"/>
          <w:sz w:val="24"/>
          <w:szCs w:val="24"/>
        </w:rPr>
      </w:pPr>
      <w:r w:rsidRPr="00AE3F1B">
        <w:rPr>
          <w:rFonts w:ascii="Garamond" w:hAnsi="Garamond"/>
          <w:sz w:val="24"/>
          <w:szCs w:val="24"/>
        </w:rPr>
        <w:t xml:space="preserve">dokonywaniu operacji </w:t>
      </w:r>
      <w:r w:rsidR="00C50211" w:rsidRPr="00AE3F1B">
        <w:rPr>
          <w:rFonts w:ascii="Garamond" w:hAnsi="Garamond"/>
          <w:sz w:val="24"/>
          <w:szCs w:val="24"/>
        </w:rPr>
        <w:t>ruchowych</w:t>
      </w:r>
      <w:r w:rsidRPr="00AE3F1B">
        <w:rPr>
          <w:rFonts w:ascii="Garamond" w:hAnsi="Garamond"/>
          <w:sz w:val="24"/>
          <w:szCs w:val="24"/>
        </w:rPr>
        <w:t xml:space="preserve"> bądź wydawaniu poleceń dokonywania operacji ruchowych dla elementów sieci innych podmiotów na podstawie zawartych umów i instrukcji współpracy,</w:t>
      </w:r>
    </w:p>
    <w:p w14:paraId="5D48FD42" w14:textId="77777777" w:rsidR="00496347" w:rsidRPr="00AE3F1B" w:rsidRDefault="00496347">
      <w:pPr>
        <w:numPr>
          <w:ilvl w:val="0"/>
          <w:numId w:val="37"/>
        </w:numPr>
        <w:spacing w:line="253" w:lineRule="auto"/>
        <w:ind w:left="993" w:right="-3" w:hanging="567"/>
        <w:jc w:val="left"/>
        <w:rPr>
          <w:rFonts w:ascii="Garamond" w:hAnsi="Garamond"/>
          <w:sz w:val="24"/>
          <w:szCs w:val="24"/>
        </w:rPr>
      </w:pPr>
      <w:r w:rsidRPr="00AE3F1B">
        <w:rPr>
          <w:rFonts w:ascii="Garamond" w:hAnsi="Garamond"/>
          <w:sz w:val="24"/>
          <w:szCs w:val="24"/>
        </w:rPr>
        <w:t>rejestrowaniu stanów pracy urządzeń,</w:t>
      </w:r>
    </w:p>
    <w:p w14:paraId="5428BC52" w14:textId="77777777" w:rsidR="00496347" w:rsidRPr="00AE3F1B" w:rsidRDefault="00496347">
      <w:pPr>
        <w:numPr>
          <w:ilvl w:val="0"/>
          <w:numId w:val="37"/>
        </w:numPr>
        <w:spacing w:after="107" w:line="253" w:lineRule="auto"/>
        <w:ind w:left="993" w:right="-3" w:hanging="567"/>
        <w:jc w:val="left"/>
        <w:rPr>
          <w:rFonts w:ascii="Garamond" w:hAnsi="Garamond"/>
          <w:sz w:val="24"/>
          <w:szCs w:val="24"/>
        </w:rPr>
      </w:pPr>
      <w:r w:rsidRPr="00AE3F1B">
        <w:rPr>
          <w:rFonts w:ascii="Garamond" w:hAnsi="Garamond"/>
          <w:sz w:val="24"/>
          <w:szCs w:val="24"/>
        </w:rPr>
        <w:t>prowadzeniu analiz z pracy urządzeń systemu dystrybucyjnego.</w:t>
      </w:r>
    </w:p>
    <w:p w14:paraId="39CD6C7B" w14:textId="77777777" w:rsidR="00496347" w:rsidRPr="00AE3F1B" w:rsidRDefault="00496347" w:rsidP="00175586">
      <w:pPr>
        <w:spacing w:after="175" w:line="253" w:lineRule="auto"/>
        <w:ind w:left="567" w:right="-3" w:hanging="567"/>
        <w:jc w:val="left"/>
        <w:rPr>
          <w:rFonts w:ascii="Garamond" w:hAnsi="Garamond"/>
          <w:sz w:val="24"/>
          <w:szCs w:val="24"/>
        </w:rPr>
      </w:pPr>
      <w:r w:rsidRPr="00AE3F1B">
        <w:rPr>
          <w:rFonts w:ascii="Garamond" w:hAnsi="Garamond"/>
          <w:sz w:val="24"/>
          <w:szCs w:val="24"/>
        </w:rPr>
        <w:t>VI.2.5. Służba dyspozytorska ID Sp. z o.o. na obszarze sieci dystrybucyjnej, za której ruch odpowiada, zgodnie z ustalonym podziałem kompetencji sprawuje nadzór nad:</w:t>
      </w:r>
    </w:p>
    <w:p w14:paraId="18C78A98" w14:textId="77777777" w:rsidR="00496347" w:rsidRPr="00AE3F1B" w:rsidRDefault="00496347">
      <w:pPr>
        <w:numPr>
          <w:ilvl w:val="0"/>
          <w:numId w:val="38"/>
        </w:numPr>
        <w:spacing w:line="253" w:lineRule="auto"/>
        <w:ind w:left="993" w:right="-3" w:hanging="567"/>
        <w:jc w:val="left"/>
        <w:rPr>
          <w:rFonts w:ascii="Garamond" w:hAnsi="Garamond"/>
          <w:sz w:val="24"/>
          <w:szCs w:val="24"/>
        </w:rPr>
      </w:pPr>
      <w:r w:rsidRPr="00AE3F1B">
        <w:rPr>
          <w:rFonts w:ascii="Garamond" w:hAnsi="Garamond"/>
          <w:sz w:val="24"/>
          <w:szCs w:val="24"/>
        </w:rPr>
        <w:t>układem pracy sieci dystrybucyjnej ID Sp. z o.o.,</w:t>
      </w:r>
    </w:p>
    <w:p w14:paraId="3A1CAFE0" w14:textId="77777777" w:rsidR="00496347" w:rsidRPr="00AE3F1B" w:rsidRDefault="00496347">
      <w:pPr>
        <w:numPr>
          <w:ilvl w:val="0"/>
          <w:numId w:val="38"/>
        </w:numPr>
        <w:spacing w:line="253" w:lineRule="auto"/>
        <w:ind w:left="993" w:right="-3" w:hanging="567"/>
        <w:jc w:val="left"/>
        <w:rPr>
          <w:rFonts w:ascii="Garamond" w:hAnsi="Garamond"/>
          <w:sz w:val="24"/>
          <w:szCs w:val="24"/>
        </w:rPr>
      </w:pPr>
      <w:r w:rsidRPr="00AE3F1B">
        <w:rPr>
          <w:rFonts w:ascii="Garamond" w:hAnsi="Garamond"/>
          <w:sz w:val="24"/>
          <w:szCs w:val="24"/>
        </w:rPr>
        <w:t>urządzeniami sieci dystrybucyjnej ID Sp. z o.o.,</w:t>
      </w:r>
    </w:p>
    <w:p w14:paraId="7994093A" w14:textId="77777777" w:rsidR="00496347" w:rsidRPr="00AE3F1B" w:rsidRDefault="00496347">
      <w:pPr>
        <w:numPr>
          <w:ilvl w:val="0"/>
          <w:numId w:val="38"/>
        </w:numPr>
        <w:spacing w:line="253" w:lineRule="auto"/>
        <w:ind w:left="993" w:right="-3" w:hanging="567"/>
        <w:jc w:val="left"/>
        <w:rPr>
          <w:rFonts w:ascii="Garamond" w:hAnsi="Garamond"/>
          <w:sz w:val="24"/>
          <w:szCs w:val="24"/>
        </w:rPr>
      </w:pPr>
      <w:r w:rsidRPr="00AE3F1B">
        <w:rPr>
          <w:rFonts w:ascii="Garamond" w:hAnsi="Garamond"/>
          <w:sz w:val="24"/>
          <w:szCs w:val="24"/>
        </w:rPr>
        <w:t>czynnościami łączeniowymi i regulacyjnymi wykonywanymi przez podległy personel dyżurny według podziału kompetencji,</w:t>
      </w:r>
    </w:p>
    <w:p w14:paraId="3F32E2A4" w14:textId="77777777" w:rsidR="00496347" w:rsidRPr="00AE3F1B" w:rsidRDefault="00496347">
      <w:pPr>
        <w:numPr>
          <w:ilvl w:val="0"/>
          <w:numId w:val="38"/>
        </w:numPr>
        <w:spacing w:line="253" w:lineRule="auto"/>
        <w:ind w:left="993" w:right="-3" w:hanging="567"/>
        <w:jc w:val="left"/>
        <w:rPr>
          <w:rFonts w:ascii="Garamond" w:hAnsi="Garamond"/>
          <w:sz w:val="24"/>
          <w:szCs w:val="24"/>
        </w:rPr>
      </w:pPr>
      <w:r w:rsidRPr="00AE3F1B">
        <w:rPr>
          <w:rFonts w:ascii="Garamond" w:hAnsi="Garamond"/>
          <w:sz w:val="24"/>
          <w:szCs w:val="24"/>
        </w:rPr>
        <w:t>źródłami energii elektrycznej czynnej i biernej, w tym pracą jednostek wytwórczych przyłączonych do sieci dystrybucyjnej ID Sp. z o.o., innych niż JWCD i JWCK.</w:t>
      </w:r>
    </w:p>
    <w:p w14:paraId="1E2D8F10" w14:textId="77777777" w:rsidR="00496347" w:rsidRPr="00AE3F1B" w:rsidRDefault="00496347" w:rsidP="00175586">
      <w:pPr>
        <w:spacing w:after="137" w:line="253" w:lineRule="auto"/>
        <w:ind w:left="567" w:right="-3" w:hanging="567"/>
        <w:jc w:val="left"/>
        <w:rPr>
          <w:rFonts w:ascii="Garamond" w:hAnsi="Garamond"/>
          <w:sz w:val="24"/>
          <w:szCs w:val="24"/>
        </w:rPr>
      </w:pPr>
      <w:r w:rsidRPr="00AE3F1B">
        <w:rPr>
          <w:rFonts w:ascii="Garamond" w:hAnsi="Garamond"/>
          <w:sz w:val="24"/>
          <w:szCs w:val="24"/>
        </w:rPr>
        <w:t>VI.2.6. Służba dyspozytorska ID Sp. z o.o. sprawuje operatywny nadzór nad określonymi urządzeniami systemu dystrybucyjnego ID Sp. z o.o., polegający w szczególności na:</w:t>
      </w:r>
    </w:p>
    <w:p w14:paraId="54D6185A" w14:textId="77777777" w:rsidR="00496347" w:rsidRPr="00AE3F1B" w:rsidRDefault="00496347">
      <w:pPr>
        <w:numPr>
          <w:ilvl w:val="0"/>
          <w:numId w:val="39"/>
        </w:numPr>
        <w:spacing w:line="253" w:lineRule="auto"/>
        <w:ind w:left="993" w:right="-3" w:hanging="567"/>
        <w:jc w:val="left"/>
        <w:rPr>
          <w:rFonts w:ascii="Garamond" w:hAnsi="Garamond"/>
          <w:sz w:val="24"/>
          <w:szCs w:val="24"/>
        </w:rPr>
      </w:pPr>
      <w:r w:rsidRPr="00AE3F1B">
        <w:rPr>
          <w:rFonts w:ascii="Garamond" w:hAnsi="Garamond"/>
          <w:sz w:val="24"/>
          <w:szCs w:val="24"/>
        </w:rPr>
        <w:t>bieżącym uzyskiwaniu informacji o stanie pracy urządzeń,</w:t>
      </w:r>
    </w:p>
    <w:p w14:paraId="34710FBC" w14:textId="77777777" w:rsidR="00496347" w:rsidRPr="00AE3F1B" w:rsidRDefault="00496347">
      <w:pPr>
        <w:numPr>
          <w:ilvl w:val="0"/>
          <w:numId w:val="39"/>
        </w:numPr>
        <w:spacing w:line="253" w:lineRule="auto"/>
        <w:ind w:left="993" w:right="-3" w:hanging="567"/>
        <w:jc w:val="left"/>
        <w:rPr>
          <w:rFonts w:ascii="Garamond" w:hAnsi="Garamond"/>
          <w:sz w:val="24"/>
          <w:szCs w:val="24"/>
        </w:rPr>
      </w:pPr>
      <w:r w:rsidRPr="00AE3F1B">
        <w:rPr>
          <w:rFonts w:ascii="Garamond" w:hAnsi="Garamond"/>
          <w:sz w:val="24"/>
          <w:szCs w:val="24"/>
        </w:rPr>
        <w:t>przejmowaniu w uzasadnionych przypadkach operatywnego kierownictwa nad urządzeniami,</w:t>
      </w:r>
    </w:p>
    <w:p w14:paraId="70756D5F" w14:textId="77777777" w:rsidR="00496347" w:rsidRPr="00AE3F1B" w:rsidRDefault="00496347">
      <w:pPr>
        <w:numPr>
          <w:ilvl w:val="0"/>
          <w:numId w:val="39"/>
        </w:numPr>
        <w:spacing w:after="83" w:line="253" w:lineRule="auto"/>
        <w:ind w:left="993" w:right="-3" w:hanging="567"/>
        <w:jc w:val="left"/>
        <w:rPr>
          <w:rFonts w:ascii="Garamond" w:hAnsi="Garamond"/>
          <w:sz w:val="24"/>
          <w:szCs w:val="24"/>
        </w:rPr>
      </w:pPr>
      <w:r w:rsidRPr="00AE3F1B">
        <w:rPr>
          <w:rFonts w:ascii="Garamond" w:hAnsi="Garamond"/>
          <w:sz w:val="24"/>
          <w:szCs w:val="24"/>
        </w:rPr>
        <w:t>wydawaniu zgody na wykonanie czynności ruchowych.</w:t>
      </w:r>
    </w:p>
    <w:p w14:paraId="63F1B9B0" w14:textId="77777777" w:rsidR="00496347" w:rsidRDefault="00496347" w:rsidP="00175586">
      <w:pPr>
        <w:spacing w:line="253" w:lineRule="auto"/>
        <w:ind w:left="567" w:right="-3" w:hanging="567"/>
        <w:jc w:val="left"/>
        <w:rPr>
          <w:rFonts w:ascii="Garamond" w:hAnsi="Garamond"/>
          <w:sz w:val="24"/>
          <w:szCs w:val="24"/>
        </w:rPr>
      </w:pPr>
      <w:r w:rsidRPr="00AE3F1B">
        <w:rPr>
          <w:rFonts w:ascii="Garamond" w:hAnsi="Garamond"/>
          <w:sz w:val="24"/>
          <w:szCs w:val="24"/>
        </w:rPr>
        <w:t>VI.2.7. W przypadku wystąpienia awarii w sieci dystrybucyjnej, ID Sp. z o.o. w uzasadnionych przypadkach powołuje komisję, która ustala przebieg awarii i przyczyny jej powstania, a także proponuje działania zapobiegawcze.</w:t>
      </w:r>
    </w:p>
    <w:p w14:paraId="5E2ED755" w14:textId="77777777" w:rsidR="00C50211" w:rsidRPr="00AE3F1B" w:rsidRDefault="00C50211" w:rsidP="00175586">
      <w:pPr>
        <w:spacing w:line="253" w:lineRule="auto"/>
        <w:ind w:left="567" w:right="-3" w:hanging="567"/>
        <w:jc w:val="left"/>
        <w:rPr>
          <w:rFonts w:ascii="Garamond" w:hAnsi="Garamond"/>
          <w:sz w:val="24"/>
          <w:szCs w:val="24"/>
        </w:rPr>
      </w:pPr>
    </w:p>
    <w:p w14:paraId="452AA152" w14:textId="4607B983" w:rsidR="00496347" w:rsidRPr="00C50211" w:rsidRDefault="00496347" w:rsidP="00C50211">
      <w:pPr>
        <w:keepNext/>
        <w:keepLines/>
        <w:spacing w:after="16" w:line="248" w:lineRule="auto"/>
        <w:ind w:left="567" w:right="-3" w:hanging="567"/>
        <w:jc w:val="left"/>
        <w:outlineLvl w:val="1"/>
        <w:rPr>
          <w:rFonts w:asciiTheme="majorHAnsi" w:hAnsiTheme="majorHAnsi"/>
          <w:b/>
          <w:bCs/>
          <w:sz w:val="24"/>
          <w:szCs w:val="24"/>
        </w:rPr>
      </w:pPr>
      <w:bookmarkStart w:id="81" w:name="_Toc171860252"/>
      <w:bookmarkStart w:id="82" w:name="_Toc171861066"/>
      <w:r w:rsidRPr="00660DC3">
        <w:rPr>
          <w:rFonts w:asciiTheme="majorHAnsi" w:hAnsiTheme="majorHAnsi"/>
          <w:b/>
          <w:bCs/>
          <w:sz w:val="24"/>
          <w:szCs w:val="24"/>
        </w:rPr>
        <w:lastRenderedPageBreak/>
        <w:t xml:space="preserve">VI.3. </w:t>
      </w:r>
      <w:r w:rsidR="002A0B0B" w:rsidRPr="00660DC3">
        <w:rPr>
          <w:rFonts w:asciiTheme="majorHAnsi" w:hAnsiTheme="majorHAnsi"/>
          <w:b/>
          <w:bCs/>
          <w:sz w:val="24"/>
          <w:szCs w:val="24"/>
        </w:rPr>
        <w:t>Planowanie produkcji energii elektrycznej</w:t>
      </w:r>
      <w:bookmarkEnd w:id="81"/>
      <w:bookmarkEnd w:id="82"/>
    </w:p>
    <w:p w14:paraId="0F7B9E3C" w14:textId="7CF6F2F8" w:rsidR="00496347" w:rsidRPr="00AE3F1B" w:rsidRDefault="00496347" w:rsidP="00175586">
      <w:pPr>
        <w:spacing w:after="228" w:line="253" w:lineRule="auto"/>
        <w:ind w:left="567" w:right="-3" w:hanging="567"/>
        <w:jc w:val="left"/>
        <w:rPr>
          <w:rFonts w:ascii="Garamond" w:hAnsi="Garamond"/>
          <w:sz w:val="24"/>
          <w:szCs w:val="24"/>
        </w:rPr>
      </w:pPr>
      <w:r w:rsidRPr="00AE3F1B">
        <w:rPr>
          <w:rFonts w:ascii="Garamond" w:hAnsi="Garamond"/>
          <w:sz w:val="24"/>
          <w:szCs w:val="24"/>
        </w:rPr>
        <w:t xml:space="preserve">VI.3.1. Wytwórcy inni niż JWCD i JWCK przyłączeni do sieci dystrybucyjnej ID Sp. z o.o. przekazują dane niezbędne do sporządzenia planów produkcji w zakresie i terminach ustalonych przez </w:t>
      </w:r>
      <w:r w:rsidR="00CB794E" w:rsidRPr="00AE3F1B">
        <w:rPr>
          <w:rFonts w:ascii="Garamond" w:hAnsi="Garamond"/>
          <w:sz w:val="24"/>
          <w:szCs w:val="24"/>
        </w:rPr>
        <w:br/>
      </w:r>
      <w:r w:rsidRPr="00AE3F1B">
        <w:rPr>
          <w:rFonts w:ascii="Garamond" w:hAnsi="Garamond"/>
          <w:sz w:val="24"/>
          <w:szCs w:val="24"/>
        </w:rPr>
        <w:t xml:space="preserve">ID Sp. </w:t>
      </w:r>
      <w:r w:rsidR="00C50211" w:rsidRPr="00AE3F1B">
        <w:rPr>
          <w:rFonts w:ascii="Garamond" w:hAnsi="Garamond"/>
          <w:sz w:val="24"/>
          <w:szCs w:val="24"/>
        </w:rPr>
        <w:t>z o.o.</w:t>
      </w:r>
    </w:p>
    <w:p w14:paraId="1472164D" w14:textId="0CC3A443" w:rsidR="00496347" w:rsidRPr="00AE3F1B" w:rsidRDefault="00496347" w:rsidP="00175586">
      <w:pPr>
        <w:spacing w:after="205" w:line="253" w:lineRule="auto"/>
        <w:ind w:left="567" w:right="-3" w:hanging="567"/>
        <w:jc w:val="left"/>
        <w:rPr>
          <w:rFonts w:ascii="Garamond" w:hAnsi="Garamond"/>
          <w:sz w:val="24"/>
          <w:szCs w:val="24"/>
        </w:rPr>
      </w:pPr>
      <w:r w:rsidRPr="00AE3F1B">
        <w:rPr>
          <w:rFonts w:ascii="Garamond" w:hAnsi="Garamond"/>
          <w:sz w:val="24"/>
          <w:szCs w:val="24"/>
        </w:rPr>
        <w:t xml:space="preserve">VI.3.2. ID Sp. z o.o. sporządza plany pracy jednostek wytwórczych przyłączonych do sieci dystrybucyjnej na zasadach opisanych w </w:t>
      </w:r>
      <w:r w:rsidR="005A49CC" w:rsidRPr="005A49CC">
        <w:rPr>
          <w:rFonts w:ascii="Garamond" w:hAnsi="Garamond"/>
          <w:sz w:val="24"/>
          <w:szCs w:val="24"/>
        </w:rPr>
        <w:t>IRiESD</w:t>
      </w:r>
      <w:r w:rsidRPr="00AE3F1B">
        <w:rPr>
          <w:rFonts w:ascii="Garamond" w:hAnsi="Garamond"/>
          <w:sz w:val="24"/>
          <w:szCs w:val="24"/>
        </w:rPr>
        <w:t xml:space="preserve"> PGE Dystrybucja S.A.</w:t>
      </w:r>
    </w:p>
    <w:p w14:paraId="77CE4BC8" w14:textId="77777777" w:rsidR="00496347" w:rsidRPr="00AE3F1B" w:rsidRDefault="00496347" w:rsidP="00175586">
      <w:pPr>
        <w:spacing w:after="170" w:line="253" w:lineRule="auto"/>
        <w:ind w:left="567" w:right="-3" w:hanging="567"/>
        <w:jc w:val="left"/>
        <w:rPr>
          <w:rFonts w:ascii="Garamond" w:hAnsi="Garamond"/>
          <w:sz w:val="24"/>
          <w:szCs w:val="24"/>
        </w:rPr>
      </w:pPr>
      <w:r w:rsidRPr="00AE3F1B">
        <w:rPr>
          <w:rFonts w:ascii="Garamond" w:hAnsi="Garamond"/>
          <w:sz w:val="24"/>
          <w:szCs w:val="24"/>
        </w:rPr>
        <w:t>VI.3.3. ID Sp. z o.o. zatwierdza harmonogramy remontów jednostek wytwórczych minimum 5 MW przyłączonych do sieci dystrybucyjnej ID Sp. z o.o., innych niż JWCD oraz JWCK. ID Sp. z o.o. przesyła do wytwórców zatwierdzone harmonogramy remontów w terminach:</w:t>
      </w:r>
    </w:p>
    <w:p w14:paraId="403E2042" w14:textId="77777777" w:rsidR="00496347" w:rsidRPr="004A5DD7" w:rsidRDefault="00496347">
      <w:pPr>
        <w:pStyle w:val="Akapitzlist"/>
        <w:numPr>
          <w:ilvl w:val="0"/>
          <w:numId w:val="129"/>
        </w:numPr>
        <w:spacing w:line="253" w:lineRule="auto"/>
        <w:ind w:right="-3"/>
        <w:jc w:val="left"/>
        <w:rPr>
          <w:rFonts w:ascii="Garamond" w:hAnsi="Garamond"/>
          <w:sz w:val="24"/>
          <w:szCs w:val="24"/>
        </w:rPr>
      </w:pPr>
      <w:r w:rsidRPr="004A5DD7">
        <w:rPr>
          <w:rFonts w:ascii="Garamond" w:hAnsi="Garamond"/>
          <w:sz w:val="24"/>
          <w:szCs w:val="24"/>
        </w:rPr>
        <w:t>plan roczny do 30 listopada każdego roku na następne 3 lata kalendarzowe,</w:t>
      </w:r>
    </w:p>
    <w:p w14:paraId="2A684D55" w14:textId="77777777" w:rsidR="00496347" w:rsidRPr="004A5DD7" w:rsidRDefault="00496347">
      <w:pPr>
        <w:pStyle w:val="Akapitzlist"/>
        <w:numPr>
          <w:ilvl w:val="0"/>
          <w:numId w:val="129"/>
        </w:numPr>
        <w:spacing w:after="121" w:line="259" w:lineRule="auto"/>
        <w:ind w:right="-3"/>
        <w:jc w:val="left"/>
        <w:rPr>
          <w:rFonts w:ascii="Garamond" w:hAnsi="Garamond"/>
          <w:sz w:val="24"/>
          <w:szCs w:val="24"/>
        </w:rPr>
      </w:pPr>
      <w:r w:rsidRPr="004A5DD7">
        <w:rPr>
          <w:rFonts w:ascii="Garamond" w:hAnsi="Garamond"/>
          <w:sz w:val="24"/>
          <w:szCs w:val="24"/>
        </w:rPr>
        <w:t>każdorazowo przy zmianie harmonogramu remontów w roku bieżącym.</w:t>
      </w:r>
    </w:p>
    <w:p w14:paraId="7E6B890C" w14:textId="30FFA232" w:rsidR="00496347" w:rsidRPr="00AE3F1B" w:rsidRDefault="00496347" w:rsidP="00175586">
      <w:pPr>
        <w:spacing w:after="241" w:line="253" w:lineRule="auto"/>
        <w:ind w:left="567" w:right="-3" w:hanging="567"/>
        <w:jc w:val="left"/>
        <w:rPr>
          <w:rFonts w:ascii="Garamond" w:hAnsi="Garamond"/>
          <w:sz w:val="24"/>
          <w:szCs w:val="24"/>
        </w:rPr>
      </w:pPr>
      <w:r w:rsidRPr="00AE3F1B">
        <w:rPr>
          <w:rFonts w:ascii="Garamond" w:hAnsi="Garamond"/>
          <w:sz w:val="24"/>
          <w:szCs w:val="24"/>
        </w:rPr>
        <w:t xml:space="preserve">VI.3.4. ID Sp. z o.o. na podstawie wykonanych analiz technicznych, określa ograniczenia sieciowe oraz ich zakres dla pracy jednostek wytwórczych przyłączonych do sieci dystrybucyjnej ID Sp. </w:t>
      </w:r>
      <w:r w:rsidR="004A5DD7" w:rsidRPr="00AE3F1B">
        <w:rPr>
          <w:rFonts w:ascii="Garamond" w:hAnsi="Garamond"/>
          <w:sz w:val="24"/>
          <w:szCs w:val="24"/>
        </w:rPr>
        <w:t>z o.o.</w:t>
      </w:r>
    </w:p>
    <w:p w14:paraId="7E758306" w14:textId="77777777" w:rsidR="00660DC3" w:rsidRDefault="00496347" w:rsidP="004A5DD7">
      <w:pPr>
        <w:keepNext/>
        <w:keepLines/>
        <w:tabs>
          <w:tab w:val="center" w:pos="5043"/>
        </w:tabs>
        <w:spacing w:line="248" w:lineRule="auto"/>
        <w:ind w:left="567" w:right="-3" w:hanging="567"/>
        <w:jc w:val="left"/>
        <w:outlineLvl w:val="1"/>
        <w:rPr>
          <w:rFonts w:asciiTheme="majorHAnsi" w:hAnsiTheme="majorHAnsi"/>
          <w:b/>
          <w:bCs/>
          <w:sz w:val="24"/>
          <w:szCs w:val="24"/>
        </w:rPr>
      </w:pPr>
      <w:bookmarkStart w:id="83" w:name="_Toc171860253"/>
      <w:bookmarkStart w:id="84" w:name="_Toc171861067"/>
      <w:r w:rsidRPr="00660DC3">
        <w:rPr>
          <w:rFonts w:asciiTheme="majorHAnsi" w:hAnsiTheme="majorHAnsi"/>
          <w:b/>
          <w:bCs/>
          <w:sz w:val="24"/>
          <w:szCs w:val="24"/>
        </w:rPr>
        <w:t>VI.4.</w:t>
      </w:r>
      <w:r w:rsidRPr="00660DC3">
        <w:rPr>
          <w:rFonts w:asciiTheme="majorHAnsi" w:hAnsiTheme="majorHAnsi"/>
          <w:b/>
          <w:bCs/>
          <w:sz w:val="24"/>
          <w:szCs w:val="24"/>
        </w:rPr>
        <w:tab/>
      </w:r>
      <w:r w:rsidR="00660DC3">
        <w:rPr>
          <w:rFonts w:asciiTheme="majorHAnsi" w:hAnsiTheme="majorHAnsi"/>
          <w:b/>
          <w:bCs/>
          <w:sz w:val="24"/>
          <w:szCs w:val="24"/>
        </w:rPr>
        <w:t>Prognozowanie zapotrzebowania na moc i energię elektryczną</w:t>
      </w:r>
      <w:bookmarkEnd w:id="83"/>
      <w:bookmarkEnd w:id="84"/>
    </w:p>
    <w:p w14:paraId="7D306C25" w14:textId="77777777" w:rsidR="00710F07" w:rsidRPr="00AE3F1B" w:rsidRDefault="00710F07" w:rsidP="004A5DD7">
      <w:pPr>
        <w:keepNext/>
        <w:keepLines/>
        <w:tabs>
          <w:tab w:val="center" w:pos="5043"/>
        </w:tabs>
        <w:spacing w:line="248" w:lineRule="auto"/>
        <w:ind w:left="567" w:right="-3" w:hanging="567"/>
        <w:jc w:val="left"/>
        <w:outlineLvl w:val="1"/>
        <w:rPr>
          <w:rFonts w:ascii="Garamond" w:hAnsi="Garamond"/>
          <w:sz w:val="24"/>
          <w:szCs w:val="24"/>
        </w:rPr>
      </w:pPr>
      <w:bookmarkStart w:id="85" w:name="_Toc171860254"/>
      <w:bookmarkStart w:id="86" w:name="_Toc171860342"/>
      <w:bookmarkStart w:id="87" w:name="_Toc171861068"/>
      <w:r w:rsidRPr="00AE3F1B">
        <w:rPr>
          <w:rFonts w:ascii="Garamond" w:hAnsi="Garamond"/>
          <w:sz w:val="24"/>
          <w:szCs w:val="24"/>
        </w:rPr>
        <w:t>VI.4.1. ID Sp. z o.o. sporządza prognozy zapotrzebowania na moc i energię elektryczną w sieci dystrybucyjnej.</w:t>
      </w:r>
      <w:bookmarkEnd w:id="85"/>
      <w:bookmarkEnd w:id="86"/>
      <w:bookmarkEnd w:id="87"/>
    </w:p>
    <w:p w14:paraId="45B1C818" w14:textId="77777777" w:rsidR="00710F07" w:rsidRPr="00AE3F1B" w:rsidRDefault="00710F07" w:rsidP="004A5DD7">
      <w:pPr>
        <w:spacing w:line="226" w:lineRule="auto"/>
        <w:ind w:left="567" w:right="-3" w:hanging="567"/>
        <w:jc w:val="left"/>
        <w:rPr>
          <w:rFonts w:ascii="Garamond" w:hAnsi="Garamond"/>
          <w:sz w:val="24"/>
          <w:szCs w:val="24"/>
        </w:rPr>
      </w:pPr>
      <w:r w:rsidRPr="00AE3F1B">
        <w:rPr>
          <w:rFonts w:ascii="Garamond" w:hAnsi="Garamond"/>
          <w:sz w:val="24"/>
          <w:szCs w:val="24"/>
        </w:rPr>
        <w:t>VI.4.2.</w:t>
      </w:r>
      <w:r w:rsidRPr="00AE3F1B">
        <w:rPr>
          <w:rFonts w:ascii="Garamond" w:hAnsi="Garamond"/>
          <w:sz w:val="24"/>
          <w:szCs w:val="24"/>
        </w:rPr>
        <w:tab/>
        <w:t>Prognozy zapotrzebowania na moc i energię elektryczną sporządzone przez ID Sp. z o.o. uwzględniają prognozy przygotowane przez podmioty uczestniczące w rynku lokalnym.</w:t>
      </w:r>
    </w:p>
    <w:p w14:paraId="505615E9" w14:textId="77777777" w:rsidR="00710F07" w:rsidRPr="00AE3F1B" w:rsidRDefault="00710F07" w:rsidP="004A5DD7">
      <w:pPr>
        <w:spacing w:line="253" w:lineRule="auto"/>
        <w:ind w:left="567" w:right="-3" w:hanging="567"/>
        <w:jc w:val="left"/>
        <w:rPr>
          <w:rFonts w:ascii="Garamond" w:hAnsi="Garamond"/>
          <w:sz w:val="24"/>
          <w:szCs w:val="24"/>
        </w:rPr>
      </w:pPr>
      <w:r w:rsidRPr="00AE3F1B">
        <w:rPr>
          <w:rFonts w:ascii="Garamond" w:hAnsi="Garamond"/>
          <w:sz w:val="24"/>
          <w:szCs w:val="24"/>
        </w:rPr>
        <w:t xml:space="preserve">VI.4.3. Podmioty przyłączone do sieci dystrybucyjnej ID Sp. z o.o. o mocy przyłączeniowej powyżej </w:t>
      </w:r>
      <w:r w:rsidRPr="00AE3F1B">
        <w:rPr>
          <w:rFonts w:ascii="Garamond" w:hAnsi="Garamond"/>
          <w:sz w:val="24"/>
          <w:szCs w:val="24"/>
        </w:rPr>
        <w:br/>
        <w:t>5 MW, zobowiązane są do przekazywania do ID Sp. z o.o. godzinowych grafików prognozowanego zapotrzebowania na moc i energię elektryczną dla każdej kolejnej doby.</w:t>
      </w:r>
    </w:p>
    <w:p w14:paraId="119379A4" w14:textId="6547F309" w:rsidR="00710F07" w:rsidRPr="00AE3F1B" w:rsidRDefault="00710F07" w:rsidP="00175586">
      <w:pPr>
        <w:spacing w:after="186" w:line="253" w:lineRule="auto"/>
        <w:ind w:left="567" w:right="-3" w:hanging="567"/>
        <w:jc w:val="left"/>
        <w:rPr>
          <w:rFonts w:ascii="Garamond" w:hAnsi="Garamond"/>
          <w:sz w:val="24"/>
          <w:szCs w:val="24"/>
        </w:rPr>
      </w:pPr>
      <w:r w:rsidRPr="00AE3F1B">
        <w:rPr>
          <w:rFonts w:ascii="Garamond" w:hAnsi="Garamond"/>
          <w:sz w:val="24"/>
          <w:szCs w:val="24"/>
        </w:rPr>
        <w:t xml:space="preserve">VI.4.4. Zasady i sposób przekazywania </w:t>
      </w:r>
      <w:r w:rsidR="004A5DD7" w:rsidRPr="00AE3F1B">
        <w:rPr>
          <w:rFonts w:ascii="Garamond" w:hAnsi="Garamond"/>
          <w:sz w:val="24"/>
          <w:szCs w:val="24"/>
        </w:rPr>
        <w:t>danych,</w:t>
      </w:r>
      <w:r w:rsidRPr="00AE3F1B">
        <w:rPr>
          <w:rFonts w:ascii="Garamond" w:hAnsi="Garamond"/>
          <w:sz w:val="24"/>
          <w:szCs w:val="24"/>
        </w:rPr>
        <w:t xml:space="preserve"> o których mowa w pkt. V.4.3. określa ID Sp. z o.o.</w:t>
      </w:r>
    </w:p>
    <w:p w14:paraId="61AE54EE" w14:textId="77777777" w:rsidR="00710F07" w:rsidRPr="00660DC3" w:rsidRDefault="00710F07" w:rsidP="004A5DD7">
      <w:pPr>
        <w:keepNext/>
        <w:keepLines/>
        <w:spacing w:line="248" w:lineRule="auto"/>
        <w:ind w:left="567" w:right="-3" w:hanging="567"/>
        <w:jc w:val="left"/>
        <w:outlineLvl w:val="1"/>
        <w:rPr>
          <w:rFonts w:asciiTheme="majorHAnsi" w:hAnsiTheme="majorHAnsi"/>
          <w:b/>
          <w:bCs/>
          <w:sz w:val="24"/>
          <w:szCs w:val="24"/>
        </w:rPr>
      </w:pPr>
      <w:bookmarkStart w:id="88" w:name="_Toc171860255"/>
      <w:bookmarkStart w:id="89" w:name="_Toc171861069"/>
      <w:r w:rsidRPr="00660DC3">
        <w:rPr>
          <w:rFonts w:asciiTheme="majorHAnsi" w:hAnsiTheme="majorHAnsi"/>
          <w:b/>
          <w:bCs/>
          <w:sz w:val="24"/>
          <w:szCs w:val="24"/>
        </w:rPr>
        <w:t>VI.5.</w:t>
      </w:r>
      <w:r w:rsidRPr="00660DC3">
        <w:rPr>
          <w:rFonts w:asciiTheme="majorHAnsi" w:hAnsiTheme="majorHAnsi"/>
          <w:b/>
          <w:bCs/>
          <w:sz w:val="24"/>
          <w:szCs w:val="24"/>
        </w:rPr>
        <w:tab/>
      </w:r>
      <w:r w:rsidR="003C7C8A" w:rsidRPr="00660DC3">
        <w:rPr>
          <w:rFonts w:asciiTheme="majorHAnsi" w:hAnsiTheme="majorHAnsi"/>
          <w:b/>
          <w:bCs/>
          <w:sz w:val="24"/>
          <w:szCs w:val="24"/>
        </w:rPr>
        <w:t>Układ normalnej pracy sieci dystrybucyjnej</w:t>
      </w:r>
      <w:bookmarkEnd w:id="88"/>
      <w:bookmarkEnd w:id="89"/>
    </w:p>
    <w:p w14:paraId="77FD0BD2" w14:textId="77777777" w:rsidR="00710F07" w:rsidRPr="00AE3F1B" w:rsidRDefault="00710F07" w:rsidP="004A5DD7">
      <w:pPr>
        <w:spacing w:line="253" w:lineRule="auto"/>
        <w:ind w:left="567" w:right="-3" w:hanging="567"/>
        <w:jc w:val="left"/>
        <w:rPr>
          <w:rFonts w:ascii="Garamond" w:hAnsi="Garamond"/>
          <w:sz w:val="24"/>
          <w:szCs w:val="24"/>
        </w:rPr>
      </w:pPr>
      <w:r w:rsidRPr="00AE3F1B">
        <w:rPr>
          <w:rFonts w:ascii="Garamond" w:hAnsi="Garamond"/>
          <w:sz w:val="24"/>
          <w:szCs w:val="24"/>
        </w:rPr>
        <w:t xml:space="preserve">VI.5.1. Ruch elektroenergetycznej sieci dystrybucyjnej ID Sp. z o.o. o napięciu znamionowym wyższym niż 1 </w:t>
      </w:r>
      <w:proofErr w:type="spellStart"/>
      <w:r w:rsidRPr="00AE3F1B">
        <w:rPr>
          <w:rFonts w:ascii="Garamond" w:hAnsi="Garamond"/>
          <w:sz w:val="24"/>
          <w:szCs w:val="24"/>
        </w:rPr>
        <w:t>kV</w:t>
      </w:r>
      <w:proofErr w:type="spellEnd"/>
      <w:r w:rsidRPr="00AE3F1B">
        <w:rPr>
          <w:rFonts w:ascii="Garamond" w:hAnsi="Garamond"/>
          <w:sz w:val="24"/>
          <w:szCs w:val="24"/>
        </w:rPr>
        <w:t xml:space="preserve"> jest prowadzony na podstawie układu normalnego pracy sieci. Dla poszczególnych części elektroenergetycznej sieci dystrybucyjnej mogą być opracowane odrębne układy normalne pracy.</w:t>
      </w:r>
    </w:p>
    <w:p w14:paraId="41BB5D91" w14:textId="77777777" w:rsidR="00710F07" w:rsidRPr="00AE3F1B" w:rsidRDefault="00710F07" w:rsidP="004A5DD7">
      <w:pPr>
        <w:spacing w:line="253" w:lineRule="auto"/>
        <w:ind w:left="567" w:right="-3" w:hanging="567"/>
        <w:jc w:val="left"/>
        <w:rPr>
          <w:rFonts w:ascii="Garamond" w:hAnsi="Garamond"/>
          <w:sz w:val="24"/>
          <w:szCs w:val="24"/>
        </w:rPr>
      </w:pPr>
      <w:r w:rsidRPr="00AE3F1B">
        <w:rPr>
          <w:rFonts w:ascii="Garamond" w:hAnsi="Garamond"/>
          <w:sz w:val="24"/>
          <w:szCs w:val="24"/>
        </w:rPr>
        <w:t>VI.5.2.</w:t>
      </w:r>
      <w:r w:rsidRPr="00AE3F1B">
        <w:rPr>
          <w:rFonts w:ascii="Garamond" w:hAnsi="Garamond"/>
          <w:sz w:val="24"/>
          <w:szCs w:val="24"/>
        </w:rPr>
        <w:tab/>
        <w:t xml:space="preserve">ID Sp. z o.o. określa przypadki, dla których występuje konieczność opracowania układów normalnych pracy sieci o napięciu znamionowym niższym niż 1 </w:t>
      </w:r>
      <w:proofErr w:type="spellStart"/>
      <w:r w:rsidRPr="00AE3F1B">
        <w:rPr>
          <w:rFonts w:ascii="Garamond" w:hAnsi="Garamond"/>
          <w:sz w:val="24"/>
          <w:szCs w:val="24"/>
        </w:rPr>
        <w:t>kV</w:t>
      </w:r>
      <w:proofErr w:type="spellEnd"/>
      <w:r w:rsidRPr="00AE3F1B">
        <w:rPr>
          <w:rFonts w:ascii="Garamond" w:hAnsi="Garamond"/>
          <w:sz w:val="24"/>
          <w:szCs w:val="24"/>
        </w:rPr>
        <w:t>.</w:t>
      </w:r>
    </w:p>
    <w:p w14:paraId="4C015B44" w14:textId="77777777" w:rsidR="00710F07" w:rsidRPr="00AE3F1B" w:rsidRDefault="00710F07" w:rsidP="004A5DD7">
      <w:pPr>
        <w:spacing w:line="253" w:lineRule="auto"/>
        <w:ind w:left="567" w:right="-3" w:hanging="567"/>
        <w:jc w:val="left"/>
        <w:rPr>
          <w:rFonts w:ascii="Garamond" w:hAnsi="Garamond"/>
          <w:sz w:val="24"/>
          <w:szCs w:val="24"/>
        </w:rPr>
      </w:pPr>
      <w:r w:rsidRPr="00AE3F1B">
        <w:rPr>
          <w:rFonts w:ascii="Garamond" w:hAnsi="Garamond"/>
          <w:sz w:val="24"/>
          <w:szCs w:val="24"/>
        </w:rPr>
        <w:t>VI.5.3.</w:t>
      </w:r>
      <w:r w:rsidRPr="00AE3F1B">
        <w:rPr>
          <w:rFonts w:ascii="Garamond" w:hAnsi="Garamond"/>
          <w:sz w:val="24"/>
          <w:szCs w:val="24"/>
        </w:rPr>
        <w:tab/>
      </w:r>
      <w:r w:rsidRPr="00AE3F1B">
        <w:rPr>
          <w:rFonts w:ascii="Garamond" w:hAnsi="Garamond"/>
          <w:noProof/>
          <w:sz w:val="24"/>
          <w:szCs w:val="24"/>
          <w:lang w:eastAsia="pl-PL"/>
        </w:rPr>
        <w:drawing>
          <wp:inline distT="0" distB="0" distL="0" distR="0" wp14:anchorId="3951562D" wp14:editId="0063C3AF">
            <wp:extent cx="4569" cy="4568"/>
            <wp:effectExtent l="0" t="0" r="0" b="0"/>
            <wp:docPr id="150778" name="Picture 150778"/>
            <wp:cNvGraphicFramePr/>
            <a:graphic xmlns:a="http://schemas.openxmlformats.org/drawingml/2006/main">
              <a:graphicData uri="http://schemas.openxmlformats.org/drawingml/2006/picture">
                <pic:pic xmlns:pic="http://schemas.openxmlformats.org/drawingml/2006/picture">
                  <pic:nvPicPr>
                    <pic:cNvPr id="150778" name="Picture 150778"/>
                    <pic:cNvPicPr/>
                  </pic:nvPicPr>
                  <pic:blipFill>
                    <a:blip r:embed="rId12"/>
                    <a:stretch>
                      <a:fillRect/>
                    </a:stretch>
                  </pic:blipFill>
                  <pic:spPr>
                    <a:xfrm>
                      <a:off x="0" y="0"/>
                      <a:ext cx="4569" cy="4568"/>
                    </a:xfrm>
                    <a:prstGeom prst="rect">
                      <a:avLst/>
                    </a:prstGeom>
                  </pic:spPr>
                </pic:pic>
              </a:graphicData>
            </a:graphic>
          </wp:inline>
        </w:drawing>
      </w:r>
      <w:r w:rsidRPr="00AE3F1B">
        <w:rPr>
          <w:rFonts w:ascii="Garamond" w:hAnsi="Garamond"/>
          <w:sz w:val="24"/>
          <w:szCs w:val="24"/>
        </w:rPr>
        <w:t>Układ normalny pracy sieci elektroenergetycznej, w zależności od potrzeb obejmuje:</w:t>
      </w:r>
    </w:p>
    <w:p w14:paraId="6B172681" w14:textId="77777777" w:rsidR="00710F07" w:rsidRPr="004A5DD7" w:rsidRDefault="00710F07">
      <w:pPr>
        <w:pStyle w:val="Akapitzlist"/>
        <w:numPr>
          <w:ilvl w:val="0"/>
          <w:numId w:val="130"/>
        </w:numPr>
        <w:spacing w:line="253" w:lineRule="auto"/>
        <w:ind w:right="-3"/>
        <w:jc w:val="left"/>
        <w:rPr>
          <w:rFonts w:ascii="Garamond" w:hAnsi="Garamond"/>
          <w:sz w:val="24"/>
          <w:szCs w:val="24"/>
        </w:rPr>
      </w:pPr>
      <w:r w:rsidRPr="004A5DD7">
        <w:rPr>
          <w:rFonts w:ascii="Garamond" w:hAnsi="Garamond"/>
          <w:sz w:val="24"/>
          <w:szCs w:val="24"/>
        </w:rPr>
        <w:t>układy połączeń sieci dla ruchu w warunkach normalnych i w wybranych stanach szczególnych,</w:t>
      </w:r>
    </w:p>
    <w:p w14:paraId="722D04CB" w14:textId="77777777" w:rsidR="00710F07" w:rsidRPr="004A5DD7" w:rsidRDefault="00710F07">
      <w:pPr>
        <w:pStyle w:val="Akapitzlist"/>
        <w:numPr>
          <w:ilvl w:val="0"/>
          <w:numId w:val="130"/>
        </w:numPr>
        <w:spacing w:line="253" w:lineRule="auto"/>
        <w:ind w:right="-3"/>
        <w:jc w:val="left"/>
        <w:rPr>
          <w:rFonts w:ascii="Garamond" w:hAnsi="Garamond"/>
          <w:sz w:val="24"/>
          <w:szCs w:val="24"/>
        </w:rPr>
      </w:pPr>
      <w:r w:rsidRPr="004A5DD7">
        <w:rPr>
          <w:rFonts w:ascii="Garamond" w:hAnsi="Garamond"/>
          <w:sz w:val="24"/>
          <w:szCs w:val="24"/>
        </w:rPr>
        <w:t>wymagane poziomy napięcia,</w:t>
      </w:r>
    </w:p>
    <w:p w14:paraId="441DC92C" w14:textId="77777777" w:rsidR="00710F07" w:rsidRPr="004A5DD7" w:rsidRDefault="00710F07">
      <w:pPr>
        <w:pStyle w:val="Akapitzlist"/>
        <w:numPr>
          <w:ilvl w:val="0"/>
          <w:numId w:val="130"/>
        </w:numPr>
        <w:spacing w:line="253" w:lineRule="auto"/>
        <w:ind w:right="-3"/>
        <w:jc w:val="left"/>
        <w:rPr>
          <w:rFonts w:ascii="Garamond" w:hAnsi="Garamond"/>
          <w:sz w:val="24"/>
          <w:szCs w:val="24"/>
        </w:rPr>
      </w:pPr>
      <w:r w:rsidRPr="004A5DD7">
        <w:rPr>
          <w:rFonts w:ascii="Garamond" w:hAnsi="Garamond"/>
          <w:sz w:val="24"/>
          <w:szCs w:val="24"/>
        </w:rPr>
        <w:t>wartości mocy zwarciowych,</w:t>
      </w:r>
    </w:p>
    <w:p w14:paraId="45BB6657" w14:textId="77777777" w:rsidR="00710F07" w:rsidRPr="004A5DD7" w:rsidRDefault="00710F07">
      <w:pPr>
        <w:pStyle w:val="Akapitzlist"/>
        <w:numPr>
          <w:ilvl w:val="0"/>
          <w:numId w:val="130"/>
        </w:numPr>
        <w:spacing w:line="253" w:lineRule="auto"/>
        <w:ind w:right="-3"/>
        <w:jc w:val="left"/>
        <w:rPr>
          <w:rFonts w:ascii="Garamond" w:hAnsi="Garamond"/>
          <w:sz w:val="24"/>
          <w:szCs w:val="24"/>
        </w:rPr>
      </w:pPr>
      <w:r w:rsidRPr="004A5DD7">
        <w:rPr>
          <w:rFonts w:ascii="Garamond" w:hAnsi="Garamond"/>
          <w:sz w:val="24"/>
          <w:szCs w:val="24"/>
        </w:rPr>
        <w:t>rozpływy mocy czynnej i biernej w charakterystycznych stanach pracy sieci,</w:t>
      </w:r>
    </w:p>
    <w:p w14:paraId="4151EAC7" w14:textId="77777777" w:rsidR="00710F07" w:rsidRPr="004A5DD7" w:rsidRDefault="00710F07">
      <w:pPr>
        <w:pStyle w:val="Akapitzlist"/>
        <w:numPr>
          <w:ilvl w:val="0"/>
          <w:numId w:val="130"/>
        </w:numPr>
        <w:spacing w:line="253" w:lineRule="auto"/>
        <w:ind w:right="-3"/>
        <w:jc w:val="left"/>
        <w:rPr>
          <w:rFonts w:ascii="Garamond" w:hAnsi="Garamond"/>
          <w:sz w:val="24"/>
          <w:szCs w:val="24"/>
        </w:rPr>
      </w:pPr>
      <w:r w:rsidRPr="004A5DD7">
        <w:rPr>
          <w:rFonts w:ascii="Garamond" w:hAnsi="Garamond"/>
          <w:sz w:val="24"/>
          <w:szCs w:val="24"/>
        </w:rPr>
        <w:t>dopuszczalne obciążenia,</w:t>
      </w:r>
    </w:p>
    <w:p w14:paraId="7EA89F98" w14:textId="77777777" w:rsidR="00710F07" w:rsidRPr="004A5DD7" w:rsidRDefault="00710F07">
      <w:pPr>
        <w:pStyle w:val="Akapitzlist"/>
        <w:numPr>
          <w:ilvl w:val="0"/>
          <w:numId w:val="130"/>
        </w:numPr>
        <w:spacing w:line="253" w:lineRule="auto"/>
        <w:ind w:right="-3"/>
        <w:jc w:val="left"/>
        <w:rPr>
          <w:rFonts w:ascii="Garamond" w:hAnsi="Garamond"/>
          <w:sz w:val="24"/>
          <w:szCs w:val="24"/>
        </w:rPr>
      </w:pPr>
      <w:r w:rsidRPr="004A5DD7">
        <w:rPr>
          <w:rFonts w:ascii="Garamond" w:hAnsi="Garamond"/>
          <w:sz w:val="24"/>
          <w:szCs w:val="24"/>
        </w:rPr>
        <w:t>wykaz i warunki uruchomienia urządzeń rezerwowych i źródeł mocy biernej,</w:t>
      </w:r>
    </w:p>
    <w:p w14:paraId="25FF791D" w14:textId="77777777" w:rsidR="00710F07" w:rsidRPr="004A5DD7" w:rsidRDefault="00710F07">
      <w:pPr>
        <w:pStyle w:val="Akapitzlist"/>
        <w:numPr>
          <w:ilvl w:val="0"/>
          <w:numId w:val="130"/>
        </w:numPr>
        <w:spacing w:line="253" w:lineRule="auto"/>
        <w:ind w:right="-3"/>
        <w:jc w:val="left"/>
        <w:rPr>
          <w:rFonts w:ascii="Garamond" w:hAnsi="Garamond"/>
          <w:sz w:val="24"/>
          <w:szCs w:val="24"/>
        </w:rPr>
      </w:pPr>
      <w:r w:rsidRPr="004A5DD7">
        <w:rPr>
          <w:rFonts w:ascii="Garamond" w:hAnsi="Garamond"/>
          <w:sz w:val="24"/>
          <w:szCs w:val="24"/>
        </w:rPr>
        <w:t>nastawienia zabezpieczeń oraz automatyki łączeniowej i regulacyjnej,</w:t>
      </w:r>
    </w:p>
    <w:p w14:paraId="54D620C8" w14:textId="77777777" w:rsidR="00710F07" w:rsidRPr="004A5DD7" w:rsidRDefault="00710F07">
      <w:pPr>
        <w:pStyle w:val="Akapitzlist"/>
        <w:numPr>
          <w:ilvl w:val="0"/>
          <w:numId w:val="130"/>
        </w:numPr>
        <w:spacing w:line="253" w:lineRule="auto"/>
        <w:ind w:right="-3"/>
        <w:jc w:val="left"/>
        <w:rPr>
          <w:rFonts w:ascii="Garamond" w:hAnsi="Garamond"/>
          <w:sz w:val="24"/>
          <w:szCs w:val="24"/>
        </w:rPr>
      </w:pPr>
      <w:r w:rsidRPr="004A5DD7">
        <w:rPr>
          <w:rFonts w:ascii="Garamond" w:hAnsi="Garamond"/>
          <w:sz w:val="24"/>
          <w:szCs w:val="24"/>
        </w:rPr>
        <w:t>nastawienia zaczepów dławików gaszących,</w:t>
      </w:r>
    </w:p>
    <w:p w14:paraId="35B46AEE" w14:textId="77777777" w:rsidR="00710F07" w:rsidRPr="004A5DD7" w:rsidRDefault="00710F07">
      <w:pPr>
        <w:pStyle w:val="Akapitzlist"/>
        <w:numPr>
          <w:ilvl w:val="0"/>
          <w:numId w:val="130"/>
        </w:numPr>
        <w:spacing w:line="253" w:lineRule="auto"/>
        <w:ind w:right="-3"/>
        <w:jc w:val="left"/>
        <w:rPr>
          <w:rFonts w:ascii="Garamond" w:hAnsi="Garamond"/>
          <w:sz w:val="24"/>
          <w:szCs w:val="24"/>
        </w:rPr>
      </w:pPr>
      <w:r w:rsidRPr="004A5DD7">
        <w:rPr>
          <w:rFonts w:ascii="Garamond" w:hAnsi="Garamond"/>
          <w:sz w:val="24"/>
          <w:szCs w:val="24"/>
        </w:rPr>
        <w:t>ograniczenia poboru mocy elektrycznej,</w:t>
      </w:r>
    </w:p>
    <w:p w14:paraId="6576F0DE" w14:textId="77777777" w:rsidR="00710F07" w:rsidRPr="004A5DD7" w:rsidRDefault="00710F07">
      <w:pPr>
        <w:pStyle w:val="Akapitzlist"/>
        <w:numPr>
          <w:ilvl w:val="0"/>
          <w:numId w:val="130"/>
        </w:numPr>
        <w:spacing w:line="253" w:lineRule="auto"/>
        <w:ind w:right="-3"/>
        <w:jc w:val="left"/>
        <w:rPr>
          <w:rFonts w:ascii="Garamond" w:hAnsi="Garamond"/>
          <w:sz w:val="24"/>
          <w:szCs w:val="24"/>
        </w:rPr>
      </w:pPr>
      <w:r w:rsidRPr="004A5DD7">
        <w:rPr>
          <w:rFonts w:ascii="Garamond" w:hAnsi="Garamond"/>
          <w:sz w:val="24"/>
          <w:szCs w:val="24"/>
        </w:rPr>
        <w:t>miejsca uziemienia punktów gwiazdowych transformatorów,</w:t>
      </w:r>
    </w:p>
    <w:p w14:paraId="1F036EA2" w14:textId="77777777" w:rsidR="00710F07" w:rsidRPr="004A5DD7" w:rsidRDefault="00710F07">
      <w:pPr>
        <w:pStyle w:val="Akapitzlist"/>
        <w:numPr>
          <w:ilvl w:val="0"/>
          <w:numId w:val="130"/>
        </w:numPr>
        <w:spacing w:line="253" w:lineRule="auto"/>
        <w:ind w:right="-3"/>
        <w:jc w:val="left"/>
        <w:rPr>
          <w:rFonts w:ascii="Garamond" w:hAnsi="Garamond"/>
          <w:sz w:val="24"/>
          <w:szCs w:val="24"/>
        </w:rPr>
      </w:pPr>
      <w:r w:rsidRPr="004A5DD7">
        <w:rPr>
          <w:rFonts w:ascii="Garamond" w:hAnsi="Garamond"/>
          <w:sz w:val="24"/>
          <w:szCs w:val="24"/>
        </w:rPr>
        <w:t>harmonogram pracy transformatorów,</w:t>
      </w:r>
    </w:p>
    <w:p w14:paraId="61B80B99" w14:textId="77777777" w:rsidR="00710F07" w:rsidRPr="004A5DD7" w:rsidRDefault="00710F07">
      <w:pPr>
        <w:pStyle w:val="Akapitzlist"/>
        <w:numPr>
          <w:ilvl w:val="0"/>
          <w:numId w:val="130"/>
        </w:numPr>
        <w:spacing w:line="253" w:lineRule="auto"/>
        <w:ind w:right="-3"/>
        <w:jc w:val="left"/>
        <w:rPr>
          <w:rFonts w:ascii="Garamond" w:hAnsi="Garamond"/>
          <w:sz w:val="24"/>
          <w:szCs w:val="24"/>
        </w:rPr>
      </w:pPr>
      <w:r w:rsidRPr="004A5DD7">
        <w:rPr>
          <w:rFonts w:ascii="Garamond" w:hAnsi="Garamond"/>
          <w:sz w:val="24"/>
          <w:szCs w:val="24"/>
        </w:rPr>
        <w:lastRenderedPageBreak/>
        <w:t>wykaz jednostek wytwórczych.</w:t>
      </w:r>
    </w:p>
    <w:p w14:paraId="6CA1E91C" w14:textId="77777777" w:rsidR="00710F07" w:rsidRPr="00660DC3" w:rsidRDefault="00710F07" w:rsidP="004A5DD7">
      <w:pPr>
        <w:keepNext/>
        <w:keepLines/>
        <w:spacing w:line="248" w:lineRule="auto"/>
        <w:ind w:left="567" w:right="-3" w:hanging="567"/>
        <w:jc w:val="left"/>
        <w:outlineLvl w:val="1"/>
        <w:rPr>
          <w:rFonts w:asciiTheme="majorHAnsi" w:hAnsiTheme="majorHAnsi"/>
          <w:b/>
          <w:bCs/>
          <w:sz w:val="24"/>
          <w:szCs w:val="24"/>
        </w:rPr>
      </w:pPr>
      <w:bookmarkStart w:id="90" w:name="_Toc171860256"/>
      <w:bookmarkStart w:id="91" w:name="_Toc171861070"/>
      <w:r w:rsidRPr="00660DC3">
        <w:rPr>
          <w:rFonts w:asciiTheme="majorHAnsi" w:hAnsiTheme="majorHAnsi"/>
          <w:b/>
          <w:bCs/>
          <w:sz w:val="24"/>
          <w:szCs w:val="24"/>
        </w:rPr>
        <w:t>VI.6.</w:t>
      </w:r>
      <w:r w:rsidRPr="00660DC3">
        <w:rPr>
          <w:rFonts w:asciiTheme="majorHAnsi" w:hAnsiTheme="majorHAnsi"/>
          <w:b/>
          <w:bCs/>
          <w:sz w:val="24"/>
          <w:szCs w:val="24"/>
        </w:rPr>
        <w:tab/>
      </w:r>
      <w:r w:rsidR="003C7C8A" w:rsidRPr="00660DC3">
        <w:rPr>
          <w:rFonts w:asciiTheme="majorHAnsi" w:hAnsiTheme="majorHAnsi"/>
          <w:b/>
          <w:bCs/>
          <w:sz w:val="24"/>
          <w:szCs w:val="24"/>
        </w:rPr>
        <w:t>Plany wyłączeń elementów sieci dystrybucyjnej</w:t>
      </w:r>
      <w:bookmarkEnd w:id="90"/>
      <w:bookmarkEnd w:id="91"/>
    </w:p>
    <w:p w14:paraId="1A78D308" w14:textId="352DE9B8" w:rsidR="00710F07" w:rsidRPr="00AE3F1B" w:rsidRDefault="00710F07" w:rsidP="004A5DD7">
      <w:pPr>
        <w:spacing w:line="253" w:lineRule="auto"/>
        <w:ind w:left="567" w:right="-3" w:hanging="567"/>
        <w:jc w:val="left"/>
        <w:rPr>
          <w:rFonts w:ascii="Garamond" w:hAnsi="Garamond"/>
          <w:sz w:val="24"/>
          <w:szCs w:val="24"/>
        </w:rPr>
      </w:pPr>
      <w:r w:rsidRPr="00AE3F1B">
        <w:rPr>
          <w:rFonts w:ascii="Garamond" w:hAnsi="Garamond"/>
          <w:sz w:val="24"/>
          <w:szCs w:val="24"/>
        </w:rPr>
        <w:t>VI.6.1. ID Sp. z o.o. opracowuje roczny i miesięczny plan wyłączenia elementów sieci dystrybucyjnej</w:t>
      </w:r>
      <w:r w:rsidR="003C7C8A" w:rsidRPr="00AE3F1B">
        <w:rPr>
          <w:rFonts w:ascii="Garamond" w:hAnsi="Garamond"/>
          <w:sz w:val="24"/>
          <w:szCs w:val="24"/>
        </w:rPr>
        <w:br/>
      </w:r>
      <w:r w:rsidRPr="00AE3F1B">
        <w:rPr>
          <w:rFonts w:ascii="Garamond" w:hAnsi="Garamond"/>
          <w:sz w:val="24"/>
          <w:szCs w:val="24"/>
        </w:rPr>
        <w:t xml:space="preserve"> ID Sp. </w:t>
      </w:r>
      <w:r w:rsidR="004A5DD7" w:rsidRPr="00AE3F1B">
        <w:rPr>
          <w:rFonts w:ascii="Garamond" w:hAnsi="Garamond"/>
          <w:sz w:val="24"/>
          <w:szCs w:val="24"/>
        </w:rPr>
        <w:t>z o.o.</w:t>
      </w:r>
    </w:p>
    <w:p w14:paraId="28449720" w14:textId="77777777" w:rsidR="00710F07" w:rsidRPr="00AE3F1B" w:rsidRDefault="00710F07" w:rsidP="004A5DD7">
      <w:pPr>
        <w:spacing w:line="253" w:lineRule="auto"/>
        <w:ind w:left="567" w:right="-3" w:hanging="567"/>
        <w:jc w:val="left"/>
        <w:rPr>
          <w:rFonts w:ascii="Garamond" w:hAnsi="Garamond"/>
          <w:sz w:val="24"/>
          <w:szCs w:val="24"/>
        </w:rPr>
      </w:pPr>
      <w:r w:rsidRPr="00AE3F1B">
        <w:rPr>
          <w:rFonts w:ascii="Garamond" w:hAnsi="Garamond"/>
          <w:sz w:val="24"/>
          <w:szCs w:val="24"/>
        </w:rPr>
        <w:t>VI.6.2.</w:t>
      </w:r>
      <w:r w:rsidRPr="00AE3F1B">
        <w:rPr>
          <w:rFonts w:ascii="Garamond" w:hAnsi="Garamond"/>
          <w:sz w:val="24"/>
          <w:szCs w:val="24"/>
        </w:rPr>
        <w:tab/>
        <w:t>Użytkownicy systemu zgłaszają do ID Sp. z o.o. propozycję wyłączenia elementu sieci dystrybucyjnej co najmniej na 14 dni przed planowaną datą wyłączenia.</w:t>
      </w:r>
    </w:p>
    <w:p w14:paraId="6A666975" w14:textId="77777777" w:rsidR="00710F07" w:rsidRPr="00AE3F1B" w:rsidRDefault="00710F07" w:rsidP="004A5DD7">
      <w:pPr>
        <w:spacing w:after="0" w:line="253" w:lineRule="auto"/>
        <w:ind w:left="567" w:right="-3" w:hanging="567"/>
        <w:jc w:val="left"/>
        <w:rPr>
          <w:rFonts w:ascii="Garamond" w:hAnsi="Garamond"/>
          <w:sz w:val="24"/>
          <w:szCs w:val="24"/>
        </w:rPr>
      </w:pPr>
      <w:r w:rsidRPr="00AE3F1B">
        <w:rPr>
          <w:rFonts w:ascii="Garamond" w:hAnsi="Garamond"/>
          <w:sz w:val="24"/>
          <w:szCs w:val="24"/>
        </w:rPr>
        <w:t>VI.6.3. Użytkownicy systemu zgłaszający do ID Sp. z o.o. propozycję wyłączenia elementu sieci dystrybucyjnej określają:</w:t>
      </w:r>
    </w:p>
    <w:p w14:paraId="75E8AE9A" w14:textId="77777777" w:rsidR="00710F07" w:rsidRPr="004A5DD7" w:rsidRDefault="00710F07">
      <w:pPr>
        <w:pStyle w:val="Akapitzlist"/>
        <w:numPr>
          <w:ilvl w:val="0"/>
          <w:numId w:val="131"/>
        </w:numPr>
        <w:spacing w:after="0" w:line="253" w:lineRule="auto"/>
        <w:ind w:right="-3"/>
        <w:jc w:val="left"/>
        <w:rPr>
          <w:rFonts w:ascii="Garamond" w:hAnsi="Garamond"/>
          <w:sz w:val="24"/>
          <w:szCs w:val="24"/>
        </w:rPr>
      </w:pPr>
      <w:r w:rsidRPr="004A5DD7">
        <w:rPr>
          <w:rFonts w:ascii="Garamond" w:hAnsi="Garamond"/>
          <w:sz w:val="24"/>
          <w:szCs w:val="24"/>
        </w:rPr>
        <w:t>nazwę elementu,</w:t>
      </w:r>
    </w:p>
    <w:p w14:paraId="7A7F48DF" w14:textId="77777777" w:rsidR="00710F07" w:rsidRPr="004A5DD7" w:rsidRDefault="00710F07">
      <w:pPr>
        <w:pStyle w:val="Akapitzlist"/>
        <w:numPr>
          <w:ilvl w:val="0"/>
          <w:numId w:val="131"/>
        </w:numPr>
        <w:spacing w:after="0" w:line="253" w:lineRule="auto"/>
        <w:ind w:right="-3"/>
        <w:jc w:val="left"/>
        <w:rPr>
          <w:rFonts w:ascii="Garamond" w:hAnsi="Garamond"/>
          <w:sz w:val="24"/>
          <w:szCs w:val="24"/>
        </w:rPr>
      </w:pPr>
      <w:r w:rsidRPr="004A5DD7">
        <w:rPr>
          <w:rFonts w:ascii="Garamond" w:hAnsi="Garamond"/>
          <w:sz w:val="24"/>
          <w:szCs w:val="24"/>
        </w:rPr>
        <w:t>proponowany termin wyłączenia,</w:t>
      </w:r>
    </w:p>
    <w:p w14:paraId="001B87D4" w14:textId="77777777" w:rsidR="00710F07" w:rsidRPr="004A5DD7" w:rsidRDefault="00710F07">
      <w:pPr>
        <w:pStyle w:val="Akapitzlist"/>
        <w:numPr>
          <w:ilvl w:val="0"/>
          <w:numId w:val="131"/>
        </w:numPr>
        <w:spacing w:after="0" w:line="253" w:lineRule="auto"/>
        <w:ind w:right="-3"/>
        <w:jc w:val="left"/>
        <w:rPr>
          <w:rFonts w:ascii="Garamond" w:hAnsi="Garamond"/>
          <w:sz w:val="24"/>
          <w:szCs w:val="24"/>
        </w:rPr>
      </w:pPr>
      <w:r w:rsidRPr="004A5DD7">
        <w:rPr>
          <w:rFonts w:ascii="Garamond" w:hAnsi="Garamond"/>
          <w:sz w:val="24"/>
          <w:szCs w:val="24"/>
        </w:rPr>
        <w:t>gotowość do załączenia rozumiana jako czas potrzebny użytkownikowi systemu na przygotowanie urządzeń do podania napięcia po wydaniu polecenia ruchowego na przerwanie/zakończenie prowadzonych prac,</w:t>
      </w:r>
    </w:p>
    <w:p w14:paraId="3B368A63" w14:textId="77777777" w:rsidR="00710F07" w:rsidRPr="004A5DD7" w:rsidRDefault="00710F07">
      <w:pPr>
        <w:pStyle w:val="Akapitzlist"/>
        <w:numPr>
          <w:ilvl w:val="0"/>
          <w:numId w:val="131"/>
        </w:numPr>
        <w:spacing w:after="0" w:line="253" w:lineRule="auto"/>
        <w:ind w:right="-3"/>
        <w:jc w:val="left"/>
        <w:rPr>
          <w:rFonts w:ascii="Garamond" w:hAnsi="Garamond"/>
          <w:sz w:val="24"/>
          <w:szCs w:val="24"/>
        </w:rPr>
      </w:pPr>
      <w:r w:rsidRPr="004A5DD7">
        <w:rPr>
          <w:rFonts w:ascii="Garamond" w:hAnsi="Garamond"/>
          <w:sz w:val="24"/>
          <w:szCs w:val="24"/>
        </w:rPr>
        <w:t>typ wyłączenia (np.: trwałe, codzienne),</w:t>
      </w:r>
    </w:p>
    <w:p w14:paraId="3667BE8D" w14:textId="77777777" w:rsidR="00710F07" w:rsidRPr="004A5DD7" w:rsidRDefault="00710F07">
      <w:pPr>
        <w:pStyle w:val="Akapitzlist"/>
        <w:numPr>
          <w:ilvl w:val="0"/>
          <w:numId w:val="131"/>
        </w:numPr>
        <w:spacing w:after="0" w:line="253" w:lineRule="auto"/>
        <w:ind w:right="-3"/>
        <w:jc w:val="left"/>
        <w:rPr>
          <w:rFonts w:ascii="Garamond" w:hAnsi="Garamond"/>
          <w:sz w:val="24"/>
          <w:szCs w:val="24"/>
        </w:rPr>
      </w:pPr>
      <w:r w:rsidRPr="004A5DD7">
        <w:rPr>
          <w:rFonts w:ascii="Garamond" w:hAnsi="Garamond"/>
          <w:sz w:val="24"/>
          <w:szCs w:val="24"/>
        </w:rPr>
        <w:t>opis wykonywanych prac,</w:t>
      </w:r>
    </w:p>
    <w:p w14:paraId="4505ED21" w14:textId="77777777" w:rsidR="00710F07" w:rsidRPr="004A5DD7" w:rsidRDefault="00710F07">
      <w:pPr>
        <w:pStyle w:val="Akapitzlist"/>
        <w:numPr>
          <w:ilvl w:val="0"/>
          <w:numId w:val="131"/>
        </w:numPr>
        <w:spacing w:after="54" w:line="253" w:lineRule="auto"/>
        <w:ind w:right="-3"/>
        <w:jc w:val="left"/>
        <w:rPr>
          <w:rFonts w:ascii="Garamond" w:hAnsi="Garamond"/>
          <w:sz w:val="24"/>
          <w:szCs w:val="24"/>
        </w:rPr>
      </w:pPr>
      <w:r w:rsidRPr="004A5DD7">
        <w:rPr>
          <w:rFonts w:ascii="Garamond" w:hAnsi="Garamond"/>
          <w:sz w:val="24"/>
          <w:szCs w:val="24"/>
        </w:rPr>
        <w:t>w zależności od potrzeb harmonogram prac i program łączeniowy.</w:t>
      </w:r>
    </w:p>
    <w:p w14:paraId="0F66F6E3" w14:textId="742ED6F8" w:rsidR="00710F07" w:rsidRPr="00AE3F1B" w:rsidRDefault="00710F07" w:rsidP="004A5DD7">
      <w:pPr>
        <w:spacing w:line="253" w:lineRule="auto"/>
        <w:ind w:left="567" w:right="-3" w:hanging="567"/>
        <w:jc w:val="left"/>
        <w:rPr>
          <w:rFonts w:ascii="Garamond" w:hAnsi="Garamond"/>
          <w:sz w:val="24"/>
          <w:szCs w:val="24"/>
        </w:rPr>
      </w:pPr>
      <w:r w:rsidRPr="00AE3F1B">
        <w:rPr>
          <w:rFonts w:ascii="Garamond" w:hAnsi="Garamond"/>
          <w:sz w:val="24"/>
          <w:szCs w:val="24"/>
        </w:rPr>
        <w:t>VI.6.4. Użytkownicy systemu zgłaszający do ID Sp. z o.o. wyłączenie elementu sieci o czasie trwania powyżej 1 tygodnia, przedstawiają celem uzgodnienia harmonogram wykonywanych prac. ID Sp. z o.o. ma prawo zażądać od użytkownika systemu zgłaszającego wyłączenie szczegółowego harmonogramu prac również w przypadku wyłączenia krótszego.</w:t>
      </w:r>
      <w:r w:rsidR="00645717">
        <w:rPr>
          <w:rFonts w:ascii="Garamond" w:hAnsi="Garamond"/>
          <w:sz w:val="24"/>
          <w:szCs w:val="24"/>
        </w:rPr>
        <w:t xml:space="preserve"> </w:t>
      </w:r>
      <w:r w:rsidRPr="00AE3F1B">
        <w:rPr>
          <w:rFonts w:ascii="Garamond" w:hAnsi="Garamond"/>
          <w:sz w:val="24"/>
          <w:szCs w:val="24"/>
        </w:rPr>
        <w:t>Harmonogramy te dostarczane są do ID Sp. z o.o. w terminie co najmniej 10 dni przed planowanym wyłączeniem.</w:t>
      </w:r>
    </w:p>
    <w:p w14:paraId="7C1A2B84" w14:textId="2C185CE6" w:rsidR="00710F07" w:rsidRPr="00AE3F1B" w:rsidRDefault="00710F07" w:rsidP="004A5DD7">
      <w:pPr>
        <w:spacing w:line="253" w:lineRule="auto"/>
        <w:ind w:left="567" w:right="-3" w:hanging="567"/>
        <w:jc w:val="left"/>
        <w:rPr>
          <w:rFonts w:ascii="Garamond" w:hAnsi="Garamond"/>
          <w:sz w:val="24"/>
          <w:szCs w:val="24"/>
        </w:rPr>
      </w:pPr>
      <w:r w:rsidRPr="00AE3F1B">
        <w:rPr>
          <w:rFonts w:ascii="Garamond" w:hAnsi="Garamond"/>
          <w:sz w:val="24"/>
          <w:szCs w:val="24"/>
        </w:rPr>
        <w:t>VI.6.5. ID Sp. z o.o., PGE Dystrybucja S.A. i użytkownicy systemu współdziałają ze sobą w celu dotrzymywania terminów planowanych wyłącze</w:t>
      </w:r>
      <w:r w:rsidR="008B30E6">
        <w:rPr>
          <w:rFonts w:ascii="Garamond" w:hAnsi="Garamond"/>
          <w:sz w:val="24"/>
          <w:szCs w:val="24"/>
        </w:rPr>
        <w:t>ń</w:t>
      </w:r>
      <w:r w:rsidRPr="00AE3F1B">
        <w:rPr>
          <w:rFonts w:ascii="Garamond" w:hAnsi="Garamond"/>
          <w:sz w:val="24"/>
          <w:szCs w:val="24"/>
        </w:rPr>
        <w:t xml:space="preserve"> elementów sieci oraz minimalizacji czasu trwania wyłączenia.</w:t>
      </w:r>
    </w:p>
    <w:p w14:paraId="13046AFB" w14:textId="77777777" w:rsidR="00710F07" w:rsidRPr="00AE3F1B" w:rsidRDefault="00710F07" w:rsidP="004A5DD7">
      <w:pPr>
        <w:spacing w:line="253" w:lineRule="auto"/>
        <w:ind w:left="567" w:right="-3" w:hanging="567"/>
        <w:jc w:val="left"/>
        <w:rPr>
          <w:rFonts w:ascii="Garamond" w:hAnsi="Garamond"/>
          <w:sz w:val="24"/>
          <w:szCs w:val="24"/>
        </w:rPr>
      </w:pPr>
      <w:r w:rsidRPr="00AE3F1B">
        <w:rPr>
          <w:rFonts w:ascii="Garamond" w:hAnsi="Garamond"/>
          <w:sz w:val="24"/>
          <w:szCs w:val="24"/>
        </w:rPr>
        <w:t>VI.6.6. ID Sp. z o.o. podejmuje decyzję zatwierdzającą lub odrzucającą propozycję wyłączenia elementu sieci dystrybucyjnej ID Sp. z o.o. w terminie do 5 dni od daty dostarczenia propozycji wyłączenia.</w:t>
      </w:r>
    </w:p>
    <w:p w14:paraId="2B88D4C2" w14:textId="77777777" w:rsidR="00710F07" w:rsidRPr="00AE3F1B" w:rsidRDefault="00710F07" w:rsidP="004A5DD7">
      <w:pPr>
        <w:spacing w:line="253" w:lineRule="auto"/>
        <w:ind w:left="567" w:right="-3" w:hanging="567"/>
        <w:jc w:val="left"/>
        <w:rPr>
          <w:rFonts w:ascii="Garamond" w:hAnsi="Garamond"/>
          <w:sz w:val="24"/>
          <w:szCs w:val="24"/>
        </w:rPr>
      </w:pPr>
      <w:r w:rsidRPr="00AE3F1B">
        <w:rPr>
          <w:rFonts w:ascii="Garamond" w:hAnsi="Garamond"/>
          <w:sz w:val="24"/>
          <w:szCs w:val="24"/>
        </w:rPr>
        <w:t>VI.6.7. Przyjmuje się ogólną zasadę, że terminy wyłączenia zatwierdzone w planach o dłuższym horyzoncie czasowym mają priorytet w stosunku do propozycji wyłączenia zgłaszanego do planów o krótszym horyzoncie czasowym.</w:t>
      </w:r>
    </w:p>
    <w:p w14:paraId="3B56EB72" w14:textId="77777777" w:rsidR="00710F07" w:rsidRPr="00660DC3" w:rsidRDefault="00710F07" w:rsidP="004A5DD7">
      <w:pPr>
        <w:keepNext/>
        <w:keepLines/>
        <w:tabs>
          <w:tab w:val="center" w:pos="2662"/>
        </w:tabs>
        <w:spacing w:line="248" w:lineRule="auto"/>
        <w:ind w:left="567" w:right="-3" w:hanging="567"/>
        <w:jc w:val="left"/>
        <w:outlineLvl w:val="1"/>
        <w:rPr>
          <w:rFonts w:asciiTheme="majorHAnsi" w:hAnsiTheme="majorHAnsi"/>
          <w:b/>
          <w:bCs/>
          <w:sz w:val="24"/>
          <w:szCs w:val="24"/>
        </w:rPr>
      </w:pPr>
      <w:bookmarkStart w:id="92" w:name="_Toc171860257"/>
      <w:bookmarkStart w:id="93" w:name="_Toc171861071"/>
      <w:r w:rsidRPr="00660DC3">
        <w:rPr>
          <w:rFonts w:asciiTheme="majorHAnsi" w:hAnsiTheme="majorHAnsi"/>
          <w:b/>
          <w:bCs/>
          <w:sz w:val="24"/>
          <w:szCs w:val="24"/>
        </w:rPr>
        <w:t>VI.7.</w:t>
      </w:r>
      <w:r w:rsidRPr="00660DC3">
        <w:rPr>
          <w:rFonts w:asciiTheme="majorHAnsi" w:hAnsiTheme="majorHAnsi"/>
          <w:b/>
          <w:bCs/>
          <w:sz w:val="24"/>
          <w:szCs w:val="24"/>
        </w:rPr>
        <w:tab/>
      </w:r>
      <w:r w:rsidR="003C7C8A" w:rsidRPr="00660DC3">
        <w:rPr>
          <w:rFonts w:asciiTheme="majorHAnsi" w:hAnsiTheme="majorHAnsi"/>
          <w:b/>
          <w:bCs/>
          <w:sz w:val="24"/>
          <w:szCs w:val="24"/>
        </w:rPr>
        <w:t>Programy łączeniowe</w:t>
      </w:r>
      <w:bookmarkEnd w:id="92"/>
      <w:bookmarkEnd w:id="93"/>
    </w:p>
    <w:p w14:paraId="10934D82" w14:textId="77777777" w:rsidR="00710F07" w:rsidRPr="00AE3F1B" w:rsidRDefault="00710F07" w:rsidP="004A5DD7">
      <w:pPr>
        <w:spacing w:line="253" w:lineRule="auto"/>
        <w:ind w:left="567" w:right="-3" w:hanging="567"/>
        <w:jc w:val="left"/>
        <w:rPr>
          <w:rFonts w:ascii="Garamond" w:hAnsi="Garamond"/>
          <w:sz w:val="24"/>
          <w:szCs w:val="24"/>
        </w:rPr>
      </w:pPr>
      <w:r w:rsidRPr="00AE3F1B">
        <w:rPr>
          <w:rFonts w:ascii="Garamond" w:hAnsi="Garamond"/>
          <w:sz w:val="24"/>
          <w:szCs w:val="24"/>
        </w:rPr>
        <w:t>VI.7.1. Służby dyspozytorskie ID Sp. z o.o. określają przypadki, w których należy sporządzać programy łączeniowe.</w:t>
      </w:r>
    </w:p>
    <w:p w14:paraId="7E112693" w14:textId="77777777" w:rsidR="00710F07" w:rsidRPr="00AE3F1B" w:rsidRDefault="00710F07" w:rsidP="004A5DD7">
      <w:pPr>
        <w:spacing w:line="253" w:lineRule="auto"/>
        <w:ind w:left="567" w:right="-3" w:hanging="567"/>
        <w:jc w:val="left"/>
        <w:rPr>
          <w:rFonts w:ascii="Garamond" w:hAnsi="Garamond"/>
          <w:sz w:val="24"/>
          <w:szCs w:val="24"/>
        </w:rPr>
      </w:pPr>
      <w:r w:rsidRPr="00AE3F1B">
        <w:rPr>
          <w:rFonts w:ascii="Garamond" w:hAnsi="Garamond"/>
          <w:sz w:val="24"/>
          <w:szCs w:val="24"/>
        </w:rPr>
        <w:t>VI.7.2. Za opracowanie programu łączeniowego odpowiedzialny jest właściciel danego elementu sieci.</w:t>
      </w:r>
    </w:p>
    <w:p w14:paraId="7301D800" w14:textId="77777777" w:rsidR="00710F07" w:rsidRPr="00AE3F1B" w:rsidRDefault="00710F07" w:rsidP="004A5DD7">
      <w:pPr>
        <w:tabs>
          <w:tab w:val="center" w:pos="3533"/>
        </w:tabs>
        <w:spacing w:line="253" w:lineRule="auto"/>
        <w:ind w:left="567" w:right="-3" w:hanging="567"/>
        <w:jc w:val="left"/>
        <w:rPr>
          <w:rFonts w:ascii="Garamond" w:hAnsi="Garamond"/>
          <w:sz w:val="24"/>
          <w:szCs w:val="24"/>
        </w:rPr>
      </w:pPr>
      <w:r w:rsidRPr="00AE3F1B">
        <w:rPr>
          <w:rFonts w:ascii="Garamond" w:hAnsi="Garamond"/>
          <w:sz w:val="24"/>
          <w:szCs w:val="24"/>
        </w:rPr>
        <w:t>VI.7.3.Programy łączeniowe zawierają co najmniej:</w:t>
      </w:r>
    </w:p>
    <w:p w14:paraId="28C868EB" w14:textId="77777777" w:rsidR="00710F07" w:rsidRPr="004A5DD7" w:rsidRDefault="00710F07">
      <w:pPr>
        <w:pStyle w:val="Akapitzlist"/>
        <w:numPr>
          <w:ilvl w:val="0"/>
          <w:numId w:val="132"/>
        </w:numPr>
        <w:spacing w:line="253" w:lineRule="auto"/>
        <w:ind w:right="-3"/>
        <w:jc w:val="left"/>
        <w:rPr>
          <w:rFonts w:ascii="Garamond" w:hAnsi="Garamond"/>
          <w:sz w:val="24"/>
          <w:szCs w:val="24"/>
        </w:rPr>
      </w:pPr>
      <w:r w:rsidRPr="004A5DD7">
        <w:rPr>
          <w:rFonts w:ascii="Garamond" w:hAnsi="Garamond"/>
          <w:sz w:val="24"/>
          <w:szCs w:val="24"/>
        </w:rPr>
        <w:t>charakterystykę załączanego elementu sieci,</w:t>
      </w:r>
    </w:p>
    <w:p w14:paraId="2B6DCF05" w14:textId="77777777" w:rsidR="00710F07" w:rsidRPr="004A5DD7" w:rsidRDefault="00710F07">
      <w:pPr>
        <w:pStyle w:val="Akapitzlist"/>
        <w:numPr>
          <w:ilvl w:val="0"/>
          <w:numId w:val="132"/>
        </w:numPr>
        <w:spacing w:line="253" w:lineRule="auto"/>
        <w:ind w:right="-3"/>
        <w:jc w:val="left"/>
        <w:rPr>
          <w:rFonts w:ascii="Garamond" w:hAnsi="Garamond"/>
          <w:sz w:val="24"/>
          <w:szCs w:val="24"/>
        </w:rPr>
      </w:pPr>
      <w:r w:rsidRPr="004A5DD7">
        <w:rPr>
          <w:rFonts w:ascii="Garamond" w:hAnsi="Garamond"/>
          <w:sz w:val="24"/>
          <w:szCs w:val="24"/>
        </w:rPr>
        <w:t>opis stanu łączników przed realizacją programu,</w:t>
      </w:r>
    </w:p>
    <w:p w14:paraId="2EABCFE1" w14:textId="77777777" w:rsidR="00710F07" w:rsidRPr="004A5DD7" w:rsidRDefault="00710F07">
      <w:pPr>
        <w:pStyle w:val="Akapitzlist"/>
        <w:numPr>
          <w:ilvl w:val="0"/>
          <w:numId w:val="132"/>
        </w:numPr>
        <w:spacing w:line="253" w:lineRule="auto"/>
        <w:ind w:right="-3"/>
        <w:jc w:val="left"/>
        <w:rPr>
          <w:rFonts w:ascii="Garamond" w:hAnsi="Garamond"/>
          <w:sz w:val="24"/>
          <w:szCs w:val="24"/>
        </w:rPr>
      </w:pPr>
      <w:r w:rsidRPr="004A5DD7">
        <w:rPr>
          <w:rFonts w:ascii="Garamond" w:hAnsi="Garamond"/>
          <w:sz w:val="24"/>
          <w:szCs w:val="24"/>
        </w:rPr>
        <w:t>szczegółowy opis operacji łączeniowych z zachowaniem kolejności wykonywanych czynności,</w:t>
      </w:r>
    </w:p>
    <w:p w14:paraId="1052B525" w14:textId="77777777" w:rsidR="00710F07" w:rsidRPr="004A5DD7" w:rsidRDefault="00710F07">
      <w:pPr>
        <w:pStyle w:val="Akapitzlist"/>
        <w:numPr>
          <w:ilvl w:val="0"/>
          <w:numId w:val="132"/>
        </w:numPr>
        <w:spacing w:line="253" w:lineRule="auto"/>
        <w:ind w:right="-3"/>
        <w:jc w:val="left"/>
        <w:rPr>
          <w:rFonts w:ascii="Garamond" w:hAnsi="Garamond"/>
          <w:sz w:val="24"/>
          <w:szCs w:val="24"/>
        </w:rPr>
      </w:pPr>
      <w:r w:rsidRPr="004A5DD7">
        <w:rPr>
          <w:rFonts w:ascii="Garamond" w:hAnsi="Garamond"/>
          <w:sz w:val="24"/>
          <w:szCs w:val="24"/>
        </w:rPr>
        <w:t>opisy stanów pracy i nastawień zabezpieczeń i automatyk w poszczególnych fazach programu,</w:t>
      </w:r>
    </w:p>
    <w:p w14:paraId="4FFC0E14" w14:textId="77777777" w:rsidR="00710F07" w:rsidRPr="004A5DD7" w:rsidRDefault="00710F07">
      <w:pPr>
        <w:pStyle w:val="Akapitzlist"/>
        <w:numPr>
          <w:ilvl w:val="0"/>
          <w:numId w:val="132"/>
        </w:numPr>
        <w:spacing w:line="253" w:lineRule="auto"/>
        <w:ind w:right="-3"/>
        <w:jc w:val="left"/>
        <w:rPr>
          <w:rFonts w:ascii="Garamond" w:hAnsi="Garamond"/>
          <w:sz w:val="24"/>
          <w:szCs w:val="24"/>
        </w:rPr>
      </w:pPr>
      <w:r w:rsidRPr="004A5DD7">
        <w:rPr>
          <w:rFonts w:ascii="Garamond" w:hAnsi="Garamond"/>
          <w:sz w:val="24"/>
          <w:szCs w:val="24"/>
        </w:rPr>
        <w:t>schematy ułatwiające ocenę stanu pracy sieci w poszczególnych fazach programu,</w:t>
      </w:r>
    </w:p>
    <w:p w14:paraId="13B4F39A" w14:textId="77777777" w:rsidR="00710F07" w:rsidRPr="004A5DD7" w:rsidRDefault="00710F07">
      <w:pPr>
        <w:pStyle w:val="Akapitzlist"/>
        <w:numPr>
          <w:ilvl w:val="0"/>
          <w:numId w:val="132"/>
        </w:numPr>
        <w:spacing w:line="253" w:lineRule="auto"/>
        <w:ind w:right="-3"/>
        <w:jc w:val="left"/>
        <w:rPr>
          <w:rFonts w:ascii="Garamond" w:hAnsi="Garamond"/>
          <w:sz w:val="24"/>
          <w:szCs w:val="24"/>
        </w:rPr>
      </w:pPr>
      <w:r w:rsidRPr="004A5DD7">
        <w:rPr>
          <w:rFonts w:ascii="Garamond" w:hAnsi="Garamond"/>
          <w:sz w:val="24"/>
          <w:szCs w:val="24"/>
        </w:rPr>
        <w:t>czas rozpoczęcia i czas przewidywanego zakończenia realizacji programu,</w:t>
      </w:r>
    </w:p>
    <w:p w14:paraId="1FF228B9" w14:textId="77777777" w:rsidR="00710F07" w:rsidRPr="004A5DD7" w:rsidRDefault="00710F07">
      <w:pPr>
        <w:pStyle w:val="Akapitzlist"/>
        <w:numPr>
          <w:ilvl w:val="0"/>
          <w:numId w:val="132"/>
        </w:numPr>
        <w:spacing w:line="253" w:lineRule="auto"/>
        <w:ind w:right="-3"/>
        <w:jc w:val="left"/>
        <w:rPr>
          <w:rFonts w:ascii="Garamond" w:hAnsi="Garamond"/>
          <w:sz w:val="24"/>
          <w:szCs w:val="24"/>
        </w:rPr>
      </w:pPr>
      <w:r w:rsidRPr="004A5DD7">
        <w:rPr>
          <w:rFonts w:ascii="Garamond" w:hAnsi="Garamond"/>
          <w:sz w:val="24"/>
          <w:szCs w:val="24"/>
        </w:rPr>
        <w:t>osoby odpowiedzialne za realizację programu łączeniowego.</w:t>
      </w:r>
    </w:p>
    <w:p w14:paraId="28110984" w14:textId="2C8F9DCE" w:rsidR="00710F07" w:rsidRPr="00AE3F1B" w:rsidRDefault="00D17A9A" w:rsidP="00D17A9A">
      <w:pPr>
        <w:spacing w:line="253" w:lineRule="auto"/>
        <w:ind w:left="360" w:right="-3" w:hanging="360"/>
        <w:jc w:val="left"/>
        <w:rPr>
          <w:rFonts w:ascii="Garamond" w:hAnsi="Garamond"/>
          <w:sz w:val="24"/>
          <w:szCs w:val="24"/>
        </w:rPr>
      </w:pPr>
      <w:r>
        <w:rPr>
          <w:rFonts w:ascii="Garamond" w:hAnsi="Garamond"/>
          <w:sz w:val="24"/>
          <w:szCs w:val="24"/>
        </w:rPr>
        <w:lastRenderedPageBreak/>
        <w:t>VI.7.4.</w:t>
      </w:r>
      <w:r w:rsidRPr="00AE3F1B">
        <w:rPr>
          <w:rFonts w:ascii="Garamond" w:hAnsi="Garamond"/>
          <w:sz w:val="24"/>
          <w:szCs w:val="24"/>
        </w:rPr>
        <w:t xml:space="preserve"> </w:t>
      </w:r>
      <w:r>
        <w:rPr>
          <w:rFonts w:ascii="Garamond" w:hAnsi="Garamond"/>
          <w:sz w:val="24"/>
          <w:szCs w:val="24"/>
        </w:rPr>
        <w:t xml:space="preserve"> </w:t>
      </w:r>
      <w:r w:rsidR="00710F07" w:rsidRPr="00AE3F1B">
        <w:rPr>
          <w:rFonts w:ascii="Garamond" w:hAnsi="Garamond"/>
          <w:sz w:val="24"/>
          <w:szCs w:val="24"/>
        </w:rPr>
        <w:t>Propozycje programów łączeniowych ID Sp. z o.o. dostarczane są do zatwierdzenia służbom dyspozytorskim PGE Dystrybucja S.A. w terminie co najmniej 10 dni przed planowanym terminem realizacji programów łączeniowych.</w:t>
      </w:r>
    </w:p>
    <w:p w14:paraId="30A6CB4B" w14:textId="77777777" w:rsidR="00710F07" w:rsidRPr="005A608F" w:rsidRDefault="00710F07" w:rsidP="004A5DD7">
      <w:pPr>
        <w:tabs>
          <w:tab w:val="right" w:pos="9857"/>
        </w:tabs>
        <w:spacing w:line="248" w:lineRule="auto"/>
        <w:ind w:left="567" w:right="-3" w:hanging="567"/>
        <w:jc w:val="left"/>
        <w:rPr>
          <w:rFonts w:asciiTheme="majorHAnsi" w:hAnsiTheme="majorHAnsi"/>
          <w:b/>
          <w:bCs/>
          <w:sz w:val="24"/>
          <w:szCs w:val="24"/>
        </w:rPr>
      </w:pPr>
      <w:r w:rsidRPr="005A608F">
        <w:rPr>
          <w:rFonts w:asciiTheme="majorHAnsi" w:hAnsiTheme="majorHAnsi"/>
          <w:b/>
          <w:bCs/>
          <w:sz w:val="24"/>
          <w:szCs w:val="24"/>
        </w:rPr>
        <w:t>VI.8.</w:t>
      </w:r>
      <w:r w:rsidRPr="005A608F">
        <w:rPr>
          <w:rFonts w:asciiTheme="majorHAnsi" w:hAnsiTheme="majorHAnsi"/>
          <w:b/>
          <w:bCs/>
          <w:sz w:val="24"/>
          <w:szCs w:val="24"/>
        </w:rPr>
        <w:tab/>
      </w:r>
      <w:r w:rsidR="003C7C8A" w:rsidRPr="005A608F">
        <w:rPr>
          <w:rFonts w:asciiTheme="majorHAnsi" w:hAnsiTheme="majorHAnsi"/>
          <w:b/>
          <w:bCs/>
          <w:sz w:val="24"/>
          <w:szCs w:val="24"/>
        </w:rPr>
        <w:t>Zasady dysponowania mocą jednostek wytwórczych przyłączonych do sieci dystrybucyjnej</w:t>
      </w:r>
    </w:p>
    <w:p w14:paraId="09D1DAE2" w14:textId="0A7C97B5" w:rsidR="00710F07" w:rsidRPr="00AE3F1B" w:rsidRDefault="00D17A9A" w:rsidP="00D17A9A">
      <w:pPr>
        <w:spacing w:line="253" w:lineRule="auto"/>
        <w:ind w:left="360" w:right="-3" w:hanging="360"/>
        <w:jc w:val="left"/>
        <w:rPr>
          <w:rFonts w:ascii="Garamond" w:hAnsi="Garamond"/>
          <w:sz w:val="24"/>
          <w:szCs w:val="24"/>
        </w:rPr>
      </w:pPr>
      <w:r w:rsidRPr="00AE3F1B">
        <w:rPr>
          <w:rFonts w:ascii="Garamond" w:hAnsi="Garamond"/>
          <w:sz w:val="24"/>
          <w:szCs w:val="24"/>
        </w:rPr>
        <w:t>VI.8.1.</w:t>
      </w:r>
      <w:r>
        <w:rPr>
          <w:rFonts w:ascii="Garamond" w:hAnsi="Garamond"/>
          <w:sz w:val="24"/>
          <w:szCs w:val="24"/>
        </w:rPr>
        <w:t xml:space="preserve"> </w:t>
      </w:r>
      <w:r w:rsidR="00710F07" w:rsidRPr="00AE3F1B">
        <w:rPr>
          <w:rFonts w:ascii="Garamond" w:hAnsi="Garamond"/>
          <w:sz w:val="24"/>
          <w:szCs w:val="24"/>
        </w:rPr>
        <w:t>Uwzględniając otrzymane zgłoszenia umów sprzedaży energii elektrycznej, ID Sp. z o.o. określa dla jednostek wytwórczych przyłączonych do sieci dystrybucyjnej:</w:t>
      </w:r>
    </w:p>
    <w:p w14:paraId="52C6D363" w14:textId="77777777" w:rsidR="00710F07" w:rsidRPr="004A5DD7" w:rsidRDefault="00710F07">
      <w:pPr>
        <w:pStyle w:val="Akapitzlist"/>
        <w:numPr>
          <w:ilvl w:val="0"/>
          <w:numId w:val="133"/>
        </w:numPr>
        <w:spacing w:line="253" w:lineRule="auto"/>
        <w:ind w:right="-3"/>
        <w:jc w:val="left"/>
        <w:rPr>
          <w:rFonts w:ascii="Garamond" w:hAnsi="Garamond"/>
          <w:sz w:val="24"/>
          <w:szCs w:val="24"/>
        </w:rPr>
      </w:pPr>
      <w:r w:rsidRPr="004A5DD7">
        <w:rPr>
          <w:rFonts w:ascii="Garamond" w:hAnsi="Garamond"/>
          <w:sz w:val="24"/>
          <w:szCs w:val="24"/>
        </w:rPr>
        <w:t>czas synchronizacji,</w:t>
      </w:r>
    </w:p>
    <w:p w14:paraId="30A85B27" w14:textId="77777777" w:rsidR="00710F07" w:rsidRPr="004A5DD7" w:rsidRDefault="00710F07">
      <w:pPr>
        <w:pStyle w:val="Akapitzlist"/>
        <w:numPr>
          <w:ilvl w:val="0"/>
          <w:numId w:val="133"/>
        </w:numPr>
        <w:spacing w:line="253" w:lineRule="auto"/>
        <w:ind w:right="-3"/>
        <w:jc w:val="left"/>
        <w:rPr>
          <w:rFonts w:ascii="Garamond" w:hAnsi="Garamond"/>
          <w:sz w:val="24"/>
          <w:szCs w:val="24"/>
        </w:rPr>
      </w:pPr>
      <w:r w:rsidRPr="004A5DD7">
        <w:rPr>
          <w:rFonts w:ascii="Garamond" w:hAnsi="Garamond"/>
          <w:sz w:val="24"/>
          <w:szCs w:val="24"/>
        </w:rPr>
        <w:t>czas osiągnięcia pełnych zdolności wytwórczych,</w:t>
      </w:r>
    </w:p>
    <w:p w14:paraId="45BDA702" w14:textId="77777777" w:rsidR="00710F07" w:rsidRPr="004A5DD7" w:rsidRDefault="00710F07">
      <w:pPr>
        <w:pStyle w:val="Akapitzlist"/>
        <w:numPr>
          <w:ilvl w:val="0"/>
          <w:numId w:val="133"/>
        </w:numPr>
        <w:spacing w:line="253" w:lineRule="auto"/>
        <w:ind w:right="-3"/>
        <w:jc w:val="left"/>
        <w:rPr>
          <w:rFonts w:ascii="Garamond" w:hAnsi="Garamond"/>
          <w:sz w:val="24"/>
          <w:szCs w:val="24"/>
        </w:rPr>
      </w:pPr>
      <w:r w:rsidRPr="004A5DD7">
        <w:rPr>
          <w:rFonts w:ascii="Garamond" w:hAnsi="Garamond"/>
          <w:sz w:val="24"/>
          <w:szCs w:val="24"/>
        </w:rPr>
        <w:t>planowane obciążenie mocą czynną,</w:t>
      </w:r>
    </w:p>
    <w:p w14:paraId="17BCC847" w14:textId="77777777" w:rsidR="00710F07" w:rsidRPr="004A5DD7" w:rsidRDefault="00710F07">
      <w:pPr>
        <w:pStyle w:val="Akapitzlist"/>
        <w:numPr>
          <w:ilvl w:val="0"/>
          <w:numId w:val="133"/>
        </w:numPr>
        <w:spacing w:line="253" w:lineRule="auto"/>
        <w:ind w:right="-3"/>
        <w:jc w:val="left"/>
        <w:rPr>
          <w:rFonts w:ascii="Garamond" w:hAnsi="Garamond"/>
          <w:sz w:val="24"/>
          <w:szCs w:val="24"/>
        </w:rPr>
      </w:pPr>
      <w:r w:rsidRPr="004A5DD7">
        <w:rPr>
          <w:rFonts w:ascii="Garamond" w:hAnsi="Garamond"/>
          <w:sz w:val="24"/>
          <w:szCs w:val="24"/>
        </w:rPr>
        <w:t>czas odstawienia.</w:t>
      </w:r>
    </w:p>
    <w:p w14:paraId="405C0962" w14:textId="0B581F37" w:rsidR="00710F07" w:rsidRPr="00AE3F1B" w:rsidRDefault="00D17A9A" w:rsidP="00D17A9A">
      <w:pPr>
        <w:spacing w:line="253" w:lineRule="auto"/>
        <w:ind w:left="360" w:right="-3" w:hanging="360"/>
        <w:jc w:val="left"/>
        <w:rPr>
          <w:rFonts w:ascii="Garamond" w:hAnsi="Garamond"/>
          <w:sz w:val="24"/>
          <w:szCs w:val="24"/>
        </w:rPr>
      </w:pPr>
      <w:r w:rsidRPr="00AE3F1B">
        <w:rPr>
          <w:rFonts w:ascii="Garamond" w:hAnsi="Garamond"/>
          <w:sz w:val="24"/>
          <w:szCs w:val="24"/>
        </w:rPr>
        <w:t>VI.8.2.</w:t>
      </w:r>
      <w:r>
        <w:rPr>
          <w:rFonts w:ascii="Garamond" w:hAnsi="Garamond"/>
          <w:sz w:val="24"/>
          <w:szCs w:val="24"/>
        </w:rPr>
        <w:t xml:space="preserve"> </w:t>
      </w:r>
      <w:r w:rsidR="00710F07" w:rsidRPr="00AE3F1B">
        <w:rPr>
          <w:rFonts w:ascii="Garamond" w:hAnsi="Garamond"/>
          <w:sz w:val="24"/>
          <w:szCs w:val="24"/>
        </w:rPr>
        <w:t>ID Sp. z o.o. może polecić pracę jednostek wytwórczych z przeciążeniem lub zaniżeniem mocy wytwarzanej poniżej dopuszczalnego minimum, jeśli przewidują to dwustronne umowy lub w przypadku zagrożenia bezpieczeństwa pracy sieci elektroenergetycznej.</w:t>
      </w:r>
    </w:p>
    <w:p w14:paraId="25E0DA48" w14:textId="0353AF9C" w:rsidR="00710F07" w:rsidRPr="00AE3F1B" w:rsidRDefault="00D17A9A" w:rsidP="00D17A9A">
      <w:pPr>
        <w:spacing w:line="253" w:lineRule="auto"/>
        <w:ind w:left="360" w:right="-3" w:hanging="360"/>
        <w:jc w:val="left"/>
        <w:rPr>
          <w:rFonts w:ascii="Garamond" w:hAnsi="Garamond"/>
          <w:sz w:val="24"/>
          <w:szCs w:val="24"/>
        </w:rPr>
      </w:pPr>
      <w:r w:rsidRPr="00AE3F1B">
        <w:rPr>
          <w:rFonts w:ascii="Garamond" w:hAnsi="Garamond"/>
          <w:sz w:val="24"/>
          <w:szCs w:val="24"/>
        </w:rPr>
        <w:t xml:space="preserve">VI.8.3. </w:t>
      </w:r>
      <w:r>
        <w:rPr>
          <w:rFonts w:ascii="Garamond" w:hAnsi="Garamond"/>
          <w:sz w:val="24"/>
          <w:szCs w:val="24"/>
        </w:rPr>
        <w:tab/>
      </w:r>
      <w:r w:rsidR="00710F07" w:rsidRPr="00AE3F1B">
        <w:rPr>
          <w:rFonts w:ascii="Garamond" w:hAnsi="Garamond"/>
          <w:sz w:val="24"/>
          <w:szCs w:val="24"/>
        </w:rPr>
        <w:t>Wytwórcy w zakresie jednostek wytwórczych przyłączonych do sieci dystrybucyjnej są zobowiązani do niezwłocznego przekazywania ID Sp. z o.o. informacji o zmianie mocy dyspozycyjnej.</w:t>
      </w:r>
    </w:p>
    <w:p w14:paraId="3E22C24A" w14:textId="091AA4B8" w:rsidR="00710F07" w:rsidRPr="00AE3F1B" w:rsidRDefault="00D17A9A" w:rsidP="00D17A9A">
      <w:pPr>
        <w:spacing w:line="253" w:lineRule="auto"/>
        <w:ind w:left="360" w:right="-3" w:hanging="360"/>
        <w:jc w:val="left"/>
        <w:rPr>
          <w:rFonts w:ascii="Garamond" w:hAnsi="Garamond"/>
          <w:sz w:val="24"/>
          <w:szCs w:val="24"/>
        </w:rPr>
      </w:pPr>
      <w:r w:rsidRPr="00AE3F1B">
        <w:rPr>
          <w:rFonts w:ascii="Garamond" w:hAnsi="Garamond"/>
          <w:sz w:val="24"/>
          <w:szCs w:val="24"/>
        </w:rPr>
        <w:t xml:space="preserve">VI.8.4. </w:t>
      </w:r>
      <w:r>
        <w:rPr>
          <w:rFonts w:ascii="Garamond" w:hAnsi="Garamond"/>
          <w:sz w:val="24"/>
          <w:szCs w:val="24"/>
        </w:rPr>
        <w:tab/>
      </w:r>
      <w:r w:rsidR="00710F07" w:rsidRPr="00AE3F1B">
        <w:rPr>
          <w:rFonts w:ascii="Garamond" w:hAnsi="Garamond"/>
          <w:sz w:val="24"/>
          <w:szCs w:val="24"/>
        </w:rPr>
        <w:t xml:space="preserve">Bezpośrednio przed synchronizacją lub odstawieniem jednostki wytwórczej, wytwórca jest zobowiązany uzyskać zgodę ID Sp. </w:t>
      </w:r>
      <w:r w:rsidR="004A5DD7" w:rsidRPr="00AE3F1B">
        <w:rPr>
          <w:rFonts w:ascii="Garamond" w:hAnsi="Garamond"/>
          <w:sz w:val="24"/>
          <w:szCs w:val="24"/>
        </w:rPr>
        <w:t>z o.o.</w:t>
      </w:r>
    </w:p>
    <w:p w14:paraId="56846B52" w14:textId="7051D538" w:rsidR="00710F07" w:rsidRPr="00AE3F1B" w:rsidRDefault="00D17A9A" w:rsidP="00D17A9A">
      <w:pPr>
        <w:spacing w:line="253" w:lineRule="auto"/>
        <w:ind w:left="360" w:right="-3" w:hanging="360"/>
        <w:jc w:val="left"/>
        <w:rPr>
          <w:rFonts w:ascii="Garamond" w:hAnsi="Garamond"/>
          <w:sz w:val="24"/>
          <w:szCs w:val="24"/>
        </w:rPr>
      </w:pPr>
      <w:r w:rsidRPr="00AE3F1B">
        <w:rPr>
          <w:rFonts w:ascii="Garamond" w:hAnsi="Garamond"/>
          <w:sz w:val="24"/>
          <w:szCs w:val="24"/>
        </w:rPr>
        <w:t xml:space="preserve">VI.8.5. </w:t>
      </w:r>
      <w:r>
        <w:rPr>
          <w:rFonts w:ascii="Garamond" w:hAnsi="Garamond"/>
          <w:sz w:val="24"/>
          <w:szCs w:val="24"/>
        </w:rPr>
        <w:tab/>
      </w:r>
      <w:r w:rsidR="00710F07" w:rsidRPr="00AE3F1B">
        <w:rPr>
          <w:rFonts w:ascii="Garamond" w:hAnsi="Garamond"/>
          <w:sz w:val="24"/>
          <w:szCs w:val="24"/>
        </w:rPr>
        <w:t>ID Sp. z o.o. może ograniczyć pracę lub odłączyć od sieci mikro instalację o mocy zainstalowanej większej niż 10 kW przyłączoną do sieci ID Sp. z o.o. w przypadku, gdy wytwarzanie energii elektrycznej w tej mikroinstalacji stanowi zagrożenie bezpieczeństwa pracy poszczególnych obszarów sieci, ID Sp. z o.o. w pierwszej kolejności ogranicza proporcjonalnie do mocy zainstalowanej pracę mikroinstalacji albo odłączają od sieci. Po ustaniu stanu zagrożenia bezpieczeństwa pracy sieci ID Sp. z o.o. jest zobowiązana niezwłocznie przywrócić</w:t>
      </w:r>
    </w:p>
    <w:p w14:paraId="31160BD8" w14:textId="77777777" w:rsidR="00710F07" w:rsidRPr="005A608F" w:rsidRDefault="00710F07" w:rsidP="00175586">
      <w:pPr>
        <w:spacing w:after="143" w:line="248" w:lineRule="auto"/>
        <w:ind w:left="567" w:right="-3" w:hanging="567"/>
        <w:jc w:val="left"/>
        <w:rPr>
          <w:rFonts w:asciiTheme="majorHAnsi" w:hAnsiTheme="majorHAnsi"/>
          <w:b/>
          <w:bCs/>
          <w:sz w:val="24"/>
          <w:szCs w:val="24"/>
        </w:rPr>
      </w:pPr>
      <w:r w:rsidRPr="005A608F">
        <w:rPr>
          <w:rFonts w:asciiTheme="majorHAnsi" w:hAnsiTheme="majorHAnsi"/>
          <w:b/>
          <w:bCs/>
          <w:sz w:val="24"/>
          <w:szCs w:val="24"/>
        </w:rPr>
        <w:t xml:space="preserve">VI.9. </w:t>
      </w:r>
      <w:r w:rsidR="005A608F">
        <w:rPr>
          <w:rFonts w:asciiTheme="majorHAnsi" w:hAnsiTheme="majorHAnsi"/>
          <w:b/>
          <w:bCs/>
          <w:sz w:val="24"/>
          <w:szCs w:val="24"/>
        </w:rPr>
        <w:t>D</w:t>
      </w:r>
      <w:r w:rsidR="003C7C8A" w:rsidRPr="005A608F">
        <w:rPr>
          <w:rFonts w:asciiTheme="majorHAnsi" w:hAnsiTheme="majorHAnsi"/>
          <w:b/>
          <w:bCs/>
          <w:sz w:val="24"/>
          <w:szCs w:val="24"/>
        </w:rPr>
        <w:t>ane przekazywane przez podmioty do ID Sp. z o.o.</w:t>
      </w:r>
    </w:p>
    <w:p w14:paraId="35D13C41" w14:textId="48814334" w:rsidR="00710F07" w:rsidRPr="00AE3F1B" w:rsidRDefault="0078376D" w:rsidP="0078376D">
      <w:pPr>
        <w:spacing w:after="188" w:line="253" w:lineRule="auto"/>
        <w:ind w:left="567" w:right="-3" w:hanging="567"/>
        <w:jc w:val="left"/>
        <w:rPr>
          <w:rFonts w:ascii="Garamond" w:hAnsi="Garamond"/>
          <w:sz w:val="24"/>
          <w:szCs w:val="24"/>
        </w:rPr>
      </w:pPr>
      <w:r w:rsidRPr="00AE3F1B">
        <w:rPr>
          <w:rFonts w:ascii="Garamond" w:hAnsi="Garamond"/>
          <w:sz w:val="24"/>
          <w:szCs w:val="24"/>
        </w:rPr>
        <w:t>VI.9.1.</w:t>
      </w:r>
      <w:r>
        <w:rPr>
          <w:rFonts w:ascii="Garamond" w:hAnsi="Garamond"/>
          <w:sz w:val="24"/>
          <w:szCs w:val="24"/>
        </w:rPr>
        <w:t xml:space="preserve"> </w:t>
      </w:r>
      <w:r w:rsidR="00710F07" w:rsidRPr="00AE3F1B">
        <w:rPr>
          <w:rFonts w:ascii="Garamond" w:hAnsi="Garamond"/>
          <w:sz w:val="24"/>
          <w:szCs w:val="24"/>
        </w:rPr>
        <w:t xml:space="preserve">ID Sp. z o.o. otrzymuje od PGE Dystrybucja S.A. dane zgodnie z zakresem określonym </w:t>
      </w:r>
      <w:r w:rsidR="00B94487">
        <w:rPr>
          <w:rFonts w:ascii="Garamond" w:hAnsi="Garamond"/>
          <w:sz w:val="24"/>
          <w:szCs w:val="24"/>
        </w:rPr>
        <w:t xml:space="preserve">          </w:t>
      </w:r>
      <w:r w:rsidR="00710F07" w:rsidRPr="00AE3F1B">
        <w:rPr>
          <w:rFonts w:ascii="Garamond" w:hAnsi="Garamond"/>
          <w:sz w:val="24"/>
          <w:szCs w:val="24"/>
        </w:rPr>
        <w:t>w</w:t>
      </w:r>
      <w:r>
        <w:rPr>
          <w:rFonts w:ascii="Garamond" w:hAnsi="Garamond"/>
          <w:sz w:val="24"/>
          <w:szCs w:val="24"/>
        </w:rPr>
        <w:t xml:space="preserve"> </w:t>
      </w:r>
      <w:r w:rsidR="005B3AD1" w:rsidRPr="005B3AD1">
        <w:rPr>
          <w:rFonts w:ascii="Garamond" w:hAnsi="Garamond"/>
          <w:sz w:val="24"/>
          <w:szCs w:val="24"/>
        </w:rPr>
        <w:t xml:space="preserve">IRiESD </w:t>
      </w:r>
      <w:r w:rsidR="00710F07" w:rsidRPr="00AE3F1B">
        <w:rPr>
          <w:rFonts w:ascii="Garamond" w:hAnsi="Garamond"/>
          <w:sz w:val="24"/>
          <w:szCs w:val="24"/>
        </w:rPr>
        <w:t xml:space="preserve">PGE Dystrybucja </w:t>
      </w:r>
      <w:r w:rsidR="004A5DD7" w:rsidRPr="00AE3F1B">
        <w:rPr>
          <w:rFonts w:ascii="Garamond" w:hAnsi="Garamond"/>
          <w:sz w:val="24"/>
          <w:szCs w:val="24"/>
        </w:rPr>
        <w:t>S.A.</w:t>
      </w:r>
    </w:p>
    <w:p w14:paraId="37015AD6" w14:textId="479FA317" w:rsidR="00710F07" w:rsidRPr="00AE3F1B" w:rsidRDefault="00D17A9A" w:rsidP="00D17A9A">
      <w:pPr>
        <w:spacing w:after="203" w:line="253" w:lineRule="auto"/>
        <w:ind w:left="567" w:right="-3" w:hanging="567"/>
        <w:jc w:val="left"/>
        <w:rPr>
          <w:rFonts w:ascii="Garamond" w:hAnsi="Garamond"/>
          <w:sz w:val="24"/>
          <w:szCs w:val="24"/>
        </w:rPr>
      </w:pPr>
      <w:r w:rsidRPr="00AE3F1B">
        <w:rPr>
          <w:rFonts w:ascii="Garamond" w:hAnsi="Garamond"/>
          <w:sz w:val="24"/>
          <w:szCs w:val="24"/>
        </w:rPr>
        <w:t xml:space="preserve">VI.9.2. </w:t>
      </w:r>
      <w:r>
        <w:rPr>
          <w:rFonts w:ascii="Garamond" w:hAnsi="Garamond"/>
          <w:sz w:val="24"/>
          <w:szCs w:val="24"/>
        </w:rPr>
        <w:tab/>
      </w:r>
      <w:r w:rsidR="00710F07" w:rsidRPr="00AE3F1B">
        <w:rPr>
          <w:rFonts w:ascii="Garamond" w:hAnsi="Garamond"/>
          <w:sz w:val="24"/>
          <w:szCs w:val="24"/>
        </w:rPr>
        <w:t>Odbiorcy wskazani przez ID Sp. z o.o. przyłączeni do sieci SN i n</w:t>
      </w:r>
      <w:r w:rsidR="00D6028C">
        <w:rPr>
          <w:rFonts w:ascii="Garamond" w:hAnsi="Garamond"/>
          <w:sz w:val="24"/>
          <w:szCs w:val="24"/>
        </w:rPr>
        <w:t xml:space="preserve"> </w:t>
      </w:r>
      <w:proofErr w:type="spellStart"/>
      <w:r w:rsidR="00710F07" w:rsidRPr="00AE3F1B">
        <w:rPr>
          <w:rFonts w:ascii="Garamond" w:hAnsi="Garamond"/>
          <w:sz w:val="24"/>
          <w:szCs w:val="24"/>
        </w:rPr>
        <w:t>N</w:t>
      </w:r>
      <w:proofErr w:type="spellEnd"/>
      <w:r w:rsidR="00710F07" w:rsidRPr="00AE3F1B">
        <w:rPr>
          <w:rFonts w:ascii="Garamond" w:hAnsi="Garamond"/>
          <w:sz w:val="24"/>
          <w:szCs w:val="24"/>
        </w:rPr>
        <w:t xml:space="preserve">, sporządzają i przesyłają prognozy zapotrzebowania, w zakresie i terminach określonych przez ID Sp. </w:t>
      </w:r>
      <w:r w:rsidR="004A5DD7" w:rsidRPr="00AE3F1B">
        <w:rPr>
          <w:rFonts w:ascii="Garamond" w:hAnsi="Garamond"/>
          <w:sz w:val="24"/>
          <w:szCs w:val="24"/>
        </w:rPr>
        <w:t>z o.o.</w:t>
      </w:r>
    </w:p>
    <w:bookmarkEnd w:id="78"/>
    <w:p w14:paraId="4A0699AF" w14:textId="77777777" w:rsidR="003C7C8A" w:rsidRPr="00016ECE" w:rsidRDefault="003C7C8A">
      <w:pPr>
        <w:numPr>
          <w:ilvl w:val="0"/>
          <w:numId w:val="40"/>
        </w:numPr>
        <w:spacing w:after="178" w:line="253" w:lineRule="auto"/>
        <w:ind w:left="567" w:right="-3" w:hanging="567"/>
        <w:jc w:val="left"/>
        <w:rPr>
          <w:rFonts w:asciiTheme="majorHAnsi" w:hAnsiTheme="majorHAnsi"/>
          <w:b/>
          <w:bCs/>
          <w:sz w:val="24"/>
          <w:szCs w:val="24"/>
        </w:rPr>
      </w:pPr>
      <w:r w:rsidRPr="00016ECE">
        <w:rPr>
          <w:rFonts w:asciiTheme="majorHAnsi" w:hAnsiTheme="majorHAnsi"/>
          <w:b/>
          <w:bCs/>
          <w:sz w:val="24"/>
          <w:szCs w:val="24"/>
        </w:rPr>
        <w:t xml:space="preserve">Standardy techniczne i bezpieczeństwa pracy sieci dystrybucyjnej ID Sp. z o.o. </w:t>
      </w:r>
    </w:p>
    <w:p w14:paraId="7A42B586" w14:textId="7B63E515" w:rsidR="00710F07" w:rsidRPr="00AE3F1B" w:rsidRDefault="00D17A9A" w:rsidP="00D17A9A">
      <w:pPr>
        <w:spacing w:after="178" w:line="253" w:lineRule="auto"/>
        <w:ind w:left="567" w:right="-3" w:hanging="567"/>
        <w:jc w:val="left"/>
        <w:rPr>
          <w:rFonts w:ascii="Garamond" w:hAnsi="Garamond"/>
          <w:sz w:val="24"/>
          <w:szCs w:val="24"/>
        </w:rPr>
      </w:pPr>
      <w:r>
        <w:rPr>
          <w:rFonts w:ascii="Garamond" w:hAnsi="Garamond"/>
          <w:sz w:val="24"/>
          <w:szCs w:val="24"/>
        </w:rPr>
        <w:t>VII.1.</w:t>
      </w:r>
      <w:r w:rsidRPr="00AE3F1B">
        <w:rPr>
          <w:rFonts w:ascii="Garamond" w:hAnsi="Garamond"/>
          <w:sz w:val="24"/>
          <w:szCs w:val="24"/>
        </w:rPr>
        <w:tab/>
      </w:r>
      <w:r w:rsidR="00710F07" w:rsidRPr="00AE3F1B">
        <w:rPr>
          <w:rFonts w:ascii="Garamond" w:hAnsi="Garamond"/>
          <w:sz w:val="24"/>
          <w:szCs w:val="24"/>
        </w:rPr>
        <w:t>W normalnych warunkach pracy sieci dystrybucyjnej PGE Dystrybucja S.A. w szczególności powinny być spełnione następujące warunki techniczne:</w:t>
      </w:r>
    </w:p>
    <w:p w14:paraId="6C3AC58C" w14:textId="77777777" w:rsidR="00710F07" w:rsidRPr="00D17A9A" w:rsidRDefault="00710F07">
      <w:pPr>
        <w:pStyle w:val="Akapitzlist"/>
        <w:numPr>
          <w:ilvl w:val="0"/>
          <w:numId w:val="134"/>
        </w:numPr>
        <w:spacing w:line="253" w:lineRule="auto"/>
        <w:ind w:right="-3"/>
        <w:jc w:val="left"/>
        <w:rPr>
          <w:rFonts w:ascii="Garamond" w:hAnsi="Garamond"/>
          <w:sz w:val="24"/>
          <w:szCs w:val="24"/>
        </w:rPr>
      </w:pPr>
      <w:r w:rsidRPr="00D17A9A">
        <w:rPr>
          <w:rFonts w:ascii="Garamond" w:hAnsi="Garamond"/>
          <w:sz w:val="24"/>
          <w:szCs w:val="24"/>
        </w:rPr>
        <w:t>obciążenia prądowe poszczególnych elementów sieci powinny być nie wyższe od dopuszczalnych długotrwale,</w:t>
      </w:r>
    </w:p>
    <w:p w14:paraId="25B96D0B" w14:textId="20619C11" w:rsidR="00710F07" w:rsidRPr="00D17A9A" w:rsidRDefault="00710F07">
      <w:pPr>
        <w:pStyle w:val="Akapitzlist"/>
        <w:numPr>
          <w:ilvl w:val="0"/>
          <w:numId w:val="134"/>
        </w:numPr>
        <w:spacing w:line="253" w:lineRule="auto"/>
        <w:ind w:right="-3"/>
        <w:jc w:val="left"/>
        <w:rPr>
          <w:rFonts w:ascii="Garamond" w:hAnsi="Garamond"/>
          <w:sz w:val="24"/>
          <w:szCs w:val="24"/>
        </w:rPr>
      </w:pPr>
      <w:r w:rsidRPr="00D17A9A">
        <w:rPr>
          <w:rFonts w:ascii="Garamond" w:hAnsi="Garamond"/>
          <w:sz w:val="24"/>
          <w:szCs w:val="24"/>
        </w:rPr>
        <w:t>napięci</w:t>
      </w:r>
      <w:r w:rsidR="008B30E6">
        <w:rPr>
          <w:rFonts w:ascii="Garamond" w:hAnsi="Garamond"/>
          <w:sz w:val="24"/>
          <w:szCs w:val="24"/>
        </w:rPr>
        <w:t>a</w:t>
      </w:r>
      <w:r w:rsidRPr="00D17A9A">
        <w:rPr>
          <w:rFonts w:ascii="Garamond" w:hAnsi="Garamond"/>
          <w:sz w:val="24"/>
          <w:szCs w:val="24"/>
        </w:rPr>
        <w:t xml:space="preserve"> w węzłach sieci powinny mieścić się w granicach dopuszczalnych dla poszczególnych elementów sieci,</w:t>
      </w:r>
    </w:p>
    <w:p w14:paraId="55990919" w14:textId="77777777" w:rsidR="00710F07" w:rsidRPr="00D17A9A" w:rsidRDefault="00710F07">
      <w:pPr>
        <w:pStyle w:val="Akapitzlist"/>
        <w:numPr>
          <w:ilvl w:val="0"/>
          <w:numId w:val="134"/>
        </w:numPr>
        <w:spacing w:after="117" w:line="253" w:lineRule="auto"/>
        <w:ind w:right="-3"/>
        <w:jc w:val="left"/>
        <w:rPr>
          <w:rFonts w:ascii="Garamond" w:hAnsi="Garamond"/>
          <w:sz w:val="24"/>
          <w:szCs w:val="24"/>
        </w:rPr>
      </w:pPr>
      <w:r w:rsidRPr="00D17A9A">
        <w:rPr>
          <w:rFonts w:ascii="Garamond" w:hAnsi="Garamond"/>
          <w:sz w:val="24"/>
          <w:szCs w:val="24"/>
        </w:rPr>
        <w:t>moce (prądy) wyłączalne zainstalowanych wyłączników powinny być wyższe niż moce (prądy) zwarciowe w danym punkcie sieci.</w:t>
      </w:r>
    </w:p>
    <w:p w14:paraId="6AFEF692" w14:textId="0AFD5775" w:rsidR="00710F07" w:rsidRPr="00AE3F1B" w:rsidRDefault="00D17A9A" w:rsidP="00D17A9A">
      <w:pPr>
        <w:spacing w:after="196" w:line="253" w:lineRule="auto"/>
        <w:ind w:left="567" w:right="-3" w:hanging="567"/>
        <w:jc w:val="left"/>
        <w:rPr>
          <w:rFonts w:ascii="Garamond" w:hAnsi="Garamond"/>
          <w:sz w:val="24"/>
          <w:szCs w:val="24"/>
        </w:rPr>
      </w:pPr>
      <w:r>
        <w:rPr>
          <w:rFonts w:ascii="Garamond" w:hAnsi="Garamond"/>
          <w:sz w:val="24"/>
          <w:szCs w:val="24"/>
        </w:rPr>
        <w:t xml:space="preserve">VII.2. </w:t>
      </w:r>
      <w:r w:rsidR="00710F07" w:rsidRPr="00AE3F1B">
        <w:rPr>
          <w:rFonts w:ascii="Garamond" w:hAnsi="Garamond"/>
          <w:sz w:val="24"/>
          <w:szCs w:val="24"/>
        </w:rPr>
        <w:t xml:space="preserve">Warunki pracy punktu neutralnego transformatorów 110kV/SN określa ID Sp. z o.o. w uzgodnieniu z PGE Dystrybucja </w:t>
      </w:r>
      <w:r w:rsidR="00D6028C" w:rsidRPr="00AE3F1B">
        <w:rPr>
          <w:rFonts w:ascii="Garamond" w:hAnsi="Garamond"/>
          <w:sz w:val="24"/>
          <w:szCs w:val="24"/>
        </w:rPr>
        <w:t>S.A.</w:t>
      </w:r>
    </w:p>
    <w:p w14:paraId="52462DDB" w14:textId="3410DA47" w:rsidR="00710F07" w:rsidRPr="00AE3F1B" w:rsidRDefault="00D17A9A" w:rsidP="00D17A9A">
      <w:pPr>
        <w:spacing w:after="201" w:line="253" w:lineRule="auto"/>
        <w:ind w:left="567" w:right="-3" w:hanging="567"/>
        <w:jc w:val="left"/>
        <w:rPr>
          <w:rFonts w:ascii="Garamond" w:hAnsi="Garamond"/>
          <w:sz w:val="24"/>
          <w:szCs w:val="24"/>
        </w:rPr>
      </w:pPr>
      <w:r>
        <w:rPr>
          <w:rFonts w:ascii="Garamond" w:hAnsi="Garamond"/>
          <w:sz w:val="24"/>
          <w:szCs w:val="24"/>
        </w:rPr>
        <w:lastRenderedPageBreak/>
        <w:t xml:space="preserve">VII.3. </w:t>
      </w:r>
      <w:r w:rsidR="00710F07" w:rsidRPr="00AE3F1B">
        <w:rPr>
          <w:rFonts w:ascii="Garamond" w:hAnsi="Garamond"/>
          <w:sz w:val="24"/>
          <w:szCs w:val="24"/>
        </w:rPr>
        <w:t xml:space="preserve">Stacja 110/6kV i </w:t>
      </w:r>
      <w:r w:rsidR="003E6FD1" w:rsidRPr="00AE3F1B">
        <w:rPr>
          <w:rFonts w:ascii="Garamond" w:hAnsi="Garamond"/>
          <w:sz w:val="24"/>
          <w:szCs w:val="24"/>
        </w:rPr>
        <w:t>6kV</w:t>
      </w:r>
      <w:r w:rsidR="00710F07" w:rsidRPr="00AE3F1B">
        <w:rPr>
          <w:rFonts w:ascii="Garamond" w:hAnsi="Garamond"/>
          <w:sz w:val="24"/>
          <w:szCs w:val="24"/>
        </w:rPr>
        <w:t>/0,4kV, jest wyposażona w baterię akumulatorów zapewniającą zasilanie potrzeb własnych.</w:t>
      </w:r>
    </w:p>
    <w:p w14:paraId="695A1D46" w14:textId="6C7CCE25" w:rsidR="00710F07" w:rsidRDefault="00D17A9A" w:rsidP="00D17A9A">
      <w:pPr>
        <w:spacing w:after="210" w:line="253" w:lineRule="auto"/>
        <w:ind w:left="567" w:right="-3" w:hanging="567"/>
        <w:jc w:val="left"/>
        <w:rPr>
          <w:rFonts w:ascii="Garamond" w:hAnsi="Garamond"/>
          <w:sz w:val="24"/>
          <w:szCs w:val="24"/>
        </w:rPr>
      </w:pPr>
      <w:r>
        <w:rPr>
          <w:rFonts w:ascii="Garamond" w:hAnsi="Garamond"/>
          <w:sz w:val="24"/>
          <w:szCs w:val="24"/>
        </w:rPr>
        <w:t xml:space="preserve">VII.4. </w:t>
      </w:r>
      <w:r w:rsidR="00710F07" w:rsidRPr="00AE3F1B">
        <w:rPr>
          <w:rFonts w:ascii="Garamond" w:hAnsi="Garamond"/>
          <w:sz w:val="24"/>
          <w:szCs w:val="24"/>
        </w:rPr>
        <w:t xml:space="preserve">Wymagany, minimalny czas zasilania potrzeb własnych z baterii akumulatorów </w:t>
      </w:r>
      <w:r w:rsidR="003E6FD1" w:rsidRPr="00AE3F1B">
        <w:rPr>
          <w:rFonts w:ascii="Garamond" w:hAnsi="Garamond"/>
          <w:sz w:val="24"/>
          <w:szCs w:val="24"/>
        </w:rPr>
        <w:br/>
      </w:r>
      <w:r w:rsidR="00710F07" w:rsidRPr="00AE3F1B">
        <w:rPr>
          <w:rFonts w:ascii="Garamond" w:hAnsi="Garamond"/>
          <w:sz w:val="24"/>
          <w:szCs w:val="24"/>
        </w:rPr>
        <w:t>dla powyższej stacji elektroenergetycznej ustala ID Sp. z o.o.</w:t>
      </w:r>
    </w:p>
    <w:p w14:paraId="6F0FBDC1" w14:textId="77777777" w:rsidR="00D17A9A" w:rsidRDefault="00D17A9A" w:rsidP="00D17A9A">
      <w:pPr>
        <w:spacing w:after="210" w:line="253" w:lineRule="auto"/>
        <w:ind w:right="-3"/>
        <w:jc w:val="left"/>
        <w:rPr>
          <w:rFonts w:ascii="Garamond" w:hAnsi="Garamond"/>
          <w:sz w:val="24"/>
          <w:szCs w:val="24"/>
        </w:rPr>
      </w:pPr>
    </w:p>
    <w:p w14:paraId="06BEBC12" w14:textId="77777777" w:rsidR="00D17A9A" w:rsidRDefault="00D17A9A" w:rsidP="00D17A9A">
      <w:pPr>
        <w:spacing w:after="210" w:line="253" w:lineRule="auto"/>
        <w:ind w:right="-3"/>
        <w:jc w:val="left"/>
        <w:rPr>
          <w:rFonts w:ascii="Garamond" w:hAnsi="Garamond"/>
          <w:sz w:val="24"/>
          <w:szCs w:val="24"/>
        </w:rPr>
      </w:pPr>
    </w:p>
    <w:p w14:paraId="1A6828D7" w14:textId="77777777" w:rsidR="00D17A9A" w:rsidRDefault="00D17A9A" w:rsidP="00D17A9A">
      <w:pPr>
        <w:spacing w:after="210" w:line="253" w:lineRule="auto"/>
        <w:ind w:right="-3"/>
        <w:jc w:val="left"/>
        <w:rPr>
          <w:rFonts w:ascii="Garamond" w:hAnsi="Garamond"/>
          <w:sz w:val="24"/>
          <w:szCs w:val="24"/>
        </w:rPr>
      </w:pPr>
    </w:p>
    <w:p w14:paraId="4CF52C33" w14:textId="77777777" w:rsidR="00D17A9A" w:rsidRDefault="00D17A9A" w:rsidP="00D17A9A">
      <w:pPr>
        <w:spacing w:after="210" w:line="253" w:lineRule="auto"/>
        <w:ind w:right="-3"/>
        <w:jc w:val="left"/>
        <w:rPr>
          <w:rFonts w:ascii="Garamond" w:hAnsi="Garamond"/>
          <w:sz w:val="24"/>
          <w:szCs w:val="24"/>
        </w:rPr>
      </w:pPr>
    </w:p>
    <w:p w14:paraId="232698F1" w14:textId="77777777" w:rsidR="00D17A9A" w:rsidRDefault="00D17A9A" w:rsidP="00D17A9A">
      <w:pPr>
        <w:spacing w:after="210" w:line="253" w:lineRule="auto"/>
        <w:ind w:right="-3"/>
        <w:jc w:val="left"/>
        <w:rPr>
          <w:rFonts w:ascii="Garamond" w:hAnsi="Garamond"/>
          <w:sz w:val="24"/>
          <w:szCs w:val="24"/>
        </w:rPr>
      </w:pPr>
    </w:p>
    <w:p w14:paraId="3F9386D2" w14:textId="77777777" w:rsidR="00D17A9A" w:rsidRDefault="00D17A9A" w:rsidP="00D17A9A">
      <w:pPr>
        <w:spacing w:after="210" w:line="253" w:lineRule="auto"/>
        <w:ind w:right="-3"/>
        <w:jc w:val="left"/>
        <w:rPr>
          <w:rFonts w:ascii="Garamond" w:hAnsi="Garamond"/>
          <w:sz w:val="24"/>
          <w:szCs w:val="24"/>
        </w:rPr>
      </w:pPr>
    </w:p>
    <w:p w14:paraId="5C142F6D" w14:textId="77777777" w:rsidR="00D17A9A" w:rsidRDefault="00D17A9A" w:rsidP="00D17A9A">
      <w:pPr>
        <w:spacing w:after="210" w:line="253" w:lineRule="auto"/>
        <w:ind w:right="-3"/>
        <w:jc w:val="left"/>
        <w:rPr>
          <w:rFonts w:ascii="Garamond" w:hAnsi="Garamond"/>
          <w:sz w:val="24"/>
          <w:szCs w:val="24"/>
        </w:rPr>
      </w:pPr>
    </w:p>
    <w:p w14:paraId="11A181CC" w14:textId="77777777" w:rsidR="00D17A9A" w:rsidRPr="00AE3F1B" w:rsidRDefault="00D17A9A" w:rsidP="00D17A9A">
      <w:pPr>
        <w:spacing w:after="210" w:line="253" w:lineRule="auto"/>
        <w:ind w:right="-3"/>
        <w:jc w:val="left"/>
        <w:rPr>
          <w:rFonts w:ascii="Garamond" w:hAnsi="Garamond"/>
          <w:sz w:val="24"/>
          <w:szCs w:val="24"/>
        </w:rPr>
      </w:pPr>
    </w:p>
    <w:p w14:paraId="4121E3CA" w14:textId="77777777" w:rsidR="003E6FD1" w:rsidRPr="00016ECE" w:rsidRDefault="0062147A">
      <w:pPr>
        <w:pStyle w:val="Akapitzlist"/>
        <w:numPr>
          <w:ilvl w:val="0"/>
          <w:numId w:val="40"/>
        </w:numPr>
        <w:spacing w:after="210" w:line="253" w:lineRule="auto"/>
        <w:ind w:right="-3" w:hanging="913"/>
        <w:jc w:val="left"/>
        <w:rPr>
          <w:rFonts w:asciiTheme="majorHAnsi" w:hAnsiTheme="majorHAnsi"/>
          <w:b/>
          <w:bCs/>
          <w:sz w:val="24"/>
          <w:szCs w:val="24"/>
        </w:rPr>
      </w:pPr>
      <w:r w:rsidRPr="00016ECE">
        <w:rPr>
          <w:rFonts w:asciiTheme="majorHAnsi" w:hAnsiTheme="majorHAnsi"/>
          <w:b/>
          <w:bCs/>
          <w:sz w:val="24"/>
          <w:szCs w:val="24"/>
        </w:rPr>
        <w:t xml:space="preserve">Parametry jakościowe energii elektrycznej </w:t>
      </w:r>
    </w:p>
    <w:p w14:paraId="4C2CA2A9" w14:textId="77777777" w:rsidR="003E6FD1" w:rsidRPr="00016ECE" w:rsidRDefault="00710F07" w:rsidP="00175586">
      <w:pPr>
        <w:tabs>
          <w:tab w:val="center" w:pos="3410"/>
        </w:tabs>
        <w:spacing w:after="189" w:line="248" w:lineRule="auto"/>
        <w:ind w:left="567" w:right="-3" w:hanging="567"/>
        <w:jc w:val="left"/>
        <w:rPr>
          <w:rFonts w:ascii="Garamond" w:hAnsi="Garamond"/>
          <w:sz w:val="24"/>
          <w:szCs w:val="24"/>
        </w:rPr>
      </w:pPr>
      <w:r w:rsidRPr="00016ECE">
        <w:rPr>
          <w:rFonts w:ascii="Garamond" w:hAnsi="Garamond"/>
          <w:sz w:val="24"/>
          <w:szCs w:val="24"/>
        </w:rPr>
        <w:t>V</w:t>
      </w:r>
      <w:r w:rsidR="003E6FD1" w:rsidRPr="00016ECE">
        <w:rPr>
          <w:rFonts w:ascii="Garamond" w:hAnsi="Garamond"/>
          <w:sz w:val="24"/>
          <w:szCs w:val="24"/>
        </w:rPr>
        <w:t>II</w:t>
      </w:r>
      <w:r w:rsidR="00CB794E" w:rsidRPr="00016ECE">
        <w:rPr>
          <w:rFonts w:ascii="Garamond" w:hAnsi="Garamond"/>
          <w:sz w:val="24"/>
          <w:szCs w:val="24"/>
        </w:rPr>
        <w:t>I.</w:t>
      </w:r>
      <w:r w:rsidR="003E6FD1" w:rsidRPr="00016ECE">
        <w:rPr>
          <w:rFonts w:ascii="Garamond" w:hAnsi="Garamond"/>
          <w:sz w:val="24"/>
          <w:szCs w:val="24"/>
        </w:rPr>
        <w:t>1</w:t>
      </w:r>
      <w:r w:rsidRPr="00016ECE">
        <w:rPr>
          <w:rFonts w:ascii="Garamond" w:hAnsi="Garamond"/>
          <w:sz w:val="24"/>
          <w:szCs w:val="24"/>
        </w:rPr>
        <w:t>.</w:t>
      </w:r>
      <w:r w:rsidRPr="00016ECE">
        <w:rPr>
          <w:rFonts w:ascii="Garamond" w:hAnsi="Garamond"/>
          <w:sz w:val="24"/>
          <w:szCs w:val="24"/>
        </w:rPr>
        <w:tab/>
      </w:r>
      <w:r w:rsidR="0062147A" w:rsidRPr="00016ECE">
        <w:rPr>
          <w:rFonts w:ascii="Garamond" w:hAnsi="Garamond"/>
          <w:sz w:val="24"/>
          <w:szCs w:val="24"/>
        </w:rPr>
        <w:t xml:space="preserve"> Parametry jakościowe energii elektrycznej w warunkach normalnej pracy sieci </w:t>
      </w:r>
    </w:p>
    <w:p w14:paraId="21ED4EAB" w14:textId="77777777" w:rsidR="0078376D" w:rsidRDefault="0078376D" w:rsidP="0078376D">
      <w:pPr>
        <w:tabs>
          <w:tab w:val="center" w:pos="3410"/>
        </w:tabs>
        <w:spacing w:line="248" w:lineRule="auto"/>
        <w:ind w:right="-3"/>
        <w:jc w:val="left"/>
        <w:rPr>
          <w:rFonts w:ascii="Garamond" w:hAnsi="Garamond"/>
          <w:sz w:val="24"/>
          <w:szCs w:val="24"/>
        </w:rPr>
      </w:pPr>
      <w:r w:rsidRPr="0078376D">
        <w:rPr>
          <w:rFonts w:ascii="Garamond" w:hAnsi="Garamond"/>
          <w:sz w:val="24"/>
          <w:szCs w:val="24"/>
        </w:rPr>
        <w:t xml:space="preserve">VIII.1.1. </w:t>
      </w:r>
      <w:r w:rsidR="0062147A" w:rsidRPr="0078376D">
        <w:rPr>
          <w:rFonts w:ascii="Garamond" w:hAnsi="Garamond"/>
          <w:sz w:val="24"/>
          <w:szCs w:val="24"/>
        </w:rPr>
        <w:t>Wyróżnia się następujące parametry znamionowe sieci dystrybucyjnej:</w:t>
      </w:r>
    </w:p>
    <w:p w14:paraId="7A402675" w14:textId="35E4B47F" w:rsidR="0078376D" w:rsidRPr="0078376D" w:rsidRDefault="0062147A">
      <w:pPr>
        <w:pStyle w:val="Akapitzlist"/>
        <w:numPr>
          <w:ilvl w:val="0"/>
          <w:numId w:val="135"/>
        </w:numPr>
        <w:tabs>
          <w:tab w:val="center" w:pos="3410"/>
        </w:tabs>
        <w:spacing w:line="248" w:lineRule="auto"/>
        <w:ind w:right="-3"/>
        <w:jc w:val="left"/>
        <w:rPr>
          <w:rFonts w:ascii="Garamond" w:hAnsi="Garamond"/>
          <w:sz w:val="24"/>
          <w:szCs w:val="24"/>
        </w:rPr>
      </w:pPr>
      <w:r w:rsidRPr="0078376D">
        <w:rPr>
          <w:rFonts w:ascii="Garamond" w:hAnsi="Garamond"/>
          <w:sz w:val="24"/>
          <w:szCs w:val="24"/>
        </w:rPr>
        <w:t>napięcie znamionowe,</w:t>
      </w:r>
    </w:p>
    <w:p w14:paraId="676904E9" w14:textId="449098BB" w:rsidR="0062147A" w:rsidRPr="0078376D" w:rsidRDefault="0062147A">
      <w:pPr>
        <w:pStyle w:val="Akapitzlist"/>
        <w:numPr>
          <w:ilvl w:val="0"/>
          <w:numId w:val="135"/>
        </w:numPr>
        <w:tabs>
          <w:tab w:val="center" w:pos="3410"/>
        </w:tabs>
        <w:spacing w:line="248" w:lineRule="auto"/>
        <w:ind w:right="-3"/>
        <w:jc w:val="left"/>
        <w:rPr>
          <w:rFonts w:ascii="Garamond" w:hAnsi="Garamond"/>
          <w:sz w:val="24"/>
          <w:szCs w:val="24"/>
        </w:rPr>
      </w:pPr>
      <w:r w:rsidRPr="0078376D">
        <w:rPr>
          <w:rFonts w:ascii="Garamond" w:hAnsi="Garamond"/>
          <w:sz w:val="24"/>
          <w:szCs w:val="24"/>
        </w:rPr>
        <w:t>częstotliwość znamionową.</w:t>
      </w:r>
    </w:p>
    <w:p w14:paraId="42EE3E7A" w14:textId="672485A2" w:rsidR="00B95C84" w:rsidRPr="00AE3F1B" w:rsidRDefault="0062147A" w:rsidP="00175586">
      <w:pPr>
        <w:spacing w:after="182" w:line="275" w:lineRule="auto"/>
        <w:ind w:left="567" w:right="-3" w:hanging="567"/>
        <w:jc w:val="left"/>
        <w:rPr>
          <w:rFonts w:ascii="Garamond" w:hAnsi="Garamond"/>
          <w:sz w:val="24"/>
          <w:szCs w:val="24"/>
        </w:rPr>
      </w:pPr>
      <w:r w:rsidRPr="00AE3F1B">
        <w:rPr>
          <w:rFonts w:ascii="Garamond" w:hAnsi="Garamond"/>
          <w:sz w:val="24"/>
          <w:szCs w:val="24"/>
        </w:rPr>
        <w:t>VIII.1.</w:t>
      </w:r>
      <w:r w:rsidR="00B95C84" w:rsidRPr="00AE3F1B">
        <w:rPr>
          <w:rFonts w:ascii="Garamond" w:hAnsi="Garamond"/>
          <w:sz w:val="24"/>
          <w:szCs w:val="24"/>
        </w:rPr>
        <w:t>2</w:t>
      </w:r>
      <w:r w:rsidRPr="00AE3F1B">
        <w:rPr>
          <w:rFonts w:ascii="Garamond" w:hAnsi="Garamond"/>
          <w:sz w:val="24"/>
          <w:szCs w:val="24"/>
        </w:rPr>
        <w:t>.</w:t>
      </w:r>
      <w:r w:rsidR="0078376D">
        <w:rPr>
          <w:rFonts w:ascii="Garamond" w:hAnsi="Garamond"/>
          <w:sz w:val="24"/>
          <w:szCs w:val="24"/>
        </w:rPr>
        <w:t xml:space="preserve"> </w:t>
      </w:r>
      <w:r w:rsidR="00B95C84" w:rsidRPr="00AE3F1B">
        <w:rPr>
          <w:rFonts w:ascii="Garamond" w:hAnsi="Garamond"/>
          <w:sz w:val="24"/>
          <w:szCs w:val="24"/>
        </w:rPr>
        <w:t xml:space="preserve">Regulacja częstotliwości w </w:t>
      </w:r>
      <w:r w:rsidR="00B377D0" w:rsidRPr="00AE3F1B">
        <w:rPr>
          <w:rFonts w:ascii="Garamond" w:hAnsi="Garamond"/>
          <w:sz w:val="24"/>
          <w:szCs w:val="24"/>
        </w:rPr>
        <w:t>KSE</w:t>
      </w:r>
      <w:r w:rsidR="00B95C84" w:rsidRPr="00AE3F1B">
        <w:rPr>
          <w:rFonts w:ascii="Garamond" w:hAnsi="Garamond"/>
          <w:sz w:val="24"/>
          <w:szCs w:val="24"/>
        </w:rPr>
        <w:t xml:space="preserve"> jest prowadzona przez </w:t>
      </w:r>
      <w:r w:rsidR="00B377D0" w:rsidRPr="00AE3F1B">
        <w:rPr>
          <w:rFonts w:ascii="Garamond" w:hAnsi="Garamond"/>
          <w:sz w:val="24"/>
          <w:szCs w:val="24"/>
        </w:rPr>
        <w:t>PSE</w:t>
      </w:r>
      <w:r w:rsidR="00B95C84" w:rsidRPr="00AE3F1B">
        <w:rPr>
          <w:rFonts w:ascii="Garamond" w:hAnsi="Garamond"/>
          <w:sz w:val="24"/>
          <w:szCs w:val="24"/>
        </w:rPr>
        <w:t>.</w:t>
      </w:r>
    </w:p>
    <w:p w14:paraId="48DFB45F" w14:textId="2C38C147" w:rsidR="00B95C84" w:rsidRPr="00AE3F1B" w:rsidRDefault="00B94487" w:rsidP="00B94487">
      <w:pPr>
        <w:spacing w:after="0" w:line="245" w:lineRule="auto"/>
        <w:ind w:left="567" w:right="-3" w:hanging="567"/>
        <w:jc w:val="left"/>
        <w:rPr>
          <w:rFonts w:ascii="Garamond" w:hAnsi="Garamond"/>
          <w:sz w:val="24"/>
          <w:szCs w:val="24"/>
        </w:rPr>
      </w:pPr>
      <w:r w:rsidRPr="00AE3F1B">
        <w:rPr>
          <w:rFonts w:ascii="Garamond" w:hAnsi="Garamond"/>
          <w:sz w:val="24"/>
          <w:szCs w:val="24"/>
        </w:rPr>
        <w:t xml:space="preserve">VIII.1.3. </w:t>
      </w:r>
      <w:r w:rsidR="00B95C84" w:rsidRPr="00AE3F1B">
        <w:rPr>
          <w:rFonts w:ascii="Garamond" w:hAnsi="Garamond"/>
          <w:sz w:val="24"/>
          <w:szCs w:val="24"/>
        </w:rPr>
        <w:t xml:space="preserve">O ile umowa o świadczenie usług dystrybucji lub umowa kompleksowa nie stanowi inaczej, </w:t>
      </w:r>
      <w:r>
        <w:rPr>
          <w:rFonts w:ascii="Garamond" w:hAnsi="Garamond"/>
          <w:sz w:val="24"/>
          <w:szCs w:val="24"/>
        </w:rPr>
        <w:t xml:space="preserve">   </w:t>
      </w:r>
      <w:r w:rsidR="00B95C84" w:rsidRPr="00AE3F1B">
        <w:rPr>
          <w:rFonts w:ascii="Garamond" w:hAnsi="Garamond"/>
          <w:sz w:val="24"/>
          <w:szCs w:val="24"/>
        </w:rPr>
        <w:t xml:space="preserve">w normalnych warunkach pracy sieci (wyłączając przerwy w zasilaniu), w każdym tygodniu, </w:t>
      </w:r>
      <w:r w:rsidR="00B95C84" w:rsidRPr="00AE3F1B">
        <w:rPr>
          <w:rFonts w:ascii="Garamond" w:hAnsi="Garamond"/>
          <w:sz w:val="24"/>
          <w:szCs w:val="24"/>
        </w:rPr>
        <w:br/>
        <w:t xml:space="preserve">95 % ze zbioru 10-minutowych średnich wartości skutecznych napięcia zasilającego powinno mieścić się w przedziale odchyleń ± 10% napięcia znamionowego lub deklarowanego ( przy współczynniku </w:t>
      </w:r>
      <w:proofErr w:type="spellStart"/>
      <w:r w:rsidR="00B95C84" w:rsidRPr="00AE3F1B">
        <w:rPr>
          <w:rFonts w:ascii="Garamond" w:hAnsi="Garamond"/>
          <w:sz w:val="24"/>
          <w:szCs w:val="24"/>
        </w:rPr>
        <w:t>tgφ</w:t>
      </w:r>
      <w:proofErr w:type="spellEnd"/>
      <w:r w:rsidR="00B95C84" w:rsidRPr="00AE3F1B">
        <w:rPr>
          <w:rFonts w:ascii="Garamond" w:hAnsi="Garamond"/>
          <w:sz w:val="24"/>
          <w:szCs w:val="24"/>
        </w:rPr>
        <w:t xml:space="preserve"> nie większym niż 0,4) dla sieci o napięciu znamionowym nie wyższym niż 110 </w:t>
      </w:r>
      <w:proofErr w:type="spellStart"/>
      <w:r w:rsidR="00B95C84" w:rsidRPr="00AE3F1B">
        <w:rPr>
          <w:rFonts w:ascii="Garamond" w:hAnsi="Garamond"/>
          <w:sz w:val="24"/>
          <w:szCs w:val="24"/>
        </w:rPr>
        <w:t>kV</w:t>
      </w:r>
      <w:proofErr w:type="spellEnd"/>
      <w:r w:rsidR="00B95C84" w:rsidRPr="00AE3F1B">
        <w:rPr>
          <w:rFonts w:ascii="Garamond" w:hAnsi="Garamond"/>
          <w:sz w:val="24"/>
          <w:szCs w:val="24"/>
        </w:rPr>
        <w:t xml:space="preserve"> — w sieciach niskiego napięcia wartości napięć deklarowanych i znamionowych są równe.</w:t>
      </w:r>
    </w:p>
    <w:p w14:paraId="4917897C" w14:textId="77777777" w:rsidR="00B95C84" w:rsidRPr="00AE3F1B" w:rsidRDefault="00B95C84" w:rsidP="00175586">
      <w:pPr>
        <w:spacing w:after="0" w:line="245" w:lineRule="auto"/>
        <w:ind w:left="567" w:right="-3" w:hanging="567"/>
        <w:jc w:val="left"/>
        <w:rPr>
          <w:rFonts w:ascii="Garamond" w:hAnsi="Garamond"/>
          <w:sz w:val="24"/>
          <w:szCs w:val="24"/>
        </w:rPr>
      </w:pPr>
    </w:p>
    <w:p w14:paraId="2702463F" w14:textId="388D3ADB" w:rsidR="00B95C84" w:rsidRPr="00AE3F1B" w:rsidRDefault="0078376D" w:rsidP="0078376D">
      <w:pPr>
        <w:spacing w:after="160" w:line="275" w:lineRule="auto"/>
        <w:ind w:left="567" w:right="-3" w:hanging="426"/>
        <w:jc w:val="left"/>
        <w:rPr>
          <w:rFonts w:ascii="Garamond" w:hAnsi="Garamond"/>
          <w:sz w:val="24"/>
          <w:szCs w:val="24"/>
        </w:rPr>
      </w:pPr>
      <w:r w:rsidRPr="00AE3F1B">
        <w:rPr>
          <w:rFonts w:ascii="Garamond" w:hAnsi="Garamond"/>
          <w:sz w:val="24"/>
          <w:szCs w:val="24"/>
        </w:rPr>
        <w:t xml:space="preserve">VIII.1.4. </w:t>
      </w:r>
      <w:r w:rsidR="00B95C84" w:rsidRPr="00AE3F1B">
        <w:rPr>
          <w:rFonts w:ascii="Garamond" w:hAnsi="Garamond"/>
          <w:sz w:val="24"/>
          <w:szCs w:val="24"/>
        </w:rPr>
        <w:t xml:space="preserve">O ile umowa o świadczenie usług dystrybucji lub umowa kompleksowa nie stanowi inaczej, w normalnych warunkach pracy sieci, dla odbiorców których urządzenia, instalacje lub sieci  </w:t>
      </w:r>
      <w:r w:rsidR="00B95C84" w:rsidRPr="00AE3F1B">
        <w:rPr>
          <w:rFonts w:ascii="Garamond" w:hAnsi="Garamond"/>
          <w:sz w:val="24"/>
          <w:szCs w:val="24"/>
        </w:rPr>
        <w:br/>
        <w:t xml:space="preserve">przyłączone są bezpośrednio do sieci o napięciu znamionowym nie wyższym niż 110 </w:t>
      </w:r>
      <w:proofErr w:type="spellStart"/>
      <w:r w:rsidR="00B95C84" w:rsidRPr="00AE3F1B">
        <w:rPr>
          <w:rFonts w:ascii="Garamond" w:hAnsi="Garamond"/>
          <w:sz w:val="24"/>
          <w:szCs w:val="24"/>
        </w:rPr>
        <w:t>kV</w:t>
      </w:r>
      <w:proofErr w:type="spellEnd"/>
      <w:r w:rsidR="00B95C84" w:rsidRPr="00AE3F1B">
        <w:rPr>
          <w:rFonts w:ascii="Garamond" w:hAnsi="Garamond"/>
          <w:sz w:val="24"/>
          <w:szCs w:val="24"/>
        </w:rPr>
        <w:t xml:space="preserve"> ustala się następujące parametry techniczne energii elektrycznej:</w:t>
      </w:r>
    </w:p>
    <w:p w14:paraId="1D4D9D74" w14:textId="7810C6D5" w:rsidR="00B95C84" w:rsidRPr="0078376D" w:rsidRDefault="00B95C84">
      <w:pPr>
        <w:pStyle w:val="Akapitzlist"/>
        <w:numPr>
          <w:ilvl w:val="0"/>
          <w:numId w:val="136"/>
        </w:numPr>
        <w:spacing w:after="7" w:line="252" w:lineRule="auto"/>
        <w:ind w:right="-3"/>
        <w:jc w:val="left"/>
        <w:rPr>
          <w:rFonts w:ascii="Garamond" w:hAnsi="Garamond"/>
          <w:sz w:val="24"/>
          <w:szCs w:val="24"/>
        </w:rPr>
      </w:pPr>
      <w:r w:rsidRPr="0078376D">
        <w:rPr>
          <w:rFonts w:ascii="Garamond" w:hAnsi="Garamond"/>
          <w:sz w:val="24"/>
          <w:szCs w:val="24"/>
        </w:rPr>
        <w:t>Wartość średnia częstotliwości, mierzonej przez 10 sekund w miejscach przyłączenia, powinna</w:t>
      </w:r>
      <w:r w:rsidR="00645717" w:rsidRPr="0078376D">
        <w:rPr>
          <w:rFonts w:ascii="Garamond" w:hAnsi="Garamond"/>
          <w:sz w:val="24"/>
          <w:szCs w:val="24"/>
        </w:rPr>
        <w:t xml:space="preserve"> </w:t>
      </w:r>
      <w:r w:rsidRPr="0078376D">
        <w:rPr>
          <w:rFonts w:ascii="Garamond" w:hAnsi="Garamond"/>
          <w:sz w:val="24"/>
          <w:szCs w:val="24"/>
        </w:rPr>
        <w:t>być zawarta w przedziale:</w:t>
      </w:r>
    </w:p>
    <w:p w14:paraId="459E3851" w14:textId="77777777" w:rsidR="00B95C84" w:rsidRPr="0078376D" w:rsidRDefault="00B95C84">
      <w:pPr>
        <w:pStyle w:val="Akapitzlist"/>
        <w:numPr>
          <w:ilvl w:val="0"/>
          <w:numId w:val="137"/>
        </w:numPr>
        <w:spacing w:after="0" w:line="259" w:lineRule="auto"/>
        <w:ind w:right="-3"/>
        <w:jc w:val="left"/>
        <w:rPr>
          <w:rFonts w:ascii="Garamond" w:hAnsi="Garamond"/>
          <w:sz w:val="24"/>
          <w:szCs w:val="24"/>
        </w:rPr>
      </w:pPr>
      <w:r w:rsidRPr="0078376D">
        <w:rPr>
          <w:rFonts w:ascii="Garamond" w:hAnsi="Garamond"/>
          <w:sz w:val="24"/>
          <w:szCs w:val="24"/>
        </w:rPr>
        <w:t xml:space="preserve">50 </w:t>
      </w:r>
      <w:proofErr w:type="spellStart"/>
      <w:r w:rsidRPr="0078376D">
        <w:rPr>
          <w:rFonts w:ascii="Garamond" w:hAnsi="Garamond"/>
          <w:sz w:val="24"/>
          <w:szCs w:val="24"/>
        </w:rPr>
        <w:t>Hz</w:t>
      </w:r>
      <w:proofErr w:type="spellEnd"/>
      <w:r w:rsidRPr="0078376D">
        <w:rPr>
          <w:rFonts w:ascii="Garamond" w:hAnsi="Garamond"/>
          <w:sz w:val="24"/>
          <w:szCs w:val="24"/>
        </w:rPr>
        <w:t xml:space="preserve"> ± 1 % (od 49,5 </w:t>
      </w:r>
      <w:proofErr w:type="spellStart"/>
      <w:r w:rsidRPr="0078376D">
        <w:rPr>
          <w:rFonts w:ascii="Garamond" w:hAnsi="Garamond"/>
          <w:sz w:val="24"/>
          <w:szCs w:val="24"/>
        </w:rPr>
        <w:t>Hz</w:t>
      </w:r>
      <w:proofErr w:type="spellEnd"/>
      <w:r w:rsidRPr="0078376D">
        <w:rPr>
          <w:rFonts w:ascii="Garamond" w:hAnsi="Garamond"/>
          <w:sz w:val="24"/>
          <w:szCs w:val="24"/>
        </w:rPr>
        <w:t xml:space="preserve"> do 50,5 </w:t>
      </w:r>
      <w:proofErr w:type="spellStart"/>
      <w:r w:rsidRPr="0078376D">
        <w:rPr>
          <w:rFonts w:ascii="Garamond" w:hAnsi="Garamond"/>
          <w:sz w:val="24"/>
          <w:szCs w:val="24"/>
        </w:rPr>
        <w:t>Hz</w:t>
      </w:r>
      <w:proofErr w:type="spellEnd"/>
      <w:r w:rsidRPr="0078376D">
        <w:rPr>
          <w:rFonts w:ascii="Garamond" w:hAnsi="Garamond"/>
          <w:sz w:val="24"/>
          <w:szCs w:val="24"/>
        </w:rPr>
        <w:t>) przez 99,5 % tygodnia,</w:t>
      </w:r>
    </w:p>
    <w:p w14:paraId="61E358B6" w14:textId="77777777" w:rsidR="00B95C84" w:rsidRPr="0078376D" w:rsidRDefault="00B95C84">
      <w:pPr>
        <w:pStyle w:val="Akapitzlist"/>
        <w:numPr>
          <w:ilvl w:val="0"/>
          <w:numId w:val="137"/>
        </w:numPr>
        <w:spacing w:after="0" w:line="259" w:lineRule="auto"/>
        <w:ind w:right="-3"/>
        <w:jc w:val="left"/>
        <w:rPr>
          <w:rFonts w:ascii="Garamond" w:hAnsi="Garamond"/>
          <w:sz w:val="24"/>
          <w:szCs w:val="24"/>
        </w:rPr>
      </w:pPr>
      <w:r w:rsidRPr="0078376D">
        <w:rPr>
          <w:rFonts w:ascii="Garamond" w:hAnsi="Garamond"/>
          <w:sz w:val="24"/>
          <w:szCs w:val="24"/>
        </w:rPr>
        <w:t xml:space="preserve">50 </w:t>
      </w:r>
      <w:proofErr w:type="spellStart"/>
      <w:r w:rsidRPr="0078376D">
        <w:rPr>
          <w:rFonts w:ascii="Garamond" w:hAnsi="Garamond"/>
          <w:sz w:val="24"/>
          <w:szCs w:val="24"/>
        </w:rPr>
        <w:t>Hz</w:t>
      </w:r>
      <w:proofErr w:type="spellEnd"/>
      <w:r w:rsidRPr="0078376D">
        <w:rPr>
          <w:rFonts w:ascii="Garamond" w:hAnsi="Garamond"/>
          <w:sz w:val="24"/>
          <w:szCs w:val="24"/>
        </w:rPr>
        <w:t xml:space="preserve"> +4%/-6 % (od 47 </w:t>
      </w:r>
      <w:proofErr w:type="spellStart"/>
      <w:r w:rsidRPr="0078376D">
        <w:rPr>
          <w:rFonts w:ascii="Garamond" w:hAnsi="Garamond"/>
          <w:sz w:val="24"/>
          <w:szCs w:val="24"/>
        </w:rPr>
        <w:t>Hz</w:t>
      </w:r>
      <w:proofErr w:type="spellEnd"/>
      <w:r w:rsidRPr="0078376D">
        <w:rPr>
          <w:rFonts w:ascii="Garamond" w:hAnsi="Garamond"/>
          <w:sz w:val="24"/>
          <w:szCs w:val="24"/>
        </w:rPr>
        <w:t xml:space="preserve"> do 52 </w:t>
      </w:r>
      <w:proofErr w:type="spellStart"/>
      <w:r w:rsidRPr="0078376D">
        <w:rPr>
          <w:rFonts w:ascii="Garamond" w:hAnsi="Garamond"/>
          <w:sz w:val="24"/>
          <w:szCs w:val="24"/>
        </w:rPr>
        <w:t>Hz</w:t>
      </w:r>
      <w:proofErr w:type="spellEnd"/>
      <w:r w:rsidRPr="0078376D">
        <w:rPr>
          <w:rFonts w:ascii="Garamond" w:hAnsi="Garamond"/>
          <w:sz w:val="24"/>
          <w:szCs w:val="24"/>
        </w:rPr>
        <w:t>) przez 100 % tygodnia.</w:t>
      </w:r>
    </w:p>
    <w:p w14:paraId="69CF1D6C" w14:textId="1D701995" w:rsidR="00B95C84" w:rsidRPr="0078376D" w:rsidRDefault="00B95C84">
      <w:pPr>
        <w:pStyle w:val="Akapitzlist"/>
        <w:numPr>
          <w:ilvl w:val="0"/>
          <w:numId w:val="136"/>
        </w:numPr>
        <w:spacing w:after="0" w:line="256" w:lineRule="auto"/>
        <w:ind w:right="-3"/>
        <w:jc w:val="left"/>
        <w:rPr>
          <w:rFonts w:ascii="Garamond" w:hAnsi="Garamond"/>
          <w:sz w:val="24"/>
          <w:szCs w:val="24"/>
        </w:rPr>
      </w:pPr>
      <w:r w:rsidRPr="0078376D">
        <w:rPr>
          <w:rFonts w:ascii="Garamond" w:hAnsi="Garamond"/>
          <w:sz w:val="24"/>
          <w:szCs w:val="24"/>
        </w:rPr>
        <w:t>przez 95 % czasu każdego tygodnia, wskaźnik długookresowego migotania światła</w:t>
      </w:r>
      <w:r w:rsidR="0078376D" w:rsidRPr="0078376D">
        <w:rPr>
          <w:rFonts w:ascii="Garamond" w:hAnsi="Garamond"/>
          <w:sz w:val="24"/>
          <w:szCs w:val="24"/>
        </w:rPr>
        <w:t xml:space="preserve">. </w:t>
      </w:r>
      <w:r w:rsidRPr="0078376D">
        <w:rPr>
          <w:rFonts w:ascii="Garamond" w:hAnsi="Garamond"/>
          <w:sz w:val="24"/>
          <w:szCs w:val="24"/>
        </w:rPr>
        <w:t>Pit spowodowanego wahaniami napięcia zasilającego nie powinien być większy od:</w:t>
      </w:r>
    </w:p>
    <w:p w14:paraId="2AD61DD5" w14:textId="77777777" w:rsidR="0078376D" w:rsidRDefault="00B95C84">
      <w:pPr>
        <w:pStyle w:val="Akapitzlist"/>
        <w:numPr>
          <w:ilvl w:val="0"/>
          <w:numId w:val="138"/>
        </w:numPr>
        <w:spacing w:after="0" w:line="259" w:lineRule="auto"/>
        <w:ind w:right="-3"/>
        <w:jc w:val="left"/>
        <w:rPr>
          <w:rFonts w:ascii="Garamond" w:hAnsi="Garamond"/>
          <w:sz w:val="24"/>
          <w:szCs w:val="24"/>
        </w:rPr>
      </w:pPr>
      <w:r w:rsidRPr="0078376D">
        <w:rPr>
          <w:rFonts w:ascii="Garamond" w:hAnsi="Garamond"/>
          <w:sz w:val="24"/>
          <w:szCs w:val="24"/>
        </w:rPr>
        <w:t xml:space="preserve">0,8 dla sieci o napięciu znamionowym 110 </w:t>
      </w:r>
      <w:proofErr w:type="spellStart"/>
      <w:r w:rsidRPr="0078376D">
        <w:rPr>
          <w:rFonts w:ascii="Garamond" w:hAnsi="Garamond"/>
          <w:sz w:val="24"/>
          <w:szCs w:val="24"/>
        </w:rPr>
        <w:t>kV</w:t>
      </w:r>
      <w:proofErr w:type="spellEnd"/>
      <w:r w:rsidRPr="0078376D">
        <w:rPr>
          <w:rFonts w:ascii="Garamond" w:hAnsi="Garamond"/>
          <w:sz w:val="24"/>
          <w:szCs w:val="24"/>
        </w:rPr>
        <w:t>,</w:t>
      </w:r>
    </w:p>
    <w:p w14:paraId="68FD6F41" w14:textId="5A2DD1CA" w:rsidR="00B95C84" w:rsidRPr="0078376D" w:rsidRDefault="00B95C84">
      <w:pPr>
        <w:pStyle w:val="Akapitzlist"/>
        <w:numPr>
          <w:ilvl w:val="0"/>
          <w:numId w:val="138"/>
        </w:numPr>
        <w:spacing w:after="0" w:line="259" w:lineRule="auto"/>
        <w:ind w:right="-3"/>
        <w:jc w:val="left"/>
        <w:rPr>
          <w:rFonts w:ascii="Garamond" w:hAnsi="Garamond"/>
          <w:sz w:val="24"/>
          <w:szCs w:val="24"/>
        </w:rPr>
      </w:pPr>
      <w:r w:rsidRPr="0078376D">
        <w:rPr>
          <w:rFonts w:ascii="Garamond" w:hAnsi="Garamond"/>
          <w:sz w:val="24"/>
          <w:szCs w:val="24"/>
        </w:rPr>
        <w:lastRenderedPageBreak/>
        <w:t xml:space="preserve">dla sieci o napięciu znamionowym mniejszym od 110 </w:t>
      </w:r>
      <w:proofErr w:type="spellStart"/>
      <w:r w:rsidRPr="0078376D">
        <w:rPr>
          <w:rFonts w:ascii="Garamond" w:hAnsi="Garamond"/>
          <w:sz w:val="24"/>
          <w:szCs w:val="24"/>
        </w:rPr>
        <w:t>kV</w:t>
      </w:r>
      <w:proofErr w:type="spellEnd"/>
      <w:r w:rsidRPr="0078376D">
        <w:rPr>
          <w:rFonts w:ascii="Garamond" w:hAnsi="Garamond"/>
          <w:sz w:val="24"/>
          <w:szCs w:val="24"/>
        </w:rPr>
        <w:t>.</w:t>
      </w:r>
    </w:p>
    <w:p w14:paraId="5DA1FA30" w14:textId="70653E85" w:rsidR="00B95C84" w:rsidRPr="0078376D" w:rsidRDefault="00B95C84">
      <w:pPr>
        <w:pStyle w:val="Akapitzlist"/>
        <w:numPr>
          <w:ilvl w:val="0"/>
          <w:numId w:val="136"/>
        </w:numPr>
        <w:spacing w:after="25" w:line="258" w:lineRule="auto"/>
        <w:ind w:right="-3"/>
        <w:jc w:val="left"/>
        <w:rPr>
          <w:rFonts w:ascii="Garamond" w:hAnsi="Garamond"/>
          <w:sz w:val="24"/>
          <w:szCs w:val="24"/>
        </w:rPr>
      </w:pPr>
      <w:r w:rsidRPr="0078376D">
        <w:rPr>
          <w:rFonts w:ascii="Garamond" w:hAnsi="Garamond"/>
          <w:sz w:val="24"/>
          <w:szCs w:val="24"/>
        </w:rPr>
        <w:t>w ciągu każdego tygodnia, 95 % ze zbioru 10-minutowych średnich wartości skutecznych:</w:t>
      </w:r>
    </w:p>
    <w:p w14:paraId="2A07DAA8" w14:textId="0A530173" w:rsidR="00B95C84" w:rsidRPr="0078376D" w:rsidRDefault="00B95C84">
      <w:pPr>
        <w:pStyle w:val="Akapitzlist"/>
        <w:numPr>
          <w:ilvl w:val="0"/>
          <w:numId w:val="139"/>
        </w:numPr>
        <w:spacing w:after="8" w:line="251" w:lineRule="auto"/>
        <w:ind w:right="-3"/>
        <w:jc w:val="left"/>
        <w:rPr>
          <w:rFonts w:ascii="Garamond" w:hAnsi="Garamond"/>
          <w:sz w:val="24"/>
          <w:szCs w:val="24"/>
        </w:rPr>
      </w:pPr>
      <w:r w:rsidRPr="0078376D">
        <w:rPr>
          <w:rFonts w:ascii="Garamond" w:hAnsi="Garamond"/>
          <w:sz w:val="24"/>
          <w:szCs w:val="24"/>
        </w:rPr>
        <w:t xml:space="preserve">składowej symetrycznej kolejności przeciwnej napięcia zasilającego powinno mieścić się </w:t>
      </w:r>
      <w:r w:rsidR="0078376D">
        <w:rPr>
          <w:rFonts w:ascii="Garamond" w:hAnsi="Garamond"/>
          <w:sz w:val="24"/>
          <w:szCs w:val="24"/>
        </w:rPr>
        <w:t xml:space="preserve">      </w:t>
      </w:r>
      <w:r w:rsidRPr="0078376D">
        <w:rPr>
          <w:rFonts w:ascii="Garamond" w:hAnsi="Garamond"/>
          <w:sz w:val="24"/>
          <w:szCs w:val="24"/>
        </w:rPr>
        <w:t xml:space="preserve">w przedziale od 0 % do 1 % wartości składowej kolejności zgodnej dla sieci o napięciu znamionowym 110 </w:t>
      </w:r>
      <w:proofErr w:type="spellStart"/>
      <w:r w:rsidRPr="0078376D">
        <w:rPr>
          <w:rFonts w:ascii="Garamond" w:hAnsi="Garamond"/>
          <w:sz w:val="24"/>
          <w:szCs w:val="24"/>
        </w:rPr>
        <w:t>kV</w:t>
      </w:r>
      <w:proofErr w:type="spellEnd"/>
      <w:r w:rsidRPr="0078376D">
        <w:rPr>
          <w:rFonts w:ascii="Garamond" w:hAnsi="Garamond"/>
          <w:sz w:val="24"/>
          <w:szCs w:val="24"/>
        </w:rPr>
        <w:t xml:space="preserve"> oraz od 0 % do 2 % dla sieci o napięciu znamionowym mniejszym od 110 </w:t>
      </w:r>
      <w:proofErr w:type="spellStart"/>
      <w:r w:rsidRPr="0078376D">
        <w:rPr>
          <w:rFonts w:ascii="Garamond" w:hAnsi="Garamond"/>
          <w:sz w:val="24"/>
          <w:szCs w:val="24"/>
        </w:rPr>
        <w:t>kV</w:t>
      </w:r>
      <w:proofErr w:type="spellEnd"/>
      <w:r w:rsidRPr="0078376D">
        <w:rPr>
          <w:rFonts w:ascii="Garamond" w:hAnsi="Garamond"/>
          <w:sz w:val="24"/>
          <w:szCs w:val="24"/>
        </w:rPr>
        <w:t>,</w:t>
      </w:r>
    </w:p>
    <w:p w14:paraId="785B9184" w14:textId="15268B71" w:rsidR="00B94487" w:rsidRPr="00051C84" w:rsidRDefault="00B95C84">
      <w:pPr>
        <w:pStyle w:val="Akapitzlist"/>
        <w:numPr>
          <w:ilvl w:val="0"/>
          <w:numId w:val="139"/>
        </w:numPr>
        <w:spacing w:after="112" w:line="247" w:lineRule="auto"/>
        <w:ind w:right="-3"/>
        <w:jc w:val="left"/>
        <w:rPr>
          <w:rFonts w:ascii="Garamond" w:hAnsi="Garamond"/>
          <w:sz w:val="24"/>
          <w:szCs w:val="24"/>
        </w:rPr>
      </w:pPr>
      <w:r w:rsidRPr="0078376D">
        <w:rPr>
          <w:rFonts w:ascii="Garamond" w:hAnsi="Garamond"/>
          <w:sz w:val="24"/>
          <w:szCs w:val="24"/>
        </w:rPr>
        <w:t>dla każdej harmonicznej napięcia zasilającego, powinno być mniejsze lub równe   wartościom określonym poniżej w tablicach 1, 2, 3, 4, 5.</w:t>
      </w:r>
    </w:p>
    <w:p w14:paraId="272A14C0" w14:textId="2D6B4C7B" w:rsidR="00195760" w:rsidRPr="0078376D" w:rsidRDefault="00B95C84" w:rsidP="00051C84">
      <w:pPr>
        <w:spacing w:line="259" w:lineRule="auto"/>
        <w:ind w:left="567" w:right="-3" w:hanging="567"/>
        <w:jc w:val="left"/>
        <w:rPr>
          <w:rFonts w:asciiTheme="majorHAnsi" w:hAnsiTheme="majorHAnsi"/>
          <w:b/>
          <w:bCs/>
          <w:sz w:val="24"/>
          <w:szCs w:val="24"/>
        </w:rPr>
      </w:pPr>
      <w:r w:rsidRPr="00946FD6">
        <w:rPr>
          <w:rFonts w:asciiTheme="majorHAnsi" w:hAnsiTheme="majorHAnsi"/>
          <w:b/>
          <w:bCs/>
          <w:sz w:val="24"/>
          <w:szCs w:val="24"/>
        </w:rPr>
        <w:t xml:space="preserve">VIII.2.  Dopuszczalne poziomy zabezpieczeń parametrów jakościowych energii elektrycznej </w:t>
      </w:r>
    </w:p>
    <w:p w14:paraId="146ACE03" w14:textId="52CEBFEC" w:rsidR="00B95C84" w:rsidRPr="00AE3F1B" w:rsidRDefault="00B94487" w:rsidP="00B94487">
      <w:pPr>
        <w:spacing w:after="137" w:line="273" w:lineRule="auto"/>
        <w:ind w:left="567" w:right="-3" w:hanging="567"/>
        <w:jc w:val="left"/>
        <w:rPr>
          <w:rFonts w:ascii="Garamond" w:hAnsi="Garamond"/>
          <w:sz w:val="24"/>
          <w:szCs w:val="24"/>
        </w:rPr>
      </w:pPr>
      <w:r w:rsidRPr="00AE3F1B">
        <w:rPr>
          <w:rFonts w:ascii="Garamond" w:hAnsi="Garamond"/>
          <w:sz w:val="24"/>
          <w:szCs w:val="24"/>
        </w:rPr>
        <w:t>VIII.2.1.</w:t>
      </w:r>
      <w:r>
        <w:rPr>
          <w:rFonts w:ascii="Garamond" w:hAnsi="Garamond"/>
          <w:sz w:val="24"/>
          <w:szCs w:val="24"/>
        </w:rPr>
        <w:t xml:space="preserve"> </w:t>
      </w:r>
      <w:r w:rsidR="00B95C84" w:rsidRPr="00AE3F1B">
        <w:rPr>
          <w:rFonts w:ascii="Garamond" w:hAnsi="Garamond"/>
          <w:sz w:val="24"/>
          <w:szCs w:val="24"/>
        </w:rPr>
        <w:t>Ustala się poniższe dopuszczalne poziomy zaburzeń parametrów jakościowych energii elektrycznej wprowadzanych przez odbiorniki w sieciach niskich napięć.</w:t>
      </w:r>
    </w:p>
    <w:p w14:paraId="606E0EC6" w14:textId="79B12E2D" w:rsidR="003E6FD1" w:rsidRDefault="00B94487" w:rsidP="00B94487">
      <w:pPr>
        <w:spacing w:after="182" w:line="275" w:lineRule="auto"/>
        <w:ind w:left="567" w:right="-3" w:hanging="567"/>
        <w:jc w:val="left"/>
        <w:rPr>
          <w:rFonts w:ascii="Garamond" w:hAnsi="Garamond"/>
          <w:sz w:val="24"/>
          <w:szCs w:val="24"/>
        </w:rPr>
      </w:pPr>
      <w:r w:rsidRPr="00AE3F1B">
        <w:rPr>
          <w:rFonts w:ascii="Garamond" w:hAnsi="Garamond"/>
          <w:sz w:val="24"/>
          <w:szCs w:val="24"/>
        </w:rPr>
        <w:t xml:space="preserve">VIII.2.1.1. </w:t>
      </w:r>
      <w:r w:rsidR="00B95C84" w:rsidRPr="00AE3F1B">
        <w:rPr>
          <w:rFonts w:ascii="Garamond" w:hAnsi="Garamond"/>
          <w:sz w:val="24"/>
          <w:szCs w:val="24"/>
        </w:rPr>
        <w:t>Dopuszczalne poziomy wahań napięcia i migotania światła. W</w:t>
      </w:r>
      <w:r w:rsidR="003E6FD1" w:rsidRPr="00AE3F1B">
        <w:rPr>
          <w:rFonts w:ascii="Garamond" w:hAnsi="Garamond"/>
          <w:sz w:val="24"/>
          <w:szCs w:val="24"/>
        </w:rPr>
        <w:t xml:space="preserve"> przypadku odbiorników </w:t>
      </w:r>
      <w:r>
        <w:rPr>
          <w:rFonts w:ascii="Garamond" w:hAnsi="Garamond"/>
          <w:sz w:val="24"/>
          <w:szCs w:val="24"/>
        </w:rPr>
        <w:t xml:space="preserve">       </w:t>
      </w:r>
      <w:r w:rsidR="003E6FD1" w:rsidRPr="00AE3F1B">
        <w:rPr>
          <w:rFonts w:ascii="Garamond" w:hAnsi="Garamond"/>
          <w:sz w:val="24"/>
          <w:szCs w:val="24"/>
        </w:rPr>
        <w:t xml:space="preserve">o fazowym prądzie znamionowym </w:t>
      </w:r>
      <w:r w:rsidR="00E4249D" w:rsidRPr="00AE3F1B">
        <w:rPr>
          <w:rFonts w:ascii="Garamond" w:hAnsi="Garamond"/>
          <w:sz w:val="24"/>
          <w:szCs w:val="24"/>
        </w:rPr>
        <w:t>≤</w:t>
      </w:r>
      <w:r w:rsidR="003E6FD1" w:rsidRPr="00AE3F1B">
        <w:rPr>
          <w:rFonts w:ascii="Garamond" w:hAnsi="Garamond"/>
          <w:sz w:val="24"/>
          <w:szCs w:val="24"/>
        </w:rPr>
        <w:t>75 A, wprowadza się następujące maksymalnie dopuszczalne poziomy:</w:t>
      </w:r>
    </w:p>
    <w:p w14:paraId="0B6FE42A" w14:textId="77777777" w:rsidR="00B94487" w:rsidRDefault="00B94487" w:rsidP="00B94487">
      <w:pPr>
        <w:spacing w:after="182" w:line="275" w:lineRule="auto"/>
        <w:ind w:left="567" w:right="-3" w:hanging="567"/>
        <w:jc w:val="left"/>
        <w:rPr>
          <w:rFonts w:ascii="Garamond" w:hAnsi="Garamond"/>
          <w:sz w:val="24"/>
          <w:szCs w:val="24"/>
        </w:rPr>
      </w:pPr>
    </w:p>
    <w:p w14:paraId="75AC1F8F" w14:textId="77777777" w:rsidR="00B94487" w:rsidRPr="00AE3F1B" w:rsidRDefault="00B94487" w:rsidP="00B94487">
      <w:pPr>
        <w:spacing w:after="182" w:line="275" w:lineRule="auto"/>
        <w:ind w:left="567" w:right="-3" w:hanging="567"/>
        <w:jc w:val="left"/>
        <w:rPr>
          <w:rFonts w:ascii="Garamond" w:hAnsi="Garamond"/>
          <w:sz w:val="24"/>
          <w:szCs w:val="24"/>
        </w:rPr>
      </w:pPr>
    </w:p>
    <w:p w14:paraId="793998EB" w14:textId="77777777" w:rsidR="003E6FD1" w:rsidRPr="00B94487" w:rsidRDefault="003E6FD1">
      <w:pPr>
        <w:pStyle w:val="Akapitzlist"/>
        <w:numPr>
          <w:ilvl w:val="0"/>
          <w:numId w:val="140"/>
        </w:numPr>
        <w:spacing w:after="2" w:line="265" w:lineRule="auto"/>
        <w:ind w:right="-3"/>
        <w:jc w:val="left"/>
        <w:rPr>
          <w:rFonts w:ascii="Garamond" w:hAnsi="Garamond"/>
          <w:sz w:val="24"/>
          <w:szCs w:val="24"/>
        </w:rPr>
      </w:pPr>
      <w:r w:rsidRPr="00B94487">
        <w:rPr>
          <w:rFonts w:ascii="Garamond" w:eastAsia="Calibri" w:hAnsi="Garamond" w:cs="Calibri"/>
          <w:sz w:val="24"/>
          <w:szCs w:val="24"/>
        </w:rPr>
        <w:t>wartość Pst nie powinna być większa niż 1,</w:t>
      </w:r>
    </w:p>
    <w:p w14:paraId="31AC6B27" w14:textId="77777777" w:rsidR="003E6FD1" w:rsidRPr="00B94487" w:rsidRDefault="003E6FD1">
      <w:pPr>
        <w:pStyle w:val="Akapitzlist"/>
        <w:numPr>
          <w:ilvl w:val="0"/>
          <w:numId w:val="140"/>
        </w:numPr>
        <w:spacing w:after="38" w:line="265" w:lineRule="auto"/>
        <w:ind w:right="-3"/>
        <w:jc w:val="left"/>
        <w:rPr>
          <w:rFonts w:ascii="Garamond" w:hAnsi="Garamond"/>
          <w:sz w:val="24"/>
          <w:szCs w:val="24"/>
        </w:rPr>
      </w:pPr>
      <w:r w:rsidRPr="00B94487">
        <w:rPr>
          <w:rFonts w:ascii="Garamond" w:eastAsia="Calibri" w:hAnsi="Garamond" w:cs="Calibri"/>
          <w:sz w:val="24"/>
          <w:szCs w:val="24"/>
        </w:rPr>
        <w:t>wartość</w:t>
      </w:r>
      <w:r w:rsidR="00E4249D" w:rsidRPr="00B94487">
        <w:rPr>
          <w:rFonts w:ascii="Garamond" w:eastAsia="Calibri" w:hAnsi="Garamond" w:cs="Calibri"/>
          <w:sz w:val="24"/>
          <w:szCs w:val="24"/>
        </w:rPr>
        <w:t xml:space="preserve"> Pit</w:t>
      </w:r>
      <w:r w:rsidRPr="00B94487">
        <w:rPr>
          <w:rFonts w:ascii="Garamond" w:eastAsia="Calibri" w:hAnsi="Garamond" w:cs="Calibri"/>
          <w:sz w:val="24"/>
          <w:szCs w:val="24"/>
        </w:rPr>
        <w:t xml:space="preserve"> nie powinna być większa niż 0,65, wartość d(t) = </w:t>
      </w:r>
      <m:oMath>
        <m:f>
          <m:fPr>
            <m:ctrlPr>
              <w:rPr>
                <w:rFonts w:ascii="Cambria Math" w:eastAsia="Calibri" w:hAnsi="Cambria Math" w:cs="Calibri"/>
                <w:sz w:val="24"/>
                <w:szCs w:val="24"/>
              </w:rPr>
            </m:ctrlPr>
          </m:fPr>
          <m:num>
            <m:r>
              <m:rPr>
                <m:sty m:val="p"/>
              </m:rPr>
              <w:rPr>
                <w:rFonts w:ascii="Cambria Math" w:eastAsia="Calibri" w:hAnsi="Cambria Math" w:cs="Cambria Math"/>
                <w:sz w:val="24"/>
                <w:szCs w:val="24"/>
              </w:rPr>
              <m:t>∆U(t)</m:t>
            </m:r>
          </m:num>
          <m:den>
            <m:r>
              <m:rPr>
                <m:sty m:val="p"/>
              </m:rPr>
              <w:rPr>
                <w:rFonts w:ascii="Cambria Math" w:eastAsia="Calibri" w:hAnsi="Cambria Math" w:cs="Cambria Math"/>
                <w:sz w:val="24"/>
                <w:szCs w:val="24"/>
              </w:rPr>
              <m:t>Un</m:t>
            </m:r>
          </m:den>
        </m:f>
      </m:oMath>
      <w:r w:rsidRPr="00B94487">
        <w:rPr>
          <w:rFonts w:ascii="Garamond" w:eastAsia="Calibri" w:hAnsi="Garamond" w:cs="Calibri"/>
          <w:sz w:val="24"/>
          <w:szCs w:val="24"/>
        </w:rPr>
        <w:t>od czasu zmiany napięcia nie powinna przekraczać 3,3% przez czas dłuższy niż 500 ms,</w:t>
      </w:r>
    </w:p>
    <w:p w14:paraId="3E9793B4" w14:textId="77777777" w:rsidR="003E6FD1" w:rsidRPr="00B94487" w:rsidRDefault="003E6FD1">
      <w:pPr>
        <w:pStyle w:val="Akapitzlist"/>
        <w:numPr>
          <w:ilvl w:val="0"/>
          <w:numId w:val="140"/>
        </w:numPr>
        <w:spacing w:after="2" w:line="265" w:lineRule="auto"/>
        <w:ind w:right="-3"/>
        <w:jc w:val="left"/>
        <w:rPr>
          <w:rFonts w:ascii="Garamond" w:hAnsi="Garamond"/>
          <w:sz w:val="24"/>
          <w:szCs w:val="24"/>
        </w:rPr>
      </w:pPr>
      <w:r w:rsidRPr="00B94487">
        <w:rPr>
          <w:rFonts w:ascii="Garamond" w:eastAsia="Calibri" w:hAnsi="Garamond" w:cs="Calibri"/>
          <w:sz w:val="24"/>
          <w:szCs w:val="24"/>
        </w:rPr>
        <w:t xml:space="preserve">względna zmiana napięcia d = </w:t>
      </w:r>
      <m:oMath>
        <m:f>
          <m:fPr>
            <m:ctrlPr>
              <w:rPr>
                <w:rFonts w:ascii="Cambria Math" w:eastAsia="Calibri" w:hAnsi="Cambria Math" w:cs="Calibri"/>
                <w:sz w:val="24"/>
                <w:szCs w:val="24"/>
              </w:rPr>
            </m:ctrlPr>
          </m:fPr>
          <m:num>
            <m:r>
              <w:rPr>
                <w:rFonts w:ascii="Cambria Math" w:eastAsia="Calibri" w:hAnsi="Cambria Math" w:cs="Calibri"/>
                <w:sz w:val="24"/>
                <w:szCs w:val="24"/>
              </w:rPr>
              <m:t>∆U</m:t>
            </m:r>
          </m:num>
          <m:den>
            <m:r>
              <m:rPr>
                <m:sty m:val="p"/>
              </m:rPr>
              <w:rPr>
                <w:rFonts w:ascii="Cambria Math" w:eastAsia="Calibri" w:hAnsi="Cambria Math" w:cs="Cambria Math"/>
                <w:sz w:val="24"/>
                <w:szCs w:val="24"/>
              </w:rPr>
              <m:t>Un</m:t>
            </m:r>
          </m:den>
        </m:f>
      </m:oMath>
      <w:r w:rsidRPr="00B94487">
        <w:rPr>
          <w:rFonts w:ascii="Garamond" w:eastAsia="Calibri" w:hAnsi="Garamond" w:cs="Calibri"/>
          <w:sz w:val="24"/>
          <w:szCs w:val="24"/>
        </w:rPr>
        <w:t xml:space="preserve"> w stanie ustalonym nie powinna przekraczać 3,3%, gdzie:</w:t>
      </w:r>
    </w:p>
    <w:p w14:paraId="1D48C583" w14:textId="209E07B0" w:rsidR="00D41B11" w:rsidRPr="00B94487" w:rsidRDefault="003E6FD1">
      <w:pPr>
        <w:pStyle w:val="Akapitzlist"/>
        <w:numPr>
          <w:ilvl w:val="0"/>
          <w:numId w:val="41"/>
        </w:numPr>
        <w:spacing w:line="265" w:lineRule="auto"/>
        <w:ind w:left="993" w:right="-3" w:hanging="426"/>
        <w:jc w:val="left"/>
        <w:rPr>
          <w:rFonts w:ascii="Garamond" w:eastAsia="Calibri" w:hAnsi="Garamond" w:cs="Calibri"/>
          <w:sz w:val="24"/>
          <w:szCs w:val="24"/>
        </w:rPr>
      </w:pPr>
      <w:r w:rsidRPr="00AE3F1B">
        <w:rPr>
          <w:rFonts w:ascii="Garamond" w:eastAsia="Calibri" w:hAnsi="Garamond" w:cs="Calibri"/>
          <w:sz w:val="24"/>
          <w:szCs w:val="24"/>
        </w:rPr>
        <w:t>U zmiana wartości skutecznej napięcia, wyznaczona jako pojedyncza wartość dla każdego kolejnego półokresu napięcia źródła, pomiędzy jego przejściami przez zero, występująca między okresami, gdy napięcie jest w stanie ustalonym co najmniej przez 1 s.</w:t>
      </w:r>
    </w:p>
    <w:p w14:paraId="7EA72F37" w14:textId="77777777" w:rsidR="00B94487" w:rsidRDefault="00D41B11" w:rsidP="00B94487">
      <w:pPr>
        <w:spacing w:line="265" w:lineRule="auto"/>
        <w:ind w:left="567" w:right="-3" w:hanging="567"/>
        <w:jc w:val="left"/>
        <w:rPr>
          <w:rFonts w:ascii="Garamond" w:eastAsia="Calibri" w:hAnsi="Garamond" w:cs="Calibri"/>
          <w:sz w:val="24"/>
          <w:szCs w:val="24"/>
        </w:rPr>
      </w:pPr>
      <w:r w:rsidRPr="00AE3F1B">
        <w:rPr>
          <w:rFonts w:ascii="Garamond" w:eastAsia="Calibri" w:hAnsi="Garamond" w:cs="Calibri"/>
          <w:sz w:val="24"/>
          <w:szCs w:val="24"/>
        </w:rPr>
        <w:t>VIII.2.1.2. Dopuszczalne poziomy emisji harmonicznych prądu</w:t>
      </w:r>
    </w:p>
    <w:p w14:paraId="5DE8147D" w14:textId="12193F58" w:rsidR="00405E03" w:rsidRPr="00AE3F1B" w:rsidRDefault="00B94487" w:rsidP="00B94487">
      <w:pPr>
        <w:spacing w:line="265" w:lineRule="auto"/>
        <w:ind w:left="567" w:right="-3" w:hanging="567"/>
        <w:jc w:val="left"/>
        <w:rPr>
          <w:rFonts w:ascii="Garamond" w:eastAsia="Calibri" w:hAnsi="Garamond" w:cs="Calibri"/>
          <w:sz w:val="24"/>
          <w:szCs w:val="24"/>
        </w:rPr>
      </w:pPr>
      <w:r w:rsidRPr="00AE3F1B">
        <w:rPr>
          <w:rFonts w:ascii="Garamond" w:eastAsia="Calibri" w:hAnsi="Garamond" w:cs="Calibri"/>
          <w:sz w:val="24"/>
          <w:szCs w:val="24"/>
        </w:rPr>
        <w:t xml:space="preserve">VIII.2.1.2.1. </w:t>
      </w:r>
      <w:r w:rsidR="00405E03" w:rsidRPr="00AE3F1B">
        <w:rPr>
          <w:rFonts w:ascii="Garamond" w:eastAsia="Calibri" w:hAnsi="Garamond" w:cs="Calibri"/>
          <w:sz w:val="24"/>
          <w:szCs w:val="24"/>
        </w:rPr>
        <w:t xml:space="preserve">W celu wyznaczenia maksymalnych poziomów emisji harmonicznych </w:t>
      </w:r>
      <w:r w:rsidRPr="00AE3F1B">
        <w:rPr>
          <w:rFonts w:ascii="Garamond" w:eastAsia="Calibri" w:hAnsi="Garamond" w:cs="Calibri"/>
          <w:sz w:val="24"/>
          <w:szCs w:val="24"/>
        </w:rPr>
        <w:t>odbiorniki dzieli</w:t>
      </w:r>
      <w:r w:rsidR="00405E03" w:rsidRPr="00AE3F1B">
        <w:rPr>
          <w:rFonts w:ascii="Garamond" w:eastAsia="Calibri" w:hAnsi="Garamond" w:cs="Calibri"/>
          <w:sz w:val="24"/>
          <w:szCs w:val="24"/>
        </w:rPr>
        <w:t xml:space="preserve"> się </w:t>
      </w:r>
      <w:r w:rsidRPr="00AE3F1B">
        <w:rPr>
          <w:rFonts w:ascii="Garamond" w:eastAsia="Calibri" w:hAnsi="Garamond" w:cs="Calibri"/>
          <w:sz w:val="24"/>
          <w:szCs w:val="24"/>
        </w:rPr>
        <w:t>wg</w:t>
      </w:r>
      <w:r>
        <w:rPr>
          <w:rFonts w:ascii="Garamond" w:eastAsia="Calibri" w:hAnsi="Garamond" w:cs="Calibri"/>
          <w:sz w:val="24"/>
          <w:szCs w:val="24"/>
        </w:rPr>
        <w:t xml:space="preserve"> </w:t>
      </w:r>
      <w:r w:rsidRPr="00AE3F1B">
        <w:rPr>
          <w:rFonts w:ascii="Garamond" w:eastAsia="Calibri" w:hAnsi="Garamond" w:cs="Calibri"/>
          <w:sz w:val="24"/>
          <w:szCs w:val="24"/>
        </w:rPr>
        <w:t>następującej</w:t>
      </w:r>
      <w:r w:rsidR="00405E03" w:rsidRPr="00AE3F1B">
        <w:rPr>
          <w:rFonts w:ascii="Garamond" w:eastAsia="Calibri" w:hAnsi="Garamond" w:cs="Calibri"/>
          <w:sz w:val="24"/>
          <w:szCs w:val="24"/>
        </w:rPr>
        <w:t xml:space="preserve"> klasyfikacji:</w:t>
      </w:r>
    </w:p>
    <w:p w14:paraId="2B66D727" w14:textId="77777777" w:rsidR="00405E03" w:rsidRPr="00B94487" w:rsidRDefault="00405E03">
      <w:pPr>
        <w:pStyle w:val="Akapitzlist"/>
        <w:numPr>
          <w:ilvl w:val="0"/>
          <w:numId w:val="141"/>
        </w:numPr>
        <w:spacing w:after="24" w:line="216" w:lineRule="auto"/>
        <w:ind w:right="-3"/>
        <w:jc w:val="left"/>
        <w:rPr>
          <w:rFonts w:ascii="Garamond" w:hAnsi="Garamond"/>
          <w:sz w:val="24"/>
          <w:szCs w:val="24"/>
        </w:rPr>
      </w:pPr>
      <w:r w:rsidRPr="00B94487">
        <w:rPr>
          <w:rFonts w:ascii="Garamond" w:eastAsia="Calibri" w:hAnsi="Garamond" w:cs="Calibri"/>
          <w:sz w:val="24"/>
          <w:szCs w:val="24"/>
        </w:rPr>
        <w:t>Klasa A — symetryczne odbiorniki trójfazowe, sprzęt do zastosowań domowych z pominięciem przynależnego do klasy D, narzędzia z pominięciem narzędzi przenośnych, ściemniacze do żarówek, sprzęt akustyczny i wszystkie inne z wyjątkiem zakwalifikowanych do jednej z poniższych klas,</w:t>
      </w:r>
    </w:p>
    <w:p w14:paraId="2358C18C" w14:textId="77777777" w:rsidR="00405E03" w:rsidRPr="00B94487" w:rsidRDefault="00405E03">
      <w:pPr>
        <w:pStyle w:val="Akapitzlist"/>
        <w:numPr>
          <w:ilvl w:val="0"/>
          <w:numId w:val="141"/>
        </w:numPr>
        <w:spacing w:after="35" w:line="216" w:lineRule="auto"/>
        <w:ind w:right="-3"/>
        <w:jc w:val="left"/>
        <w:rPr>
          <w:rFonts w:ascii="Garamond" w:hAnsi="Garamond"/>
          <w:sz w:val="24"/>
          <w:szCs w:val="24"/>
        </w:rPr>
      </w:pPr>
      <w:r w:rsidRPr="00B94487">
        <w:rPr>
          <w:rFonts w:ascii="Garamond" w:eastAsia="Calibri" w:hAnsi="Garamond" w:cs="Calibri"/>
          <w:sz w:val="24"/>
          <w:szCs w:val="24"/>
        </w:rPr>
        <w:t>Klasa B — narzędzia przenośne tj. narzędzia elektryczne, które podczas normalnej pracy trzymane są w rękach i używane tylko przez krótki czas (kilka minut), nieprofesjonalny sprzęt spawalniczy,</w:t>
      </w:r>
    </w:p>
    <w:p w14:paraId="1F05CB30" w14:textId="77777777" w:rsidR="00405E03" w:rsidRPr="00B94487" w:rsidRDefault="00405E03">
      <w:pPr>
        <w:pStyle w:val="Akapitzlist"/>
        <w:numPr>
          <w:ilvl w:val="0"/>
          <w:numId w:val="141"/>
        </w:numPr>
        <w:spacing w:after="142" w:line="253" w:lineRule="auto"/>
        <w:ind w:right="-3"/>
        <w:jc w:val="left"/>
        <w:rPr>
          <w:rFonts w:ascii="Garamond" w:eastAsia="Calibri" w:hAnsi="Garamond" w:cs="Calibri"/>
          <w:sz w:val="24"/>
          <w:szCs w:val="24"/>
        </w:rPr>
      </w:pPr>
      <w:r w:rsidRPr="00B94487">
        <w:rPr>
          <w:rFonts w:ascii="Garamond" w:eastAsia="Calibri" w:hAnsi="Garamond" w:cs="Calibri"/>
          <w:sz w:val="24"/>
          <w:szCs w:val="24"/>
        </w:rPr>
        <w:t>Klasa C— sprzęt oświetleniowy,</w:t>
      </w:r>
    </w:p>
    <w:p w14:paraId="3C50B42C" w14:textId="6740C4BE" w:rsidR="00405E03" w:rsidRPr="00B94487" w:rsidRDefault="00405E03">
      <w:pPr>
        <w:pStyle w:val="Akapitzlist"/>
        <w:numPr>
          <w:ilvl w:val="0"/>
          <w:numId w:val="141"/>
        </w:numPr>
        <w:spacing w:after="142" w:line="253" w:lineRule="auto"/>
        <w:ind w:right="-3"/>
        <w:jc w:val="left"/>
        <w:rPr>
          <w:rFonts w:ascii="Garamond" w:eastAsia="Calibri" w:hAnsi="Garamond" w:cs="Calibri"/>
          <w:sz w:val="24"/>
          <w:szCs w:val="24"/>
        </w:rPr>
      </w:pPr>
      <w:r w:rsidRPr="00B94487">
        <w:rPr>
          <w:rFonts w:ascii="Garamond" w:eastAsia="Calibri" w:hAnsi="Garamond" w:cs="Calibri"/>
          <w:sz w:val="24"/>
          <w:szCs w:val="24"/>
        </w:rPr>
        <w:t>Klasa D — sprzęt o mocy 600W lub mniejszej następującego rodzaju: komputery osobiste i monitory do nich, odbiorniki telewizyjne.</w:t>
      </w:r>
    </w:p>
    <w:p w14:paraId="7F1CDD9D" w14:textId="0610A3F3" w:rsidR="00405E03" w:rsidRPr="00AE3F1B" w:rsidRDefault="00B94487" w:rsidP="00B94487">
      <w:pPr>
        <w:spacing w:after="142" w:line="253" w:lineRule="auto"/>
        <w:ind w:left="708" w:right="-3" w:hanging="708"/>
        <w:jc w:val="left"/>
        <w:rPr>
          <w:rFonts w:ascii="Garamond" w:eastAsia="Calibri" w:hAnsi="Garamond" w:cs="Calibri"/>
          <w:sz w:val="24"/>
          <w:szCs w:val="24"/>
        </w:rPr>
      </w:pPr>
      <w:r w:rsidRPr="00AE3F1B">
        <w:rPr>
          <w:rFonts w:ascii="Garamond" w:eastAsia="Calibri" w:hAnsi="Garamond" w:cs="Calibri"/>
          <w:sz w:val="24"/>
          <w:szCs w:val="24"/>
        </w:rPr>
        <w:t>VIII.2.1.2.2.</w:t>
      </w:r>
      <w:r>
        <w:rPr>
          <w:rFonts w:ascii="Garamond" w:eastAsia="Calibri" w:hAnsi="Garamond" w:cs="Calibri"/>
          <w:sz w:val="24"/>
          <w:szCs w:val="24"/>
        </w:rPr>
        <w:t xml:space="preserve"> </w:t>
      </w:r>
      <w:r w:rsidR="00405E03" w:rsidRPr="00AE3F1B">
        <w:rPr>
          <w:rFonts w:ascii="Garamond" w:eastAsia="Calibri" w:hAnsi="Garamond" w:cs="Calibri"/>
          <w:sz w:val="24"/>
          <w:szCs w:val="24"/>
        </w:rPr>
        <w:t>Dopuszczalne poziomy emisji harmonicznych prądu powodowane przez odbiorniki o fazowym prądzie znamionowym ≤16A zakwalifikowane do:</w:t>
      </w:r>
    </w:p>
    <w:p w14:paraId="116EC3E1" w14:textId="77777777" w:rsidR="003E6FD1" w:rsidRPr="00B94487" w:rsidRDefault="003E6FD1">
      <w:pPr>
        <w:pStyle w:val="Akapitzlist"/>
        <w:numPr>
          <w:ilvl w:val="0"/>
          <w:numId w:val="142"/>
        </w:numPr>
        <w:spacing w:after="2" w:line="265" w:lineRule="auto"/>
        <w:ind w:right="-3"/>
        <w:jc w:val="left"/>
        <w:rPr>
          <w:rFonts w:ascii="Garamond" w:hAnsi="Garamond"/>
          <w:sz w:val="24"/>
          <w:szCs w:val="24"/>
        </w:rPr>
      </w:pPr>
      <w:r w:rsidRPr="00B94487">
        <w:rPr>
          <w:rFonts w:ascii="Garamond" w:eastAsia="Calibri" w:hAnsi="Garamond" w:cs="Calibri"/>
          <w:sz w:val="24"/>
          <w:szCs w:val="24"/>
        </w:rPr>
        <w:t>Klasy A podano w Tablicy 1,</w:t>
      </w:r>
    </w:p>
    <w:p w14:paraId="615D3B52" w14:textId="77777777" w:rsidR="003E6FD1" w:rsidRPr="00B94487" w:rsidRDefault="003E6FD1">
      <w:pPr>
        <w:pStyle w:val="Akapitzlist"/>
        <w:numPr>
          <w:ilvl w:val="0"/>
          <w:numId w:val="142"/>
        </w:numPr>
        <w:spacing w:after="2" w:line="265" w:lineRule="auto"/>
        <w:ind w:right="-3"/>
        <w:jc w:val="left"/>
        <w:rPr>
          <w:rFonts w:ascii="Garamond" w:hAnsi="Garamond"/>
          <w:sz w:val="24"/>
          <w:szCs w:val="24"/>
        </w:rPr>
      </w:pPr>
      <w:r w:rsidRPr="00B94487">
        <w:rPr>
          <w:rFonts w:ascii="Garamond" w:eastAsia="Calibri" w:hAnsi="Garamond" w:cs="Calibri"/>
          <w:sz w:val="24"/>
          <w:szCs w:val="24"/>
        </w:rPr>
        <w:t>Klasy B podano w Tablicy 2,</w:t>
      </w:r>
    </w:p>
    <w:p w14:paraId="50B9958D" w14:textId="77777777" w:rsidR="003E6FD1" w:rsidRPr="00B94487" w:rsidRDefault="003E6FD1">
      <w:pPr>
        <w:pStyle w:val="Akapitzlist"/>
        <w:numPr>
          <w:ilvl w:val="0"/>
          <w:numId w:val="142"/>
        </w:numPr>
        <w:spacing w:after="2" w:line="265" w:lineRule="auto"/>
        <w:ind w:right="-3"/>
        <w:jc w:val="left"/>
        <w:rPr>
          <w:rFonts w:ascii="Garamond" w:hAnsi="Garamond"/>
          <w:sz w:val="24"/>
          <w:szCs w:val="24"/>
        </w:rPr>
      </w:pPr>
      <w:r w:rsidRPr="00B94487">
        <w:rPr>
          <w:rFonts w:ascii="Garamond" w:eastAsia="Calibri" w:hAnsi="Garamond" w:cs="Calibri"/>
          <w:sz w:val="24"/>
          <w:szCs w:val="24"/>
        </w:rPr>
        <w:t>Klasy C podano w Tablicy 3,</w:t>
      </w:r>
    </w:p>
    <w:p w14:paraId="7AAB171D" w14:textId="77777777" w:rsidR="003E6FD1" w:rsidRPr="00B94487" w:rsidRDefault="003E6FD1">
      <w:pPr>
        <w:pStyle w:val="Akapitzlist"/>
        <w:numPr>
          <w:ilvl w:val="0"/>
          <w:numId w:val="142"/>
        </w:numPr>
        <w:spacing w:after="100" w:afterAutospacing="1" w:line="264" w:lineRule="auto"/>
        <w:ind w:right="-3"/>
        <w:jc w:val="left"/>
        <w:rPr>
          <w:rFonts w:ascii="Garamond" w:hAnsi="Garamond"/>
          <w:sz w:val="24"/>
          <w:szCs w:val="24"/>
        </w:rPr>
      </w:pPr>
      <w:r w:rsidRPr="00B94487">
        <w:rPr>
          <w:rFonts w:ascii="Garamond" w:eastAsia="Calibri" w:hAnsi="Garamond" w:cs="Calibri"/>
          <w:sz w:val="24"/>
          <w:szCs w:val="24"/>
        </w:rPr>
        <w:lastRenderedPageBreak/>
        <w:t>Klasy D podano w Tablicy 4,</w:t>
      </w:r>
    </w:p>
    <w:p w14:paraId="10A2AC06" w14:textId="77777777" w:rsidR="00AF5446" w:rsidRPr="00AE3F1B" w:rsidRDefault="00AF5446" w:rsidP="00B94487">
      <w:pPr>
        <w:spacing w:after="0"/>
        <w:ind w:left="567" w:right="-3" w:hanging="567"/>
        <w:jc w:val="left"/>
        <w:rPr>
          <w:rFonts w:ascii="Garamond" w:hAnsi="Garamond"/>
          <w:b/>
          <w:bCs/>
          <w:sz w:val="24"/>
          <w:szCs w:val="24"/>
        </w:rPr>
      </w:pPr>
      <w:r w:rsidRPr="00AE3F1B">
        <w:rPr>
          <w:rFonts w:ascii="Garamond" w:hAnsi="Garamond"/>
          <w:b/>
          <w:bCs/>
          <w:sz w:val="24"/>
          <w:szCs w:val="24"/>
        </w:rPr>
        <w:t xml:space="preserve">      Tab</w:t>
      </w:r>
      <w:r w:rsidR="00A46261" w:rsidRPr="00AE3F1B">
        <w:rPr>
          <w:rFonts w:ascii="Garamond" w:hAnsi="Garamond"/>
          <w:b/>
          <w:bCs/>
          <w:sz w:val="24"/>
          <w:szCs w:val="24"/>
        </w:rPr>
        <w:t>lica</w:t>
      </w:r>
      <w:r w:rsidRPr="00AE3F1B">
        <w:rPr>
          <w:rFonts w:ascii="Garamond" w:hAnsi="Garamond"/>
          <w:b/>
          <w:bCs/>
          <w:sz w:val="24"/>
          <w:szCs w:val="24"/>
        </w:rPr>
        <w:t xml:space="preserve"> 1. Dopuszczalne poziomy dla odbiorników klasy A</w:t>
      </w:r>
    </w:p>
    <w:tbl>
      <w:tblPr>
        <w:tblStyle w:val="TableGrid"/>
        <w:tblpPr w:leftFromText="141" w:rightFromText="141" w:vertAnchor="text" w:horzAnchor="margin" w:tblpX="704" w:tblpY="136"/>
        <w:tblW w:w="7061"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3234"/>
        <w:gridCol w:w="3827"/>
      </w:tblGrid>
      <w:tr w:rsidR="00AF5446" w:rsidRPr="00AE3F1B" w14:paraId="72D92167" w14:textId="77777777" w:rsidTr="00B94487">
        <w:trPr>
          <w:trHeight w:val="547"/>
        </w:trPr>
        <w:tc>
          <w:tcPr>
            <w:tcW w:w="3234" w:type="dxa"/>
            <w:vAlign w:val="center"/>
          </w:tcPr>
          <w:p w14:paraId="4BAE18A7" w14:textId="77777777" w:rsidR="00AF5446" w:rsidRPr="00AE3F1B" w:rsidRDefault="00AF5446" w:rsidP="00B94487">
            <w:pPr>
              <w:ind w:left="567" w:right="-3" w:hanging="567"/>
              <w:jc w:val="center"/>
              <w:rPr>
                <w:rFonts w:ascii="Garamond" w:hAnsi="Garamond"/>
                <w:sz w:val="24"/>
                <w:szCs w:val="24"/>
              </w:rPr>
            </w:pPr>
            <w:r w:rsidRPr="00AE3F1B">
              <w:rPr>
                <w:rFonts w:ascii="Garamond" w:eastAsia="Calibri" w:hAnsi="Garamond" w:cs="Calibri"/>
                <w:sz w:val="24"/>
                <w:szCs w:val="24"/>
              </w:rPr>
              <w:t>Rząd harmonicznej [n]</w:t>
            </w:r>
          </w:p>
        </w:tc>
        <w:tc>
          <w:tcPr>
            <w:tcW w:w="3827" w:type="dxa"/>
          </w:tcPr>
          <w:p w14:paraId="70F49A87" w14:textId="77777777" w:rsidR="00AF5446" w:rsidRPr="00AE3F1B" w:rsidRDefault="00AF5446" w:rsidP="00B94487">
            <w:pPr>
              <w:ind w:left="567" w:right="-3" w:hanging="567"/>
              <w:jc w:val="center"/>
              <w:rPr>
                <w:rFonts w:ascii="Garamond" w:hAnsi="Garamond"/>
                <w:sz w:val="24"/>
                <w:szCs w:val="24"/>
              </w:rPr>
            </w:pPr>
            <w:r w:rsidRPr="00AE3F1B">
              <w:rPr>
                <w:rFonts w:ascii="Garamond" w:eastAsia="Calibri" w:hAnsi="Garamond" w:cs="Calibri"/>
                <w:sz w:val="24"/>
                <w:szCs w:val="24"/>
              </w:rPr>
              <w:t>Maksymalny dopuszczalny prąd Harmonicznej</w:t>
            </w:r>
          </w:p>
        </w:tc>
      </w:tr>
      <w:tr w:rsidR="00AF5446" w:rsidRPr="00AE3F1B" w14:paraId="464F1B8F" w14:textId="77777777" w:rsidTr="00B94487">
        <w:trPr>
          <w:trHeight w:val="281"/>
        </w:trPr>
        <w:tc>
          <w:tcPr>
            <w:tcW w:w="7061" w:type="dxa"/>
            <w:gridSpan w:val="2"/>
            <w:vAlign w:val="center"/>
          </w:tcPr>
          <w:p w14:paraId="0EE37012" w14:textId="77777777" w:rsidR="00AF5446" w:rsidRPr="00AE3F1B" w:rsidRDefault="00AF5446" w:rsidP="00B94487">
            <w:pPr>
              <w:ind w:left="567" w:right="-3" w:hanging="567"/>
              <w:jc w:val="center"/>
              <w:rPr>
                <w:rFonts w:ascii="Garamond" w:hAnsi="Garamond"/>
                <w:sz w:val="24"/>
                <w:szCs w:val="24"/>
              </w:rPr>
            </w:pPr>
            <w:r w:rsidRPr="00AE3F1B">
              <w:rPr>
                <w:rFonts w:ascii="Garamond" w:eastAsia="Calibri" w:hAnsi="Garamond" w:cs="Calibri"/>
                <w:sz w:val="24"/>
                <w:szCs w:val="24"/>
              </w:rPr>
              <w:t>Harmoniczne nieparzyste</w:t>
            </w:r>
          </w:p>
        </w:tc>
      </w:tr>
      <w:tr w:rsidR="00AF5446" w:rsidRPr="00AE3F1B" w14:paraId="4846F8AF" w14:textId="77777777" w:rsidTr="00B94487">
        <w:trPr>
          <w:trHeight w:val="276"/>
        </w:trPr>
        <w:tc>
          <w:tcPr>
            <w:tcW w:w="3234" w:type="dxa"/>
            <w:vAlign w:val="center"/>
          </w:tcPr>
          <w:p w14:paraId="63E11F8E" w14:textId="77777777" w:rsidR="00AF5446" w:rsidRPr="00AE3F1B" w:rsidRDefault="00AF5446" w:rsidP="00B94487">
            <w:pPr>
              <w:ind w:left="567" w:right="-3" w:hanging="567"/>
              <w:jc w:val="center"/>
              <w:rPr>
                <w:rFonts w:ascii="Garamond" w:hAnsi="Garamond"/>
                <w:sz w:val="24"/>
                <w:szCs w:val="24"/>
              </w:rPr>
            </w:pPr>
            <w:r w:rsidRPr="00AE3F1B">
              <w:rPr>
                <w:rFonts w:ascii="Garamond" w:eastAsia="Calibri" w:hAnsi="Garamond" w:cs="Calibri"/>
                <w:sz w:val="24"/>
                <w:szCs w:val="24"/>
              </w:rPr>
              <w:t>3</w:t>
            </w:r>
          </w:p>
        </w:tc>
        <w:tc>
          <w:tcPr>
            <w:tcW w:w="3827" w:type="dxa"/>
            <w:vAlign w:val="center"/>
          </w:tcPr>
          <w:p w14:paraId="4E8465EC" w14:textId="77777777" w:rsidR="00AF5446" w:rsidRPr="00AE3F1B" w:rsidRDefault="00AF5446" w:rsidP="00B94487">
            <w:pPr>
              <w:ind w:left="567" w:right="-3" w:hanging="567"/>
              <w:jc w:val="center"/>
              <w:rPr>
                <w:rFonts w:ascii="Garamond" w:hAnsi="Garamond"/>
                <w:sz w:val="24"/>
                <w:szCs w:val="24"/>
              </w:rPr>
            </w:pPr>
            <w:r w:rsidRPr="00AE3F1B">
              <w:rPr>
                <w:rFonts w:ascii="Garamond" w:eastAsia="Calibri" w:hAnsi="Garamond" w:cs="Calibri"/>
                <w:sz w:val="24"/>
                <w:szCs w:val="24"/>
              </w:rPr>
              <w:t>2,3</w:t>
            </w:r>
          </w:p>
        </w:tc>
      </w:tr>
      <w:tr w:rsidR="00AF5446" w:rsidRPr="00AE3F1B" w14:paraId="7F82FA10" w14:textId="77777777" w:rsidTr="00B94487">
        <w:trPr>
          <w:trHeight w:val="278"/>
        </w:trPr>
        <w:tc>
          <w:tcPr>
            <w:tcW w:w="3234" w:type="dxa"/>
            <w:vAlign w:val="center"/>
          </w:tcPr>
          <w:p w14:paraId="65BF2544" w14:textId="77777777" w:rsidR="00AF5446" w:rsidRPr="00AE3F1B" w:rsidRDefault="00AF5446" w:rsidP="00B94487">
            <w:pPr>
              <w:ind w:left="567" w:right="-3" w:hanging="567"/>
              <w:jc w:val="center"/>
              <w:rPr>
                <w:rFonts w:ascii="Garamond" w:hAnsi="Garamond"/>
                <w:sz w:val="24"/>
                <w:szCs w:val="24"/>
              </w:rPr>
            </w:pPr>
            <w:r w:rsidRPr="00AE3F1B">
              <w:rPr>
                <w:rFonts w:ascii="Garamond" w:eastAsia="Calibri" w:hAnsi="Garamond" w:cs="Calibri"/>
                <w:sz w:val="24"/>
                <w:szCs w:val="24"/>
              </w:rPr>
              <w:t>5</w:t>
            </w:r>
          </w:p>
        </w:tc>
        <w:tc>
          <w:tcPr>
            <w:tcW w:w="3827" w:type="dxa"/>
            <w:vAlign w:val="center"/>
          </w:tcPr>
          <w:p w14:paraId="71059DC8" w14:textId="77777777" w:rsidR="00AF5446" w:rsidRPr="00AE3F1B" w:rsidRDefault="00AF5446" w:rsidP="00B94487">
            <w:pPr>
              <w:ind w:left="567" w:right="-3" w:hanging="567"/>
              <w:jc w:val="center"/>
              <w:rPr>
                <w:rFonts w:ascii="Garamond" w:hAnsi="Garamond"/>
                <w:sz w:val="24"/>
                <w:szCs w:val="24"/>
              </w:rPr>
            </w:pPr>
            <w:r w:rsidRPr="00AE3F1B">
              <w:rPr>
                <w:rFonts w:ascii="Garamond" w:eastAsia="Calibri" w:hAnsi="Garamond" w:cs="Calibri"/>
                <w:sz w:val="24"/>
                <w:szCs w:val="24"/>
              </w:rPr>
              <w:t>1,14</w:t>
            </w:r>
          </w:p>
        </w:tc>
      </w:tr>
      <w:tr w:rsidR="00AF5446" w:rsidRPr="00AE3F1B" w14:paraId="1CCCD993" w14:textId="77777777" w:rsidTr="00B94487">
        <w:trPr>
          <w:trHeight w:val="281"/>
        </w:trPr>
        <w:tc>
          <w:tcPr>
            <w:tcW w:w="3234" w:type="dxa"/>
            <w:vAlign w:val="center"/>
          </w:tcPr>
          <w:p w14:paraId="5EC0341E" w14:textId="77777777" w:rsidR="00AF5446" w:rsidRPr="00AE3F1B" w:rsidRDefault="00AF5446" w:rsidP="00B94487">
            <w:pPr>
              <w:ind w:left="567" w:right="-3" w:hanging="567"/>
              <w:jc w:val="center"/>
              <w:rPr>
                <w:rFonts w:ascii="Garamond" w:hAnsi="Garamond"/>
                <w:sz w:val="24"/>
                <w:szCs w:val="24"/>
              </w:rPr>
            </w:pPr>
            <w:r w:rsidRPr="00AE3F1B">
              <w:rPr>
                <w:rFonts w:ascii="Garamond" w:eastAsia="Calibri" w:hAnsi="Garamond" w:cs="Calibri"/>
                <w:sz w:val="24"/>
                <w:szCs w:val="24"/>
              </w:rPr>
              <w:t>7</w:t>
            </w:r>
          </w:p>
        </w:tc>
        <w:tc>
          <w:tcPr>
            <w:tcW w:w="3827" w:type="dxa"/>
            <w:vAlign w:val="center"/>
          </w:tcPr>
          <w:p w14:paraId="0E9C49EE" w14:textId="77777777" w:rsidR="00AF5446" w:rsidRPr="00AE3F1B" w:rsidRDefault="00AF5446" w:rsidP="00B94487">
            <w:pPr>
              <w:ind w:left="567" w:right="-3" w:hanging="567"/>
              <w:jc w:val="center"/>
              <w:rPr>
                <w:rFonts w:ascii="Garamond" w:hAnsi="Garamond"/>
                <w:sz w:val="24"/>
                <w:szCs w:val="24"/>
              </w:rPr>
            </w:pPr>
            <w:r w:rsidRPr="00AE3F1B">
              <w:rPr>
                <w:rFonts w:ascii="Garamond" w:eastAsia="Calibri" w:hAnsi="Garamond" w:cs="Calibri"/>
                <w:sz w:val="24"/>
                <w:szCs w:val="24"/>
              </w:rPr>
              <w:t>0,77</w:t>
            </w:r>
          </w:p>
        </w:tc>
      </w:tr>
      <w:tr w:rsidR="00AF5446" w:rsidRPr="00AE3F1B" w14:paraId="270600F2" w14:textId="77777777" w:rsidTr="00B94487">
        <w:trPr>
          <w:trHeight w:val="288"/>
        </w:trPr>
        <w:tc>
          <w:tcPr>
            <w:tcW w:w="3234" w:type="dxa"/>
            <w:vAlign w:val="center"/>
          </w:tcPr>
          <w:p w14:paraId="79C39306" w14:textId="77777777" w:rsidR="00AF5446" w:rsidRPr="00AE3F1B" w:rsidRDefault="00AF5446" w:rsidP="00B94487">
            <w:pPr>
              <w:ind w:left="567" w:right="-3" w:hanging="567"/>
              <w:jc w:val="center"/>
              <w:rPr>
                <w:rFonts w:ascii="Garamond" w:hAnsi="Garamond"/>
                <w:sz w:val="24"/>
                <w:szCs w:val="24"/>
              </w:rPr>
            </w:pPr>
            <w:r w:rsidRPr="00AE3F1B">
              <w:rPr>
                <w:rFonts w:ascii="Garamond" w:eastAsia="Calibri" w:hAnsi="Garamond" w:cs="Calibri"/>
                <w:sz w:val="24"/>
                <w:szCs w:val="24"/>
              </w:rPr>
              <w:t>9</w:t>
            </w:r>
          </w:p>
        </w:tc>
        <w:tc>
          <w:tcPr>
            <w:tcW w:w="3827" w:type="dxa"/>
            <w:vAlign w:val="center"/>
          </w:tcPr>
          <w:p w14:paraId="5EEC36FA" w14:textId="77777777" w:rsidR="00AF5446" w:rsidRPr="00AE3F1B" w:rsidRDefault="00AF5446" w:rsidP="00B94487">
            <w:pPr>
              <w:ind w:left="567" w:right="-3" w:hanging="567"/>
              <w:jc w:val="center"/>
              <w:rPr>
                <w:rFonts w:ascii="Garamond" w:hAnsi="Garamond"/>
                <w:sz w:val="24"/>
                <w:szCs w:val="24"/>
              </w:rPr>
            </w:pPr>
            <w:r w:rsidRPr="00AE3F1B">
              <w:rPr>
                <w:rFonts w:ascii="Garamond" w:eastAsia="Calibri" w:hAnsi="Garamond" w:cs="Calibri"/>
                <w:sz w:val="24"/>
                <w:szCs w:val="24"/>
              </w:rPr>
              <w:t>0,4</w:t>
            </w:r>
          </w:p>
        </w:tc>
      </w:tr>
      <w:tr w:rsidR="00AF5446" w:rsidRPr="00AE3F1B" w14:paraId="01C65E61" w14:textId="77777777" w:rsidTr="00B94487">
        <w:tblPrEx>
          <w:tblCellMar>
            <w:top w:w="39" w:type="dxa"/>
            <w:left w:w="284" w:type="dxa"/>
          </w:tblCellMar>
        </w:tblPrEx>
        <w:trPr>
          <w:trHeight w:val="281"/>
        </w:trPr>
        <w:tc>
          <w:tcPr>
            <w:tcW w:w="3234" w:type="dxa"/>
            <w:vAlign w:val="center"/>
          </w:tcPr>
          <w:p w14:paraId="2C5EFB83" w14:textId="77777777" w:rsidR="00AF5446" w:rsidRPr="00AE3F1B" w:rsidRDefault="00AF5446" w:rsidP="00B94487">
            <w:pPr>
              <w:ind w:left="567" w:right="-3" w:hanging="567"/>
              <w:jc w:val="center"/>
              <w:rPr>
                <w:rFonts w:ascii="Garamond" w:hAnsi="Garamond"/>
                <w:sz w:val="24"/>
                <w:szCs w:val="24"/>
              </w:rPr>
            </w:pPr>
            <w:r w:rsidRPr="00AE3F1B">
              <w:rPr>
                <w:rFonts w:ascii="Garamond" w:eastAsia="Calibri" w:hAnsi="Garamond" w:cs="Calibri"/>
                <w:sz w:val="24"/>
                <w:szCs w:val="24"/>
              </w:rPr>
              <w:t>11</w:t>
            </w:r>
          </w:p>
        </w:tc>
        <w:tc>
          <w:tcPr>
            <w:tcW w:w="3827" w:type="dxa"/>
            <w:vAlign w:val="center"/>
          </w:tcPr>
          <w:p w14:paraId="52E3A1E3" w14:textId="77777777" w:rsidR="00AF5446" w:rsidRPr="00AE3F1B" w:rsidRDefault="00AF5446" w:rsidP="00B94487">
            <w:pPr>
              <w:ind w:left="567" w:right="-3" w:hanging="567"/>
              <w:jc w:val="center"/>
              <w:rPr>
                <w:rFonts w:ascii="Garamond" w:hAnsi="Garamond"/>
                <w:sz w:val="24"/>
                <w:szCs w:val="24"/>
              </w:rPr>
            </w:pPr>
            <w:r w:rsidRPr="00AE3F1B">
              <w:rPr>
                <w:rFonts w:ascii="Garamond" w:eastAsia="Calibri" w:hAnsi="Garamond" w:cs="Calibri"/>
                <w:sz w:val="24"/>
                <w:szCs w:val="24"/>
              </w:rPr>
              <w:t>0,33</w:t>
            </w:r>
          </w:p>
        </w:tc>
      </w:tr>
      <w:tr w:rsidR="00AF5446" w:rsidRPr="00AE3F1B" w14:paraId="46E4E371" w14:textId="77777777" w:rsidTr="00B94487">
        <w:tblPrEx>
          <w:tblCellMar>
            <w:top w:w="39" w:type="dxa"/>
            <w:left w:w="284" w:type="dxa"/>
          </w:tblCellMar>
        </w:tblPrEx>
        <w:trPr>
          <w:trHeight w:val="281"/>
        </w:trPr>
        <w:tc>
          <w:tcPr>
            <w:tcW w:w="3234" w:type="dxa"/>
            <w:vAlign w:val="center"/>
          </w:tcPr>
          <w:p w14:paraId="321F6BB5" w14:textId="77777777" w:rsidR="00AF5446" w:rsidRPr="00AE3F1B" w:rsidRDefault="00AF5446" w:rsidP="00B94487">
            <w:pPr>
              <w:ind w:left="567" w:right="-3" w:hanging="567"/>
              <w:jc w:val="center"/>
              <w:rPr>
                <w:rFonts w:ascii="Garamond" w:hAnsi="Garamond"/>
                <w:sz w:val="24"/>
                <w:szCs w:val="24"/>
              </w:rPr>
            </w:pPr>
            <w:r w:rsidRPr="00AE3F1B">
              <w:rPr>
                <w:rFonts w:ascii="Garamond" w:eastAsia="Calibri" w:hAnsi="Garamond" w:cs="Calibri"/>
                <w:sz w:val="24"/>
                <w:szCs w:val="24"/>
              </w:rPr>
              <w:t>13</w:t>
            </w:r>
          </w:p>
        </w:tc>
        <w:tc>
          <w:tcPr>
            <w:tcW w:w="3827" w:type="dxa"/>
            <w:vAlign w:val="center"/>
          </w:tcPr>
          <w:p w14:paraId="7A73C8A2" w14:textId="77777777" w:rsidR="00AF5446" w:rsidRPr="00AE3F1B" w:rsidRDefault="00AF5446" w:rsidP="00B94487">
            <w:pPr>
              <w:ind w:left="567" w:right="-3" w:hanging="567"/>
              <w:jc w:val="center"/>
              <w:rPr>
                <w:rFonts w:ascii="Garamond" w:hAnsi="Garamond"/>
                <w:sz w:val="24"/>
                <w:szCs w:val="24"/>
              </w:rPr>
            </w:pPr>
            <w:r w:rsidRPr="00AE3F1B">
              <w:rPr>
                <w:rFonts w:ascii="Garamond" w:eastAsia="Calibri" w:hAnsi="Garamond" w:cs="Calibri"/>
                <w:sz w:val="24"/>
                <w:szCs w:val="24"/>
              </w:rPr>
              <w:t>0,21</w:t>
            </w:r>
          </w:p>
        </w:tc>
      </w:tr>
      <w:tr w:rsidR="00AF5446" w:rsidRPr="00AE3F1B" w14:paraId="44BE4772" w14:textId="77777777" w:rsidTr="00B94487">
        <w:tblPrEx>
          <w:tblCellMar>
            <w:top w:w="39" w:type="dxa"/>
            <w:left w:w="284" w:type="dxa"/>
          </w:tblCellMar>
        </w:tblPrEx>
        <w:trPr>
          <w:trHeight w:val="281"/>
        </w:trPr>
        <w:tc>
          <w:tcPr>
            <w:tcW w:w="3234" w:type="dxa"/>
            <w:vAlign w:val="center"/>
          </w:tcPr>
          <w:p w14:paraId="55F631CD" w14:textId="77777777" w:rsidR="00AF5446" w:rsidRPr="00AE3F1B" w:rsidRDefault="00AF5446" w:rsidP="00B94487">
            <w:pPr>
              <w:ind w:left="567" w:right="-3" w:hanging="567"/>
              <w:jc w:val="center"/>
              <w:rPr>
                <w:rFonts w:ascii="Garamond" w:hAnsi="Garamond"/>
                <w:sz w:val="24"/>
                <w:szCs w:val="24"/>
              </w:rPr>
            </w:pPr>
            <w:r w:rsidRPr="00AE3F1B">
              <w:rPr>
                <w:rFonts w:ascii="Garamond" w:eastAsia="Calibri" w:hAnsi="Garamond" w:cs="Calibri"/>
                <w:sz w:val="24"/>
                <w:szCs w:val="24"/>
              </w:rPr>
              <w:t>15≤n≤39</w:t>
            </w:r>
          </w:p>
        </w:tc>
        <w:tc>
          <w:tcPr>
            <w:tcW w:w="3827" w:type="dxa"/>
            <w:vAlign w:val="center"/>
          </w:tcPr>
          <w:p w14:paraId="60E177D0" w14:textId="77777777" w:rsidR="00AF5446" w:rsidRPr="00AE3F1B" w:rsidRDefault="00AF5446" w:rsidP="00B94487">
            <w:pPr>
              <w:ind w:left="567" w:right="-3" w:hanging="567"/>
              <w:jc w:val="center"/>
              <w:rPr>
                <w:rFonts w:ascii="Garamond" w:hAnsi="Garamond"/>
                <w:sz w:val="24"/>
                <w:szCs w:val="24"/>
              </w:rPr>
            </w:pPr>
            <w:r w:rsidRPr="00AE3F1B">
              <w:rPr>
                <w:rFonts w:ascii="Garamond" w:eastAsia="Calibri" w:hAnsi="Garamond" w:cs="Calibri"/>
                <w:sz w:val="24"/>
                <w:szCs w:val="24"/>
              </w:rPr>
              <w:t>0,15 x (15 / n)</w:t>
            </w:r>
          </w:p>
        </w:tc>
      </w:tr>
      <w:tr w:rsidR="00AF5446" w:rsidRPr="00AE3F1B" w14:paraId="52750A77" w14:textId="77777777" w:rsidTr="00B94487">
        <w:tblPrEx>
          <w:tblCellMar>
            <w:top w:w="39" w:type="dxa"/>
            <w:left w:w="284" w:type="dxa"/>
          </w:tblCellMar>
        </w:tblPrEx>
        <w:trPr>
          <w:trHeight w:val="281"/>
        </w:trPr>
        <w:tc>
          <w:tcPr>
            <w:tcW w:w="7061" w:type="dxa"/>
            <w:gridSpan w:val="2"/>
            <w:vAlign w:val="center"/>
          </w:tcPr>
          <w:p w14:paraId="52C7B4EF" w14:textId="77777777" w:rsidR="00AF5446" w:rsidRPr="00AE3F1B" w:rsidRDefault="00AF5446" w:rsidP="00B94487">
            <w:pPr>
              <w:ind w:left="567" w:right="-3" w:hanging="567"/>
              <w:jc w:val="center"/>
              <w:rPr>
                <w:rFonts w:ascii="Garamond" w:hAnsi="Garamond"/>
                <w:sz w:val="24"/>
                <w:szCs w:val="24"/>
              </w:rPr>
            </w:pPr>
            <w:r w:rsidRPr="00AE3F1B">
              <w:rPr>
                <w:rFonts w:ascii="Garamond" w:eastAsia="Calibri" w:hAnsi="Garamond" w:cs="Calibri"/>
                <w:sz w:val="24"/>
                <w:szCs w:val="24"/>
              </w:rPr>
              <w:t>Harmoniczne parzyste</w:t>
            </w:r>
          </w:p>
        </w:tc>
      </w:tr>
      <w:tr w:rsidR="00AF5446" w:rsidRPr="00AE3F1B" w14:paraId="3B57C9A4" w14:textId="77777777" w:rsidTr="00B94487">
        <w:tblPrEx>
          <w:tblCellMar>
            <w:top w:w="39" w:type="dxa"/>
            <w:left w:w="284" w:type="dxa"/>
          </w:tblCellMar>
        </w:tblPrEx>
        <w:trPr>
          <w:trHeight w:val="278"/>
        </w:trPr>
        <w:tc>
          <w:tcPr>
            <w:tcW w:w="3234" w:type="dxa"/>
            <w:vAlign w:val="center"/>
          </w:tcPr>
          <w:p w14:paraId="6F1F68AB" w14:textId="77777777" w:rsidR="00AF5446" w:rsidRPr="00AE3F1B" w:rsidRDefault="00AF5446" w:rsidP="00B94487">
            <w:pPr>
              <w:ind w:left="567" w:right="-3" w:hanging="567"/>
              <w:jc w:val="center"/>
              <w:rPr>
                <w:rFonts w:ascii="Garamond" w:hAnsi="Garamond"/>
                <w:sz w:val="24"/>
                <w:szCs w:val="24"/>
              </w:rPr>
            </w:pPr>
            <w:r w:rsidRPr="00AE3F1B">
              <w:rPr>
                <w:rFonts w:ascii="Garamond" w:eastAsia="Calibri" w:hAnsi="Garamond" w:cs="Calibri"/>
                <w:sz w:val="24"/>
                <w:szCs w:val="24"/>
              </w:rPr>
              <w:t>2</w:t>
            </w:r>
          </w:p>
        </w:tc>
        <w:tc>
          <w:tcPr>
            <w:tcW w:w="3827" w:type="dxa"/>
            <w:vAlign w:val="center"/>
          </w:tcPr>
          <w:p w14:paraId="22FF687A" w14:textId="77777777" w:rsidR="00AF5446" w:rsidRPr="00AE3F1B" w:rsidRDefault="00AF5446" w:rsidP="00B94487">
            <w:pPr>
              <w:ind w:left="567" w:right="-3" w:hanging="567"/>
              <w:jc w:val="center"/>
              <w:rPr>
                <w:rFonts w:ascii="Garamond" w:hAnsi="Garamond"/>
                <w:sz w:val="24"/>
                <w:szCs w:val="24"/>
              </w:rPr>
            </w:pPr>
            <w:r w:rsidRPr="00AE3F1B">
              <w:rPr>
                <w:rFonts w:ascii="Garamond" w:eastAsia="Calibri" w:hAnsi="Garamond" w:cs="Calibri"/>
                <w:sz w:val="24"/>
                <w:szCs w:val="24"/>
              </w:rPr>
              <w:t>1,08</w:t>
            </w:r>
          </w:p>
        </w:tc>
      </w:tr>
      <w:tr w:rsidR="00AF5446" w:rsidRPr="00AE3F1B" w14:paraId="023FDE68" w14:textId="77777777" w:rsidTr="00B94487">
        <w:tblPrEx>
          <w:tblCellMar>
            <w:top w:w="39" w:type="dxa"/>
            <w:left w:w="284" w:type="dxa"/>
          </w:tblCellMar>
        </w:tblPrEx>
        <w:trPr>
          <w:trHeight w:val="281"/>
        </w:trPr>
        <w:tc>
          <w:tcPr>
            <w:tcW w:w="3234" w:type="dxa"/>
            <w:vAlign w:val="center"/>
          </w:tcPr>
          <w:p w14:paraId="31DF70B2" w14:textId="77777777" w:rsidR="00AF5446" w:rsidRPr="00AE3F1B" w:rsidRDefault="00AF5446" w:rsidP="00B94487">
            <w:pPr>
              <w:ind w:left="567" w:right="-3" w:hanging="567"/>
              <w:jc w:val="center"/>
              <w:rPr>
                <w:rFonts w:ascii="Garamond" w:hAnsi="Garamond"/>
                <w:sz w:val="24"/>
                <w:szCs w:val="24"/>
              </w:rPr>
            </w:pPr>
            <w:r w:rsidRPr="00AE3F1B">
              <w:rPr>
                <w:rFonts w:ascii="Garamond" w:eastAsia="Calibri" w:hAnsi="Garamond" w:cs="Calibri"/>
                <w:sz w:val="24"/>
                <w:szCs w:val="24"/>
              </w:rPr>
              <w:t>4</w:t>
            </w:r>
          </w:p>
        </w:tc>
        <w:tc>
          <w:tcPr>
            <w:tcW w:w="3827" w:type="dxa"/>
            <w:vAlign w:val="center"/>
          </w:tcPr>
          <w:p w14:paraId="63F32784" w14:textId="77777777" w:rsidR="00AF5446" w:rsidRPr="00AE3F1B" w:rsidRDefault="00AF5446" w:rsidP="00B94487">
            <w:pPr>
              <w:ind w:left="567" w:right="-3" w:hanging="567"/>
              <w:jc w:val="center"/>
              <w:rPr>
                <w:rFonts w:ascii="Garamond" w:hAnsi="Garamond"/>
                <w:sz w:val="24"/>
                <w:szCs w:val="24"/>
              </w:rPr>
            </w:pPr>
            <w:r w:rsidRPr="00AE3F1B">
              <w:rPr>
                <w:rFonts w:ascii="Garamond" w:eastAsia="Calibri" w:hAnsi="Garamond" w:cs="Calibri"/>
                <w:sz w:val="24"/>
                <w:szCs w:val="24"/>
              </w:rPr>
              <w:t>0,43</w:t>
            </w:r>
          </w:p>
        </w:tc>
      </w:tr>
      <w:tr w:rsidR="00AF5446" w:rsidRPr="00AE3F1B" w14:paraId="0FC98A39" w14:textId="77777777" w:rsidTr="00B94487">
        <w:tblPrEx>
          <w:tblCellMar>
            <w:top w:w="39" w:type="dxa"/>
            <w:left w:w="284" w:type="dxa"/>
          </w:tblCellMar>
        </w:tblPrEx>
        <w:trPr>
          <w:trHeight w:val="276"/>
        </w:trPr>
        <w:tc>
          <w:tcPr>
            <w:tcW w:w="3234" w:type="dxa"/>
            <w:vAlign w:val="center"/>
          </w:tcPr>
          <w:p w14:paraId="6743DB06" w14:textId="77777777" w:rsidR="00AF5446" w:rsidRPr="00AE3F1B" w:rsidRDefault="00AF5446" w:rsidP="00B94487">
            <w:pPr>
              <w:ind w:left="567" w:right="-3" w:hanging="567"/>
              <w:jc w:val="center"/>
              <w:rPr>
                <w:rFonts w:ascii="Garamond" w:hAnsi="Garamond"/>
                <w:sz w:val="24"/>
                <w:szCs w:val="24"/>
              </w:rPr>
            </w:pPr>
            <w:r w:rsidRPr="00AE3F1B">
              <w:rPr>
                <w:rFonts w:ascii="Garamond" w:eastAsia="Calibri" w:hAnsi="Garamond" w:cs="Calibri"/>
                <w:sz w:val="24"/>
                <w:szCs w:val="24"/>
              </w:rPr>
              <w:t>6</w:t>
            </w:r>
          </w:p>
        </w:tc>
        <w:tc>
          <w:tcPr>
            <w:tcW w:w="3827" w:type="dxa"/>
            <w:vAlign w:val="center"/>
          </w:tcPr>
          <w:p w14:paraId="31366B92" w14:textId="77777777" w:rsidR="00AF5446" w:rsidRPr="00AE3F1B" w:rsidRDefault="00AF5446" w:rsidP="00B94487">
            <w:pPr>
              <w:ind w:left="567" w:right="-3" w:hanging="567"/>
              <w:jc w:val="center"/>
              <w:rPr>
                <w:rFonts w:ascii="Garamond" w:hAnsi="Garamond"/>
                <w:sz w:val="24"/>
                <w:szCs w:val="24"/>
              </w:rPr>
            </w:pPr>
            <w:r w:rsidRPr="00AE3F1B">
              <w:rPr>
                <w:rFonts w:ascii="Garamond" w:eastAsia="Calibri" w:hAnsi="Garamond" w:cs="Calibri"/>
                <w:sz w:val="24"/>
                <w:szCs w:val="24"/>
              </w:rPr>
              <w:t>0,3</w:t>
            </w:r>
          </w:p>
        </w:tc>
      </w:tr>
      <w:tr w:rsidR="00AF5446" w:rsidRPr="00AE3F1B" w14:paraId="547A8A9E" w14:textId="77777777" w:rsidTr="00B94487">
        <w:tblPrEx>
          <w:tblCellMar>
            <w:top w:w="39" w:type="dxa"/>
            <w:left w:w="284" w:type="dxa"/>
          </w:tblCellMar>
        </w:tblPrEx>
        <w:trPr>
          <w:trHeight w:val="287"/>
        </w:trPr>
        <w:tc>
          <w:tcPr>
            <w:tcW w:w="3234" w:type="dxa"/>
            <w:vAlign w:val="center"/>
          </w:tcPr>
          <w:p w14:paraId="41C85970" w14:textId="77777777" w:rsidR="00AF5446" w:rsidRPr="00AE3F1B" w:rsidRDefault="00AF5446" w:rsidP="00B94487">
            <w:pPr>
              <w:ind w:left="567" w:right="-3" w:hanging="567"/>
              <w:jc w:val="center"/>
              <w:rPr>
                <w:rFonts w:ascii="Garamond" w:hAnsi="Garamond"/>
                <w:sz w:val="24"/>
                <w:szCs w:val="24"/>
              </w:rPr>
            </w:pPr>
            <w:r w:rsidRPr="00AE3F1B">
              <w:rPr>
                <w:rFonts w:ascii="Garamond" w:hAnsi="Garamond"/>
                <w:sz w:val="24"/>
                <w:szCs w:val="24"/>
              </w:rPr>
              <w:t>8≤n≤40</w:t>
            </w:r>
          </w:p>
        </w:tc>
        <w:tc>
          <w:tcPr>
            <w:tcW w:w="3827" w:type="dxa"/>
            <w:vAlign w:val="center"/>
          </w:tcPr>
          <w:p w14:paraId="3E1C0863" w14:textId="77777777" w:rsidR="00AF5446" w:rsidRPr="00AE3F1B" w:rsidRDefault="00AF5446" w:rsidP="00B94487">
            <w:pPr>
              <w:ind w:left="567" w:right="-3" w:hanging="567"/>
              <w:jc w:val="center"/>
              <w:rPr>
                <w:rFonts w:ascii="Garamond" w:hAnsi="Garamond"/>
                <w:sz w:val="24"/>
                <w:szCs w:val="24"/>
              </w:rPr>
            </w:pPr>
            <w:r w:rsidRPr="00AE3F1B">
              <w:rPr>
                <w:rFonts w:ascii="Garamond" w:hAnsi="Garamond"/>
                <w:sz w:val="24"/>
                <w:szCs w:val="24"/>
              </w:rPr>
              <w:t>0,23 x (8/n)</w:t>
            </w:r>
          </w:p>
        </w:tc>
      </w:tr>
    </w:tbl>
    <w:p w14:paraId="7C24A244" w14:textId="77777777" w:rsidR="00AF5446" w:rsidRPr="00AE3F1B" w:rsidRDefault="00AF5446" w:rsidP="00175586">
      <w:pPr>
        <w:spacing w:after="1440" w:line="265" w:lineRule="auto"/>
        <w:ind w:left="567" w:right="-3" w:hanging="567"/>
        <w:jc w:val="left"/>
        <w:rPr>
          <w:rFonts w:ascii="Garamond" w:hAnsi="Garamond"/>
          <w:sz w:val="24"/>
          <w:szCs w:val="24"/>
        </w:rPr>
      </w:pPr>
    </w:p>
    <w:p w14:paraId="457DFF03" w14:textId="77777777" w:rsidR="00E4249D" w:rsidRPr="00AE3F1B" w:rsidRDefault="00E4249D" w:rsidP="00B94487">
      <w:pPr>
        <w:spacing w:after="1440" w:line="265" w:lineRule="auto"/>
        <w:ind w:right="-3"/>
        <w:jc w:val="left"/>
        <w:rPr>
          <w:rFonts w:ascii="Garamond" w:eastAsia="Calibri" w:hAnsi="Garamond" w:cs="Calibri"/>
          <w:sz w:val="24"/>
          <w:szCs w:val="24"/>
        </w:rPr>
      </w:pPr>
    </w:p>
    <w:p w14:paraId="3E89F0C0" w14:textId="77777777" w:rsidR="00B94487" w:rsidRDefault="00B94487" w:rsidP="00B94487">
      <w:pPr>
        <w:spacing w:after="0" w:line="264" w:lineRule="auto"/>
        <w:ind w:right="-3"/>
        <w:jc w:val="left"/>
        <w:rPr>
          <w:rFonts w:ascii="Garamond" w:eastAsia="Calibri" w:hAnsi="Garamond" w:cs="Calibri"/>
          <w:b/>
          <w:bCs/>
          <w:sz w:val="24"/>
          <w:szCs w:val="24"/>
        </w:rPr>
      </w:pPr>
    </w:p>
    <w:p w14:paraId="2559FC8D" w14:textId="77777777" w:rsidR="00B94487" w:rsidRDefault="00B94487" w:rsidP="00B94487">
      <w:pPr>
        <w:spacing w:after="0" w:line="264" w:lineRule="auto"/>
        <w:ind w:right="-3"/>
        <w:jc w:val="left"/>
        <w:rPr>
          <w:rFonts w:ascii="Garamond" w:eastAsia="Calibri" w:hAnsi="Garamond" w:cs="Calibri"/>
          <w:b/>
          <w:bCs/>
          <w:sz w:val="24"/>
          <w:szCs w:val="24"/>
        </w:rPr>
      </w:pPr>
    </w:p>
    <w:p w14:paraId="433D7D75" w14:textId="77777777" w:rsidR="00B94487" w:rsidRDefault="00B94487" w:rsidP="00B94487">
      <w:pPr>
        <w:spacing w:after="0" w:line="264" w:lineRule="auto"/>
        <w:ind w:right="-3"/>
        <w:jc w:val="left"/>
        <w:rPr>
          <w:rFonts w:ascii="Garamond" w:eastAsia="Calibri" w:hAnsi="Garamond" w:cs="Calibri"/>
          <w:b/>
          <w:bCs/>
          <w:sz w:val="24"/>
          <w:szCs w:val="24"/>
        </w:rPr>
      </w:pPr>
    </w:p>
    <w:p w14:paraId="6B178273" w14:textId="77777777" w:rsidR="00B94487" w:rsidRDefault="00B94487" w:rsidP="00B94487">
      <w:pPr>
        <w:spacing w:after="0" w:line="264" w:lineRule="auto"/>
        <w:ind w:right="-3"/>
        <w:jc w:val="left"/>
        <w:rPr>
          <w:rFonts w:ascii="Garamond" w:eastAsia="Calibri" w:hAnsi="Garamond" w:cs="Calibri"/>
          <w:b/>
          <w:bCs/>
          <w:sz w:val="24"/>
          <w:szCs w:val="24"/>
        </w:rPr>
      </w:pPr>
    </w:p>
    <w:p w14:paraId="0DACEECF" w14:textId="2902CA4C" w:rsidR="00E4249D" w:rsidRPr="00AE3F1B" w:rsidRDefault="00C42319" w:rsidP="00B94487">
      <w:pPr>
        <w:spacing w:after="0" w:line="264" w:lineRule="auto"/>
        <w:ind w:right="-3"/>
        <w:jc w:val="left"/>
        <w:rPr>
          <w:rFonts w:ascii="Garamond" w:eastAsia="Calibri" w:hAnsi="Garamond" w:cs="Calibri"/>
          <w:b/>
          <w:bCs/>
          <w:sz w:val="24"/>
          <w:szCs w:val="24"/>
        </w:rPr>
      </w:pPr>
      <w:r w:rsidRPr="00AE3F1B">
        <w:rPr>
          <w:rFonts w:ascii="Garamond" w:eastAsia="Calibri" w:hAnsi="Garamond" w:cs="Calibri"/>
          <w:b/>
          <w:bCs/>
          <w:sz w:val="24"/>
          <w:szCs w:val="24"/>
        </w:rPr>
        <w:t>Tab</w:t>
      </w:r>
      <w:r w:rsidR="00A46261" w:rsidRPr="00AE3F1B">
        <w:rPr>
          <w:rFonts w:ascii="Garamond" w:eastAsia="Calibri" w:hAnsi="Garamond" w:cs="Calibri"/>
          <w:b/>
          <w:bCs/>
          <w:sz w:val="24"/>
          <w:szCs w:val="24"/>
        </w:rPr>
        <w:t>lica</w:t>
      </w:r>
      <w:r w:rsidRPr="00AE3F1B">
        <w:rPr>
          <w:rFonts w:ascii="Garamond" w:eastAsia="Calibri" w:hAnsi="Garamond" w:cs="Calibri"/>
          <w:b/>
          <w:bCs/>
          <w:sz w:val="24"/>
          <w:szCs w:val="24"/>
        </w:rPr>
        <w:t xml:space="preserve"> 2. Dopuszczalne poziomy dla odbiorników klasy B</w:t>
      </w:r>
    </w:p>
    <w:tbl>
      <w:tblPr>
        <w:tblStyle w:val="TableGrid"/>
        <w:tblpPr w:leftFromText="141" w:rightFromText="141" w:vertAnchor="text" w:horzAnchor="margin" w:tblpX="704" w:tblpY="136"/>
        <w:tblW w:w="7061"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3234"/>
        <w:gridCol w:w="3827"/>
      </w:tblGrid>
      <w:tr w:rsidR="00EB07AB" w:rsidRPr="00AE3F1B" w14:paraId="6DB12834" w14:textId="77777777" w:rsidTr="00B94487">
        <w:trPr>
          <w:trHeight w:val="547"/>
        </w:trPr>
        <w:tc>
          <w:tcPr>
            <w:tcW w:w="3234" w:type="dxa"/>
            <w:vAlign w:val="center"/>
          </w:tcPr>
          <w:p w14:paraId="3E523113" w14:textId="77777777" w:rsidR="00EB07AB" w:rsidRPr="00AE3F1B" w:rsidRDefault="00EB07AB" w:rsidP="00B94487">
            <w:pPr>
              <w:ind w:left="567" w:right="-3" w:hanging="567"/>
              <w:jc w:val="center"/>
              <w:rPr>
                <w:rFonts w:ascii="Garamond" w:hAnsi="Garamond"/>
                <w:sz w:val="24"/>
                <w:szCs w:val="24"/>
              </w:rPr>
            </w:pPr>
            <w:r w:rsidRPr="00AE3F1B">
              <w:rPr>
                <w:rFonts w:ascii="Garamond" w:eastAsia="Calibri" w:hAnsi="Garamond" w:cs="Calibri"/>
                <w:sz w:val="24"/>
                <w:szCs w:val="24"/>
              </w:rPr>
              <w:t>Rząd harmonicznej [n]</w:t>
            </w:r>
          </w:p>
        </w:tc>
        <w:tc>
          <w:tcPr>
            <w:tcW w:w="3827" w:type="dxa"/>
          </w:tcPr>
          <w:p w14:paraId="72317061" w14:textId="77777777" w:rsidR="00EB07AB" w:rsidRPr="00AE3F1B" w:rsidRDefault="00EB07AB" w:rsidP="00B94487">
            <w:pPr>
              <w:ind w:left="567" w:right="-3" w:hanging="567"/>
              <w:jc w:val="center"/>
              <w:rPr>
                <w:rFonts w:ascii="Garamond" w:hAnsi="Garamond"/>
                <w:sz w:val="24"/>
                <w:szCs w:val="24"/>
              </w:rPr>
            </w:pPr>
            <w:r w:rsidRPr="00AE3F1B">
              <w:rPr>
                <w:rFonts w:ascii="Garamond" w:eastAsia="Calibri" w:hAnsi="Garamond" w:cs="Calibri"/>
                <w:sz w:val="24"/>
                <w:szCs w:val="24"/>
              </w:rPr>
              <w:t>Maksymalny dopuszczalny prąd Harmonicznej</w:t>
            </w:r>
          </w:p>
        </w:tc>
      </w:tr>
      <w:tr w:rsidR="00EB07AB" w:rsidRPr="00AE3F1B" w14:paraId="4A71D0B0" w14:textId="77777777" w:rsidTr="00B94487">
        <w:trPr>
          <w:trHeight w:val="281"/>
        </w:trPr>
        <w:tc>
          <w:tcPr>
            <w:tcW w:w="7061" w:type="dxa"/>
            <w:gridSpan w:val="2"/>
            <w:vAlign w:val="center"/>
          </w:tcPr>
          <w:p w14:paraId="4060538B" w14:textId="77777777" w:rsidR="00EB07AB" w:rsidRPr="00AE3F1B" w:rsidRDefault="00EB07AB" w:rsidP="00B94487">
            <w:pPr>
              <w:ind w:left="567" w:right="-3" w:hanging="567"/>
              <w:jc w:val="center"/>
              <w:rPr>
                <w:rFonts w:ascii="Garamond" w:hAnsi="Garamond"/>
                <w:sz w:val="24"/>
                <w:szCs w:val="24"/>
              </w:rPr>
            </w:pPr>
            <w:r w:rsidRPr="00AE3F1B">
              <w:rPr>
                <w:rFonts w:ascii="Garamond" w:eastAsia="Calibri" w:hAnsi="Garamond" w:cs="Calibri"/>
                <w:sz w:val="24"/>
                <w:szCs w:val="24"/>
              </w:rPr>
              <w:t>Harmoniczne nieparzyste</w:t>
            </w:r>
          </w:p>
        </w:tc>
      </w:tr>
      <w:tr w:rsidR="00EB07AB" w:rsidRPr="00AE3F1B" w14:paraId="4A7829B5" w14:textId="77777777" w:rsidTr="00B94487">
        <w:trPr>
          <w:trHeight w:val="276"/>
        </w:trPr>
        <w:tc>
          <w:tcPr>
            <w:tcW w:w="3234" w:type="dxa"/>
            <w:vAlign w:val="center"/>
          </w:tcPr>
          <w:p w14:paraId="0B5FDDF0" w14:textId="77777777" w:rsidR="00EB07AB" w:rsidRPr="00AE3F1B" w:rsidRDefault="00EB07AB" w:rsidP="00B94487">
            <w:pPr>
              <w:ind w:left="567" w:right="-3" w:hanging="567"/>
              <w:jc w:val="center"/>
              <w:rPr>
                <w:rFonts w:ascii="Garamond" w:hAnsi="Garamond"/>
                <w:sz w:val="24"/>
                <w:szCs w:val="24"/>
              </w:rPr>
            </w:pPr>
            <w:r w:rsidRPr="00AE3F1B">
              <w:rPr>
                <w:rFonts w:ascii="Garamond" w:eastAsia="Calibri" w:hAnsi="Garamond" w:cs="Calibri"/>
                <w:sz w:val="24"/>
                <w:szCs w:val="24"/>
              </w:rPr>
              <w:t>3</w:t>
            </w:r>
          </w:p>
        </w:tc>
        <w:tc>
          <w:tcPr>
            <w:tcW w:w="3827" w:type="dxa"/>
            <w:vAlign w:val="center"/>
          </w:tcPr>
          <w:p w14:paraId="77D1E62C" w14:textId="77777777" w:rsidR="00EB07AB" w:rsidRPr="00AE3F1B" w:rsidRDefault="00EB07AB" w:rsidP="00B94487">
            <w:pPr>
              <w:ind w:left="567" w:right="-3" w:hanging="567"/>
              <w:jc w:val="center"/>
              <w:rPr>
                <w:rFonts w:ascii="Garamond" w:hAnsi="Garamond"/>
                <w:sz w:val="24"/>
                <w:szCs w:val="24"/>
              </w:rPr>
            </w:pPr>
            <w:r w:rsidRPr="00AE3F1B">
              <w:rPr>
                <w:rFonts w:ascii="Garamond" w:hAnsi="Garamond"/>
                <w:sz w:val="24"/>
                <w:szCs w:val="24"/>
              </w:rPr>
              <w:t>3,45</w:t>
            </w:r>
          </w:p>
        </w:tc>
      </w:tr>
      <w:tr w:rsidR="00EB07AB" w:rsidRPr="00AE3F1B" w14:paraId="597B07FF" w14:textId="77777777" w:rsidTr="00B94487">
        <w:trPr>
          <w:trHeight w:val="278"/>
        </w:trPr>
        <w:tc>
          <w:tcPr>
            <w:tcW w:w="3234" w:type="dxa"/>
            <w:vAlign w:val="center"/>
          </w:tcPr>
          <w:p w14:paraId="7EE4EB2D" w14:textId="77777777" w:rsidR="00EB07AB" w:rsidRPr="00AE3F1B" w:rsidRDefault="00EB07AB" w:rsidP="00B94487">
            <w:pPr>
              <w:ind w:left="567" w:right="-3" w:hanging="567"/>
              <w:jc w:val="center"/>
              <w:rPr>
                <w:rFonts w:ascii="Garamond" w:hAnsi="Garamond"/>
                <w:sz w:val="24"/>
                <w:szCs w:val="24"/>
              </w:rPr>
            </w:pPr>
            <w:r w:rsidRPr="00AE3F1B">
              <w:rPr>
                <w:rFonts w:ascii="Garamond" w:eastAsia="Calibri" w:hAnsi="Garamond" w:cs="Calibri"/>
                <w:sz w:val="24"/>
                <w:szCs w:val="24"/>
              </w:rPr>
              <w:t>5</w:t>
            </w:r>
          </w:p>
        </w:tc>
        <w:tc>
          <w:tcPr>
            <w:tcW w:w="3827" w:type="dxa"/>
            <w:vAlign w:val="center"/>
          </w:tcPr>
          <w:p w14:paraId="2F1F292A" w14:textId="77777777" w:rsidR="00EB07AB" w:rsidRPr="00AE3F1B" w:rsidRDefault="00EB07AB" w:rsidP="00B94487">
            <w:pPr>
              <w:ind w:left="567" w:right="-3" w:hanging="567"/>
              <w:jc w:val="center"/>
              <w:rPr>
                <w:rFonts w:ascii="Garamond" w:hAnsi="Garamond"/>
                <w:sz w:val="24"/>
                <w:szCs w:val="24"/>
              </w:rPr>
            </w:pPr>
            <w:r w:rsidRPr="00AE3F1B">
              <w:rPr>
                <w:rFonts w:ascii="Garamond" w:hAnsi="Garamond"/>
                <w:sz w:val="24"/>
                <w:szCs w:val="24"/>
              </w:rPr>
              <w:t>1,71</w:t>
            </w:r>
          </w:p>
        </w:tc>
      </w:tr>
      <w:tr w:rsidR="00EB07AB" w:rsidRPr="00AE3F1B" w14:paraId="57BA3069" w14:textId="77777777" w:rsidTr="00B94487">
        <w:trPr>
          <w:trHeight w:val="281"/>
        </w:trPr>
        <w:tc>
          <w:tcPr>
            <w:tcW w:w="3234" w:type="dxa"/>
            <w:vAlign w:val="center"/>
          </w:tcPr>
          <w:p w14:paraId="5FEEB660" w14:textId="77777777" w:rsidR="00EB07AB" w:rsidRPr="00AE3F1B" w:rsidRDefault="00EB07AB" w:rsidP="00B94487">
            <w:pPr>
              <w:ind w:left="567" w:right="-3" w:hanging="567"/>
              <w:jc w:val="center"/>
              <w:rPr>
                <w:rFonts w:ascii="Garamond" w:hAnsi="Garamond"/>
                <w:sz w:val="24"/>
                <w:szCs w:val="24"/>
              </w:rPr>
            </w:pPr>
            <w:r w:rsidRPr="00AE3F1B">
              <w:rPr>
                <w:rFonts w:ascii="Garamond" w:eastAsia="Calibri" w:hAnsi="Garamond" w:cs="Calibri"/>
                <w:sz w:val="24"/>
                <w:szCs w:val="24"/>
              </w:rPr>
              <w:t>7</w:t>
            </w:r>
          </w:p>
        </w:tc>
        <w:tc>
          <w:tcPr>
            <w:tcW w:w="3827" w:type="dxa"/>
            <w:vAlign w:val="center"/>
          </w:tcPr>
          <w:p w14:paraId="63D75A90" w14:textId="77777777" w:rsidR="00EB07AB" w:rsidRPr="00AE3F1B" w:rsidRDefault="00EB07AB" w:rsidP="00B94487">
            <w:pPr>
              <w:ind w:left="567" w:right="-3" w:hanging="567"/>
              <w:jc w:val="center"/>
              <w:rPr>
                <w:rFonts w:ascii="Garamond" w:hAnsi="Garamond"/>
                <w:sz w:val="24"/>
                <w:szCs w:val="24"/>
              </w:rPr>
            </w:pPr>
            <w:r w:rsidRPr="00AE3F1B">
              <w:rPr>
                <w:rFonts w:ascii="Garamond" w:hAnsi="Garamond"/>
                <w:sz w:val="24"/>
                <w:szCs w:val="24"/>
              </w:rPr>
              <w:t>1,155</w:t>
            </w:r>
          </w:p>
        </w:tc>
      </w:tr>
      <w:tr w:rsidR="00EB07AB" w:rsidRPr="00AE3F1B" w14:paraId="15C3505D" w14:textId="77777777" w:rsidTr="00B94487">
        <w:trPr>
          <w:trHeight w:val="288"/>
        </w:trPr>
        <w:tc>
          <w:tcPr>
            <w:tcW w:w="3234" w:type="dxa"/>
            <w:vAlign w:val="center"/>
          </w:tcPr>
          <w:p w14:paraId="1CE00DC7" w14:textId="77777777" w:rsidR="00EB07AB" w:rsidRPr="00AE3F1B" w:rsidRDefault="00EB07AB" w:rsidP="00B94487">
            <w:pPr>
              <w:ind w:left="567" w:right="-3" w:hanging="567"/>
              <w:jc w:val="center"/>
              <w:rPr>
                <w:rFonts w:ascii="Garamond" w:hAnsi="Garamond"/>
                <w:sz w:val="24"/>
                <w:szCs w:val="24"/>
              </w:rPr>
            </w:pPr>
            <w:r w:rsidRPr="00AE3F1B">
              <w:rPr>
                <w:rFonts w:ascii="Garamond" w:eastAsia="Calibri" w:hAnsi="Garamond" w:cs="Calibri"/>
                <w:sz w:val="24"/>
                <w:szCs w:val="24"/>
              </w:rPr>
              <w:t>9</w:t>
            </w:r>
          </w:p>
        </w:tc>
        <w:tc>
          <w:tcPr>
            <w:tcW w:w="3827" w:type="dxa"/>
            <w:vAlign w:val="center"/>
          </w:tcPr>
          <w:p w14:paraId="5A7D58C4" w14:textId="77777777" w:rsidR="00EB07AB" w:rsidRPr="00AE3F1B" w:rsidRDefault="00EB07AB" w:rsidP="00B94487">
            <w:pPr>
              <w:ind w:left="567" w:right="-3" w:hanging="567"/>
              <w:jc w:val="center"/>
              <w:rPr>
                <w:rFonts w:ascii="Garamond" w:hAnsi="Garamond"/>
                <w:sz w:val="24"/>
                <w:szCs w:val="24"/>
              </w:rPr>
            </w:pPr>
            <w:r w:rsidRPr="00AE3F1B">
              <w:rPr>
                <w:rFonts w:ascii="Garamond" w:hAnsi="Garamond"/>
                <w:sz w:val="24"/>
                <w:szCs w:val="24"/>
              </w:rPr>
              <w:t>0,6</w:t>
            </w:r>
          </w:p>
        </w:tc>
      </w:tr>
      <w:tr w:rsidR="00EB07AB" w:rsidRPr="00AE3F1B" w14:paraId="13F9BD93" w14:textId="77777777" w:rsidTr="00B94487">
        <w:tblPrEx>
          <w:tblCellMar>
            <w:top w:w="39" w:type="dxa"/>
            <w:left w:w="284" w:type="dxa"/>
          </w:tblCellMar>
        </w:tblPrEx>
        <w:trPr>
          <w:trHeight w:val="281"/>
        </w:trPr>
        <w:tc>
          <w:tcPr>
            <w:tcW w:w="3234" w:type="dxa"/>
            <w:vAlign w:val="center"/>
          </w:tcPr>
          <w:p w14:paraId="00EECE9D" w14:textId="77777777" w:rsidR="00EB07AB" w:rsidRPr="00AE3F1B" w:rsidRDefault="00EB07AB" w:rsidP="00B94487">
            <w:pPr>
              <w:ind w:left="567" w:right="-3" w:hanging="567"/>
              <w:jc w:val="center"/>
              <w:rPr>
                <w:rFonts w:ascii="Garamond" w:hAnsi="Garamond"/>
                <w:sz w:val="24"/>
                <w:szCs w:val="24"/>
              </w:rPr>
            </w:pPr>
            <w:r w:rsidRPr="00AE3F1B">
              <w:rPr>
                <w:rFonts w:ascii="Garamond" w:eastAsia="Calibri" w:hAnsi="Garamond" w:cs="Calibri"/>
                <w:sz w:val="24"/>
                <w:szCs w:val="24"/>
              </w:rPr>
              <w:t>11</w:t>
            </w:r>
          </w:p>
        </w:tc>
        <w:tc>
          <w:tcPr>
            <w:tcW w:w="3827" w:type="dxa"/>
            <w:vAlign w:val="center"/>
          </w:tcPr>
          <w:p w14:paraId="647913CE" w14:textId="77777777" w:rsidR="00EB07AB" w:rsidRPr="00AE3F1B" w:rsidRDefault="00EB07AB" w:rsidP="00B94487">
            <w:pPr>
              <w:ind w:left="567" w:right="-3" w:hanging="567"/>
              <w:jc w:val="center"/>
              <w:rPr>
                <w:rFonts w:ascii="Garamond" w:hAnsi="Garamond"/>
                <w:sz w:val="24"/>
                <w:szCs w:val="24"/>
              </w:rPr>
            </w:pPr>
            <w:r w:rsidRPr="00AE3F1B">
              <w:rPr>
                <w:rFonts w:ascii="Garamond" w:hAnsi="Garamond"/>
                <w:sz w:val="24"/>
                <w:szCs w:val="24"/>
              </w:rPr>
              <w:t>0,495</w:t>
            </w:r>
          </w:p>
        </w:tc>
      </w:tr>
      <w:tr w:rsidR="00EB07AB" w:rsidRPr="00AE3F1B" w14:paraId="0269CC3C" w14:textId="77777777" w:rsidTr="00B94487">
        <w:tblPrEx>
          <w:tblCellMar>
            <w:top w:w="39" w:type="dxa"/>
            <w:left w:w="284" w:type="dxa"/>
          </w:tblCellMar>
        </w:tblPrEx>
        <w:trPr>
          <w:trHeight w:val="281"/>
        </w:trPr>
        <w:tc>
          <w:tcPr>
            <w:tcW w:w="3234" w:type="dxa"/>
            <w:vAlign w:val="center"/>
          </w:tcPr>
          <w:p w14:paraId="6EEA7961" w14:textId="77777777" w:rsidR="00EB07AB" w:rsidRPr="00AE3F1B" w:rsidRDefault="00EB07AB" w:rsidP="00B94487">
            <w:pPr>
              <w:ind w:left="567" w:right="-3" w:hanging="567"/>
              <w:jc w:val="center"/>
              <w:rPr>
                <w:rFonts w:ascii="Garamond" w:hAnsi="Garamond"/>
                <w:sz w:val="24"/>
                <w:szCs w:val="24"/>
              </w:rPr>
            </w:pPr>
            <w:r w:rsidRPr="00AE3F1B">
              <w:rPr>
                <w:rFonts w:ascii="Garamond" w:eastAsia="Calibri" w:hAnsi="Garamond" w:cs="Calibri"/>
                <w:sz w:val="24"/>
                <w:szCs w:val="24"/>
              </w:rPr>
              <w:t>13</w:t>
            </w:r>
          </w:p>
        </w:tc>
        <w:tc>
          <w:tcPr>
            <w:tcW w:w="3827" w:type="dxa"/>
            <w:vAlign w:val="center"/>
          </w:tcPr>
          <w:p w14:paraId="343F7B4B" w14:textId="77777777" w:rsidR="00EB07AB" w:rsidRPr="00AE3F1B" w:rsidRDefault="00EB07AB" w:rsidP="00B94487">
            <w:pPr>
              <w:ind w:left="567" w:right="-3" w:hanging="567"/>
              <w:jc w:val="center"/>
              <w:rPr>
                <w:rFonts w:ascii="Garamond" w:hAnsi="Garamond"/>
                <w:sz w:val="24"/>
                <w:szCs w:val="24"/>
              </w:rPr>
            </w:pPr>
            <w:r w:rsidRPr="00AE3F1B">
              <w:rPr>
                <w:rFonts w:ascii="Garamond" w:hAnsi="Garamond"/>
                <w:sz w:val="24"/>
                <w:szCs w:val="24"/>
              </w:rPr>
              <w:t>0,315</w:t>
            </w:r>
          </w:p>
        </w:tc>
      </w:tr>
      <w:tr w:rsidR="00EB07AB" w:rsidRPr="00AE3F1B" w14:paraId="5F9311A8" w14:textId="77777777" w:rsidTr="00B94487">
        <w:tblPrEx>
          <w:tblCellMar>
            <w:top w:w="39" w:type="dxa"/>
            <w:left w:w="284" w:type="dxa"/>
          </w:tblCellMar>
        </w:tblPrEx>
        <w:trPr>
          <w:trHeight w:val="281"/>
        </w:trPr>
        <w:tc>
          <w:tcPr>
            <w:tcW w:w="3234" w:type="dxa"/>
            <w:vAlign w:val="center"/>
          </w:tcPr>
          <w:p w14:paraId="2FCCC110" w14:textId="77777777" w:rsidR="00EB07AB" w:rsidRPr="00AE3F1B" w:rsidRDefault="00EB07AB" w:rsidP="00B94487">
            <w:pPr>
              <w:ind w:left="567" w:right="-3" w:hanging="567"/>
              <w:jc w:val="center"/>
              <w:rPr>
                <w:rFonts w:ascii="Garamond" w:hAnsi="Garamond"/>
                <w:sz w:val="24"/>
                <w:szCs w:val="24"/>
              </w:rPr>
            </w:pPr>
            <w:r w:rsidRPr="00AE3F1B">
              <w:rPr>
                <w:rFonts w:ascii="Garamond" w:eastAsia="Calibri" w:hAnsi="Garamond" w:cs="Calibri"/>
                <w:sz w:val="24"/>
                <w:szCs w:val="24"/>
              </w:rPr>
              <w:t>15≤n≤39</w:t>
            </w:r>
          </w:p>
        </w:tc>
        <w:tc>
          <w:tcPr>
            <w:tcW w:w="3827" w:type="dxa"/>
            <w:vAlign w:val="center"/>
          </w:tcPr>
          <w:p w14:paraId="5D173D2F" w14:textId="77777777" w:rsidR="00EB07AB" w:rsidRPr="00AE3F1B" w:rsidRDefault="00EB07AB" w:rsidP="00B94487">
            <w:pPr>
              <w:ind w:left="567" w:right="-3" w:hanging="567"/>
              <w:jc w:val="center"/>
              <w:rPr>
                <w:rFonts w:ascii="Garamond" w:hAnsi="Garamond"/>
                <w:sz w:val="24"/>
                <w:szCs w:val="24"/>
              </w:rPr>
            </w:pPr>
            <w:r w:rsidRPr="00AE3F1B">
              <w:rPr>
                <w:rFonts w:ascii="Garamond" w:eastAsia="Calibri" w:hAnsi="Garamond" w:cs="Calibri"/>
                <w:sz w:val="24"/>
                <w:szCs w:val="24"/>
              </w:rPr>
              <w:t>0,225 x (15 / n)</w:t>
            </w:r>
          </w:p>
        </w:tc>
      </w:tr>
      <w:tr w:rsidR="00EB07AB" w:rsidRPr="00AE3F1B" w14:paraId="6EE6EA22" w14:textId="77777777" w:rsidTr="00B94487">
        <w:tblPrEx>
          <w:tblCellMar>
            <w:top w:w="39" w:type="dxa"/>
            <w:left w:w="284" w:type="dxa"/>
          </w:tblCellMar>
        </w:tblPrEx>
        <w:trPr>
          <w:trHeight w:val="281"/>
        </w:trPr>
        <w:tc>
          <w:tcPr>
            <w:tcW w:w="7061" w:type="dxa"/>
            <w:gridSpan w:val="2"/>
            <w:vAlign w:val="center"/>
          </w:tcPr>
          <w:p w14:paraId="28195537" w14:textId="77777777" w:rsidR="00EB07AB" w:rsidRPr="00AE3F1B" w:rsidRDefault="00EB07AB" w:rsidP="00B94487">
            <w:pPr>
              <w:ind w:left="567" w:right="-3" w:hanging="567"/>
              <w:jc w:val="center"/>
              <w:rPr>
                <w:rFonts w:ascii="Garamond" w:hAnsi="Garamond"/>
                <w:sz w:val="24"/>
                <w:szCs w:val="24"/>
              </w:rPr>
            </w:pPr>
            <w:r w:rsidRPr="00AE3F1B">
              <w:rPr>
                <w:rFonts w:ascii="Garamond" w:eastAsia="Calibri" w:hAnsi="Garamond" w:cs="Calibri"/>
                <w:sz w:val="24"/>
                <w:szCs w:val="24"/>
              </w:rPr>
              <w:t>Harmoniczne parzyste</w:t>
            </w:r>
          </w:p>
        </w:tc>
      </w:tr>
      <w:tr w:rsidR="00EB07AB" w:rsidRPr="00AE3F1B" w14:paraId="59C27FB3" w14:textId="77777777" w:rsidTr="00B94487">
        <w:tblPrEx>
          <w:tblCellMar>
            <w:top w:w="39" w:type="dxa"/>
            <w:left w:w="284" w:type="dxa"/>
          </w:tblCellMar>
        </w:tblPrEx>
        <w:trPr>
          <w:trHeight w:val="278"/>
        </w:trPr>
        <w:tc>
          <w:tcPr>
            <w:tcW w:w="3234" w:type="dxa"/>
            <w:vAlign w:val="center"/>
          </w:tcPr>
          <w:p w14:paraId="2BB0FB4F" w14:textId="77777777" w:rsidR="00EB07AB" w:rsidRPr="00AE3F1B" w:rsidRDefault="00EB07AB" w:rsidP="00B94487">
            <w:pPr>
              <w:ind w:left="567" w:right="-3" w:hanging="567"/>
              <w:jc w:val="center"/>
              <w:rPr>
                <w:rFonts w:ascii="Garamond" w:hAnsi="Garamond"/>
                <w:sz w:val="24"/>
                <w:szCs w:val="24"/>
              </w:rPr>
            </w:pPr>
            <w:r w:rsidRPr="00AE3F1B">
              <w:rPr>
                <w:rFonts w:ascii="Garamond" w:eastAsia="Calibri" w:hAnsi="Garamond" w:cs="Calibri"/>
                <w:sz w:val="24"/>
                <w:szCs w:val="24"/>
              </w:rPr>
              <w:t>2</w:t>
            </w:r>
          </w:p>
        </w:tc>
        <w:tc>
          <w:tcPr>
            <w:tcW w:w="3827" w:type="dxa"/>
            <w:vAlign w:val="center"/>
          </w:tcPr>
          <w:p w14:paraId="3FA5E156" w14:textId="77777777" w:rsidR="00EB07AB" w:rsidRPr="00AE3F1B" w:rsidRDefault="00EB07AB" w:rsidP="00B94487">
            <w:pPr>
              <w:ind w:left="567" w:right="-3" w:hanging="567"/>
              <w:jc w:val="center"/>
              <w:rPr>
                <w:rFonts w:ascii="Garamond" w:hAnsi="Garamond"/>
                <w:sz w:val="24"/>
                <w:szCs w:val="24"/>
              </w:rPr>
            </w:pPr>
            <w:r w:rsidRPr="00AE3F1B">
              <w:rPr>
                <w:rFonts w:ascii="Garamond" w:eastAsia="Calibri" w:hAnsi="Garamond" w:cs="Calibri"/>
                <w:sz w:val="24"/>
                <w:szCs w:val="24"/>
              </w:rPr>
              <w:t>1,62</w:t>
            </w:r>
          </w:p>
        </w:tc>
      </w:tr>
      <w:tr w:rsidR="00EB07AB" w:rsidRPr="00AE3F1B" w14:paraId="19048538" w14:textId="77777777" w:rsidTr="00B94487">
        <w:tblPrEx>
          <w:tblCellMar>
            <w:top w:w="39" w:type="dxa"/>
            <w:left w:w="284" w:type="dxa"/>
          </w:tblCellMar>
        </w:tblPrEx>
        <w:trPr>
          <w:trHeight w:val="281"/>
        </w:trPr>
        <w:tc>
          <w:tcPr>
            <w:tcW w:w="3234" w:type="dxa"/>
            <w:vAlign w:val="center"/>
          </w:tcPr>
          <w:p w14:paraId="15A9DF9B" w14:textId="77777777" w:rsidR="00EB07AB" w:rsidRPr="00AE3F1B" w:rsidRDefault="00EB07AB" w:rsidP="00B94487">
            <w:pPr>
              <w:ind w:left="567" w:right="-3" w:hanging="567"/>
              <w:jc w:val="center"/>
              <w:rPr>
                <w:rFonts w:ascii="Garamond" w:hAnsi="Garamond"/>
                <w:sz w:val="24"/>
                <w:szCs w:val="24"/>
              </w:rPr>
            </w:pPr>
            <w:r w:rsidRPr="00AE3F1B">
              <w:rPr>
                <w:rFonts w:ascii="Garamond" w:eastAsia="Calibri" w:hAnsi="Garamond" w:cs="Calibri"/>
                <w:sz w:val="24"/>
                <w:szCs w:val="24"/>
              </w:rPr>
              <w:t>4</w:t>
            </w:r>
          </w:p>
        </w:tc>
        <w:tc>
          <w:tcPr>
            <w:tcW w:w="3827" w:type="dxa"/>
            <w:vAlign w:val="center"/>
          </w:tcPr>
          <w:p w14:paraId="30F3EE2A" w14:textId="77777777" w:rsidR="00EB07AB" w:rsidRPr="00AE3F1B" w:rsidRDefault="00EB07AB" w:rsidP="00B94487">
            <w:pPr>
              <w:ind w:left="567" w:right="-3" w:hanging="567"/>
              <w:jc w:val="center"/>
              <w:rPr>
                <w:rFonts w:ascii="Garamond" w:hAnsi="Garamond"/>
                <w:sz w:val="24"/>
                <w:szCs w:val="24"/>
              </w:rPr>
            </w:pPr>
            <w:r w:rsidRPr="00AE3F1B">
              <w:rPr>
                <w:rFonts w:ascii="Garamond" w:eastAsia="Calibri" w:hAnsi="Garamond" w:cs="Calibri"/>
                <w:sz w:val="24"/>
                <w:szCs w:val="24"/>
              </w:rPr>
              <w:t>0,645</w:t>
            </w:r>
          </w:p>
        </w:tc>
      </w:tr>
      <w:tr w:rsidR="00EB07AB" w:rsidRPr="00AE3F1B" w14:paraId="2AFF4FE2" w14:textId="77777777" w:rsidTr="00B94487">
        <w:tblPrEx>
          <w:tblCellMar>
            <w:top w:w="39" w:type="dxa"/>
            <w:left w:w="284" w:type="dxa"/>
          </w:tblCellMar>
        </w:tblPrEx>
        <w:trPr>
          <w:trHeight w:val="276"/>
        </w:trPr>
        <w:tc>
          <w:tcPr>
            <w:tcW w:w="3234" w:type="dxa"/>
            <w:vAlign w:val="center"/>
          </w:tcPr>
          <w:p w14:paraId="5D778584" w14:textId="77777777" w:rsidR="00EB07AB" w:rsidRPr="00AE3F1B" w:rsidRDefault="00EB07AB" w:rsidP="00B94487">
            <w:pPr>
              <w:ind w:left="567" w:right="-3" w:hanging="567"/>
              <w:jc w:val="center"/>
              <w:rPr>
                <w:rFonts w:ascii="Garamond" w:hAnsi="Garamond"/>
                <w:sz w:val="24"/>
                <w:szCs w:val="24"/>
              </w:rPr>
            </w:pPr>
            <w:r w:rsidRPr="00AE3F1B">
              <w:rPr>
                <w:rFonts w:ascii="Garamond" w:eastAsia="Calibri" w:hAnsi="Garamond" w:cs="Calibri"/>
                <w:sz w:val="24"/>
                <w:szCs w:val="24"/>
              </w:rPr>
              <w:t>6</w:t>
            </w:r>
          </w:p>
        </w:tc>
        <w:tc>
          <w:tcPr>
            <w:tcW w:w="3827" w:type="dxa"/>
            <w:vAlign w:val="center"/>
          </w:tcPr>
          <w:p w14:paraId="4D4A006E" w14:textId="77777777" w:rsidR="00EB07AB" w:rsidRPr="00AE3F1B" w:rsidRDefault="00EB07AB" w:rsidP="00B94487">
            <w:pPr>
              <w:ind w:left="567" w:right="-3" w:hanging="567"/>
              <w:jc w:val="center"/>
              <w:rPr>
                <w:rFonts w:ascii="Garamond" w:hAnsi="Garamond"/>
                <w:sz w:val="24"/>
                <w:szCs w:val="24"/>
              </w:rPr>
            </w:pPr>
            <w:r w:rsidRPr="00AE3F1B">
              <w:rPr>
                <w:rFonts w:ascii="Garamond" w:eastAsia="Calibri" w:hAnsi="Garamond" w:cs="Calibri"/>
                <w:sz w:val="24"/>
                <w:szCs w:val="24"/>
              </w:rPr>
              <w:t>0,45</w:t>
            </w:r>
          </w:p>
        </w:tc>
      </w:tr>
      <w:tr w:rsidR="00EB07AB" w:rsidRPr="00AE3F1B" w14:paraId="779C5095" w14:textId="77777777" w:rsidTr="00B94487">
        <w:tblPrEx>
          <w:tblCellMar>
            <w:top w:w="39" w:type="dxa"/>
            <w:left w:w="284" w:type="dxa"/>
          </w:tblCellMar>
        </w:tblPrEx>
        <w:trPr>
          <w:trHeight w:val="287"/>
        </w:trPr>
        <w:tc>
          <w:tcPr>
            <w:tcW w:w="3234" w:type="dxa"/>
            <w:vAlign w:val="center"/>
          </w:tcPr>
          <w:p w14:paraId="1FA8555D" w14:textId="77777777" w:rsidR="00EB07AB" w:rsidRPr="00AE3F1B" w:rsidRDefault="00EB07AB" w:rsidP="00B94487">
            <w:pPr>
              <w:ind w:left="567" w:right="-3" w:hanging="567"/>
              <w:jc w:val="center"/>
              <w:rPr>
                <w:rFonts w:ascii="Garamond" w:hAnsi="Garamond"/>
                <w:sz w:val="24"/>
                <w:szCs w:val="24"/>
              </w:rPr>
            </w:pPr>
            <w:r w:rsidRPr="00AE3F1B">
              <w:rPr>
                <w:rFonts w:ascii="Garamond" w:hAnsi="Garamond"/>
                <w:sz w:val="24"/>
                <w:szCs w:val="24"/>
              </w:rPr>
              <w:t>8≤n≤40</w:t>
            </w:r>
          </w:p>
        </w:tc>
        <w:tc>
          <w:tcPr>
            <w:tcW w:w="3827" w:type="dxa"/>
            <w:vAlign w:val="center"/>
          </w:tcPr>
          <w:p w14:paraId="17DF9679" w14:textId="77777777" w:rsidR="00EB07AB" w:rsidRPr="00AE3F1B" w:rsidRDefault="00EB07AB" w:rsidP="00B94487">
            <w:pPr>
              <w:ind w:left="567" w:right="-3" w:hanging="567"/>
              <w:jc w:val="center"/>
              <w:rPr>
                <w:rFonts w:ascii="Garamond" w:hAnsi="Garamond"/>
                <w:sz w:val="24"/>
                <w:szCs w:val="24"/>
              </w:rPr>
            </w:pPr>
            <w:r w:rsidRPr="00AE3F1B">
              <w:rPr>
                <w:rFonts w:ascii="Garamond" w:hAnsi="Garamond"/>
                <w:sz w:val="24"/>
                <w:szCs w:val="24"/>
              </w:rPr>
              <w:t>0,345 x (8/n)</w:t>
            </w:r>
          </w:p>
        </w:tc>
      </w:tr>
    </w:tbl>
    <w:p w14:paraId="42CC5FE9" w14:textId="77777777" w:rsidR="00E4249D" w:rsidRPr="00AE3F1B" w:rsidRDefault="00E4249D" w:rsidP="00175586">
      <w:pPr>
        <w:spacing w:after="1440" w:line="265" w:lineRule="auto"/>
        <w:ind w:left="567" w:right="-3" w:hanging="567"/>
        <w:jc w:val="left"/>
        <w:rPr>
          <w:rFonts w:ascii="Garamond" w:eastAsia="Calibri" w:hAnsi="Garamond" w:cs="Calibri"/>
          <w:sz w:val="24"/>
          <w:szCs w:val="24"/>
        </w:rPr>
      </w:pPr>
    </w:p>
    <w:p w14:paraId="35884A2F" w14:textId="77777777" w:rsidR="00E4249D" w:rsidRPr="00AE3F1B" w:rsidRDefault="00E4249D" w:rsidP="00175586">
      <w:pPr>
        <w:spacing w:after="1440" w:line="265" w:lineRule="auto"/>
        <w:ind w:left="567" w:right="-3" w:hanging="567"/>
        <w:jc w:val="left"/>
        <w:rPr>
          <w:rFonts w:ascii="Garamond" w:eastAsia="Calibri" w:hAnsi="Garamond" w:cs="Calibri"/>
          <w:sz w:val="24"/>
          <w:szCs w:val="24"/>
        </w:rPr>
      </w:pPr>
    </w:p>
    <w:p w14:paraId="4892AD10" w14:textId="77777777" w:rsidR="00E4249D" w:rsidRPr="00AE3F1B" w:rsidRDefault="00E4249D" w:rsidP="00175586">
      <w:pPr>
        <w:spacing w:after="120" w:line="264" w:lineRule="auto"/>
        <w:ind w:left="567" w:right="-3" w:hanging="567"/>
        <w:jc w:val="left"/>
        <w:rPr>
          <w:rFonts w:ascii="Garamond" w:eastAsia="Calibri" w:hAnsi="Garamond" w:cs="Calibri"/>
          <w:sz w:val="24"/>
          <w:szCs w:val="24"/>
        </w:rPr>
      </w:pPr>
    </w:p>
    <w:p w14:paraId="3E061D4C" w14:textId="77777777" w:rsidR="00A46261" w:rsidRPr="00AE3F1B" w:rsidRDefault="00EB07AB" w:rsidP="00175586">
      <w:pPr>
        <w:spacing w:after="0" w:line="264" w:lineRule="auto"/>
        <w:ind w:left="567" w:right="-3" w:hanging="567"/>
        <w:jc w:val="left"/>
        <w:rPr>
          <w:rFonts w:ascii="Garamond" w:eastAsia="Calibri" w:hAnsi="Garamond" w:cs="Calibri"/>
          <w:b/>
          <w:bCs/>
          <w:sz w:val="24"/>
          <w:szCs w:val="24"/>
        </w:rPr>
      </w:pPr>
      <w:r w:rsidRPr="00AE3F1B">
        <w:rPr>
          <w:rFonts w:ascii="Garamond" w:eastAsia="Calibri" w:hAnsi="Garamond" w:cs="Calibri"/>
          <w:b/>
          <w:bCs/>
          <w:sz w:val="24"/>
          <w:szCs w:val="24"/>
        </w:rPr>
        <w:br/>
      </w:r>
    </w:p>
    <w:p w14:paraId="0B9EC853" w14:textId="77777777" w:rsidR="00A46261" w:rsidRPr="00AE3F1B" w:rsidRDefault="00A46261" w:rsidP="00175586">
      <w:pPr>
        <w:spacing w:after="0" w:line="264" w:lineRule="auto"/>
        <w:ind w:left="567" w:right="-3" w:hanging="567"/>
        <w:jc w:val="left"/>
        <w:rPr>
          <w:rFonts w:ascii="Garamond" w:eastAsia="Calibri" w:hAnsi="Garamond" w:cs="Calibri"/>
          <w:b/>
          <w:bCs/>
          <w:sz w:val="24"/>
          <w:szCs w:val="24"/>
        </w:rPr>
      </w:pPr>
    </w:p>
    <w:p w14:paraId="41AE9B6F" w14:textId="77777777" w:rsidR="00B377D0" w:rsidRPr="00AE3F1B" w:rsidRDefault="00B377D0" w:rsidP="00B94487">
      <w:pPr>
        <w:spacing w:after="0" w:line="264" w:lineRule="auto"/>
        <w:ind w:right="-3"/>
        <w:jc w:val="left"/>
        <w:rPr>
          <w:rFonts w:ascii="Garamond" w:eastAsia="Calibri" w:hAnsi="Garamond" w:cs="Calibri"/>
          <w:b/>
          <w:bCs/>
          <w:sz w:val="24"/>
          <w:szCs w:val="24"/>
        </w:rPr>
      </w:pPr>
    </w:p>
    <w:p w14:paraId="628DC8EA" w14:textId="77777777" w:rsidR="00EB07AB" w:rsidRPr="00AE3F1B" w:rsidRDefault="00EB07AB" w:rsidP="00B94487">
      <w:pPr>
        <w:spacing w:after="0"/>
        <w:ind w:left="567" w:right="-3" w:hanging="567"/>
        <w:jc w:val="left"/>
        <w:rPr>
          <w:rFonts w:ascii="Garamond" w:eastAsia="Calibri" w:hAnsi="Garamond" w:cs="Calibri"/>
          <w:b/>
          <w:bCs/>
          <w:sz w:val="24"/>
          <w:szCs w:val="24"/>
        </w:rPr>
      </w:pPr>
      <w:r w:rsidRPr="00AE3F1B">
        <w:rPr>
          <w:rFonts w:ascii="Garamond" w:eastAsia="Calibri" w:hAnsi="Garamond" w:cs="Calibri"/>
          <w:b/>
          <w:bCs/>
          <w:sz w:val="24"/>
          <w:szCs w:val="24"/>
        </w:rPr>
        <w:t>Tab</w:t>
      </w:r>
      <w:r w:rsidR="00A46261" w:rsidRPr="00AE3F1B">
        <w:rPr>
          <w:rFonts w:ascii="Garamond" w:eastAsia="Calibri" w:hAnsi="Garamond" w:cs="Calibri"/>
          <w:b/>
          <w:bCs/>
          <w:sz w:val="24"/>
          <w:szCs w:val="24"/>
        </w:rPr>
        <w:t>lica</w:t>
      </w:r>
      <w:r w:rsidRPr="00AE3F1B">
        <w:rPr>
          <w:rFonts w:ascii="Garamond" w:eastAsia="Calibri" w:hAnsi="Garamond" w:cs="Calibri"/>
          <w:b/>
          <w:bCs/>
          <w:sz w:val="24"/>
          <w:szCs w:val="24"/>
        </w:rPr>
        <w:t xml:space="preserve"> 3. Dopuszczalne poziomy dla odbiorników klasy C</w:t>
      </w:r>
    </w:p>
    <w:tbl>
      <w:tblPr>
        <w:tblStyle w:val="TableGrid"/>
        <w:tblpPr w:leftFromText="141" w:rightFromText="141" w:vertAnchor="text" w:horzAnchor="margin" w:tblpX="704" w:tblpY="136"/>
        <w:tblW w:w="708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3234"/>
        <w:gridCol w:w="3855"/>
      </w:tblGrid>
      <w:tr w:rsidR="00EB07AB" w:rsidRPr="00AE3F1B" w14:paraId="12579D6A" w14:textId="77777777" w:rsidTr="00B94487">
        <w:trPr>
          <w:trHeight w:val="547"/>
        </w:trPr>
        <w:tc>
          <w:tcPr>
            <w:tcW w:w="3234" w:type="dxa"/>
            <w:vAlign w:val="center"/>
          </w:tcPr>
          <w:p w14:paraId="74619FCE" w14:textId="77777777" w:rsidR="00EB07AB" w:rsidRPr="00AE3F1B" w:rsidRDefault="00EB07AB" w:rsidP="00B94487">
            <w:pPr>
              <w:ind w:left="567" w:right="-3" w:hanging="567"/>
              <w:jc w:val="center"/>
              <w:rPr>
                <w:rFonts w:ascii="Garamond" w:hAnsi="Garamond"/>
                <w:sz w:val="24"/>
                <w:szCs w:val="24"/>
              </w:rPr>
            </w:pPr>
            <w:r w:rsidRPr="00AE3F1B">
              <w:rPr>
                <w:rFonts w:ascii="Garamond" w:eastAsia="Calibri" w:hAnsi="Garamond" w:cs="Calibri"/>
                <w:sz w:val="24"/>
                <w:szCs w:val="24"/>
              </w:rPr>
              <w:t>Rząd harmonicznej [n]</w:t>
            </w:r>
          </w:p>
        </w:tc>
        <w:tc>
          <w:tcPr>
            <w:tcW w:w="3855" w:type="dxa"/>
            <w:vAlign w:val="center"/>
          </w:tcPr>
          <w:p w14:paraId="603CAA21" w14:textId="77777777" w:rsidR="00EB07AB" w:rsidRPr="00AE3F1B" w:rsidRDefault="00EB07AB" w:rsidP="00B94487">
            <w:pPr>
              <w:ind w:left="26" w:right="-3" w:hanging="26"/>
              <w:jc w:val="center"/>
              <w:rPr>
                <w:rFonts w:ascii="Garamond" w:hAnsi="Garamond"/>
                <w:sz w:val="24"/>
                <w:szCs w:val="24"/>
              </w:rPr>
            </w:pPr>
            <w:r w:rsidRPr="00AE3F1B">
              <w:rPr>
                <w:rFonts w:ascii="Garamond" w:eastAsia="Calibri" w:hAnsi="Garamond" w:cs="Calibri"/>
                <w:sz w:val="24"/>
                <w:szCs w:val="24"/>
              </w:rPr>
              <w:t xml:space="preserve">Maksymalny dopuszczalny prąd harmonicznej, wyrażany </w:t>
            </w:r>
            <w:r w:rsidR="00195760">
              <w:rPr>
                <w:rFonts w:ascii="Garamond" w:eastAsia="Calibri" w:hAnsi="Garamond" w:cs="Calibri"/>
                <w:sz w:val="24"/>
                <w:szCs w:val="24"/>
              </w:rPr>
              <w:br/>
            </w:r>
            <w:r w:rsidRPr="00AE3F1B">
              <w:rPr>
                <w:rFonts w:ascii="Garamond" w:eastAsia="Calibri" w:hAnsi="Garamond" w:cs="Calibri"/>
                <w:sz w:val="24"/>
                <w:szCs w:val="24"/>
              </w:rPr>
              <w:t>w % harmonicznej podstawowej prądu wejściowego [%]</w:t>
            </w:r>
          </w:p>
        </w:tc>
      </w:tr>
      <w:tr w:rsidR="00EB07AB" w:rsidRPr="00AE3F1B" w14:paraId="6EAA7595" w14:textId="77777777" w:rsidTr="00195760">
        <w:trPr>
          <w:trHeight w:val="281"/>
        </w:trPr>
        <w:tc>
          <w:tcPr>
            <w:tcW w:w="7089" w:type="dxa"/>
            <w:gridSpan w:val="2"/>
            <w:vAlign w:val="center"/>
          </w:tcPr>
          <w:p w14:paraId="463EB4CA" w14:textId="77777777" w:rsidR="00EB07AB" w:rsidRPr="00AE3F1B" w:rsidRDefault="00EB07AB" w:rsidP="00B94487">
            <w:pPr>
              <w:ind w:right="-3"/>
              <w:jc w:val="center"/>
              <w:rPr>
                <w:rFonts w:ascii="Garamond" w:hAnsi="Garamond"/>
                <w:sz w:val="24"/>
                <w:szCs w:val="24"/>
              </w:rPr>
            </w:pPr>
            <w:r w:rsidRPr="00AE3F1B">
              <w:rPr>
                <w:rFonts w:ascii="Garamond" w:eastAsia="Calibri" w:hAnsi="Garamond" w:cs="Calibri"/>
                <w:sz w:val="24"/>
                <w:szCs w:val="24"/>
              </w:rPr>
              <w:t>Harmoniczne nieparzyste</w:t>
            </w:r>
          </w:p>
        </w:tc>
      </w:tr>
      <w:tr w:rsidR="00EB07AB" w:rsidRPr="00AE3F1B" w14:paraId="31C04ED0" w14:textId="77777777" w:rsidTr="00B94487">
        <w:trPr>
          <w:trHeight w:val="276"/>
        </w:trPr>
        <w:tc>
          <w:tcPr>
            <w:tcW w:w="3234" w:type="dxa"/>
            <w:vAlign w:val="center"/>
          </w:tcPr>
          <w:p w14:paraId="1C6DCAEB" w14:textId="77777777" w:rsidR="00EB07AB" w:rsidRPr="00AE3F1B" w:rsidRDefault="00EB07AB" w:rsidP="00B94487">
            <w:pPr>
              <w:ind w:left="-27" w:right="-3" w:hanging="27"/>
              <w:jc w:val="center"/>
              <w:rPr>
                <w:rFonts w:ascii="Garamond" w:hAnsi="Garamond"/>
                <w:sz w:val="24"/>
                <w:szCs w:val="24"/>
              </w:rPr>
            </w:pPr>
            <w:r w:rsidRPr="00AE3F1B">
              <w:rPr>
                <w:rFonts w:ascii="Garamond" w:hAnsi="Garamond"/>
                <w:sz w:val="24"/>
                <w:szCs w:val="24"/>
              </w:rPr>
              <w:t>2</w:t>
            </w:r>
          </w:p>
        </w:tc>
        <w:tc>
          <w:tcPr>
            <w:tcW w:w="3855" w:type="dxa"/>
            <w:vAlign w:val="center"/>
          </w:tcPr>
          <w:p w14:paraId="3B0E6187" w14:textId="77777777" w:rsidR="00EB07AB" w:rsidRPr="00AE3F1B" w:rsidRDefault="00EB07AB" w:rsidP="00B94487">
            <w:pPr>
              <w:ind w:right="-3"/>
              <w:jc w:val="center"/>
              <w:rPr>
                <w:rFonts w:ascii="Garamond" w:hAnsi="Garamond"/>
                <w:sz w:val="24"/>
                <w:szCs w:val="24"/>
              </w:rPr>
            </w:pPr>
            <w:r w:rsidRPr="00AE3F1B">
              <w:rPr>
                <w:rFonts w:ascii="Garamond" w:hAnsi="Garamond"/>
                <w:sz w:val="24"/>
                <w:szCs w:val="24"/>
              </w:rPr>
              <w:t>2</w:t>
            </w:r>
          </w:p>
        </w:tc>
      </w:tr>
      <w:tr w:rsidR="00EB07AB" w:rsidRPr="00AE3F1B" w14:paraId="1CF48CB4" w14:textId="77777777" w:rsidTr="00B94487">
        <w:trPr>
          <w:trHeight w:val="278"/>
        </w:trPr>
        <w:tc>
          <w:tcPr>
            <w:tcW w:w="3234" w:type="dxa"/>
            <w:vAlign w:val="center"/>
          </w:tcPr>
          <w:p w14:paraId="399C4214" w14:textId="77777777" w:rsidR="00EB07AB" w:rsidRPr="00AE3F1B" w:rsidRDefault="00EB07AB" w:rsidP="00B94487">
            <w:pPr>
              <w:ind w:left="-27" w:right="-3" w:hanging="27"/>
              <w:jc w:val="center"/>
              <w:rPr>
                <w:rFonts w:ascii="Garamond" w:hAnsi="Garamond"/>
                <w:sz w:val="24"/>
                <w:szCs w:val="24"/>
              </w:rPr>
            </w:pPr>
            <w:r w:rsidRPr="00AE3F1B">
              <w:rPr>
                <w:rFonts w:ascii="Garamond" w:hAnsi="Garamond"/>
                <w:sz w:val="24"/>
                <w:szCs w:val="24"/>
              </w:rPr>
              <w:lastRenderedPageBreak/>
              <w:t>3</w:t>
            </w:r>
          </w:p>
        </w:tc>
        <w:tc>
          <w:tcPr>
            <w:tcW w:w="3855" w:type="dxa"/>
            <w:vAlign w:val="center"/>
          </w:tcPr>
          <w:p w14:paraId="3A9FBBCD" w14:textId="77777777" w:rsidR="00EB07AB" w:rsidRPr="00AE3F1B" w:rsidRDefault="00EB07AB" w:rsidP="00B94487">
            <w:pPr>
              <w:ind w:right="-3"/>
              <w:jc w:val="center"/>
              <w:rPr>
                <w:rFonts w:ascii="Garamond" w:hAnsi="Garamond"/>
                <w:sz w:val="24"/>
                <w:szCs w:val="24"/>
              </w:rPr>
            </w:pPr>
            <w:r w:rsidRPr="00AE3F1B">
              <w:rPr>
                <w:rFonts w:ascii="Garamond" w:hAnsi="Garamond"/>
                <w:sz w:val="24"/>
                <w:szCs w:val="24"/>
              </w:rPr>
              <w:t>30λ</w:t>
            </w:r>
          </w:p>
        </w:tc>
      </w:tr>
      <w:tr w:rsidR="00EB07AB" w:rsidRPr="00AE3F1B" w14:paraId="3639E10F" w14:textId="77777777" w:rsidTr="00B94487">
        <w:trPr>
          <w:trHeight w:val="281"/>
        </w:trPr>
        <w:tc>
          <w:tcPr>
            <w:tcW w:w="3234" w:type="dxa"/>
            <w:vAlign w:val="center"/>
          </w:tcPr>
          <w:p w14:paraId="6CC69813" w14:textId="77777777" w:rsidR="00EB07AB" w:rsidRPr="00AE3F1B" w:rsidRDefault="00EB07AB" w:rsidP="00B94487">
            <w:pPr>
              <w:ind w:left="-27" w:right="-3" w:hanging="27"/>
              <w:jc w:val="center"/>
              <w:rPr>
                <w:rFonts w:ascii="Garamond" w:hAnsi="Garamond"/>
                <w:sz w:val="24"/>
                <w:szCs w:val="24"/>
              </w:rPr>
            </w:pPr>
            <w:r w:rsidRPr="00AE3F1B">
              <w:rPr>
                <w:rFonts w:ascii="Garamond" w:hAnsi="Garamond"/>
                <w:sz w:val="24"/>
                <w:szCs w:val="24"/>
              </w:rPr>
              <w:t>5</w:t>
            </w:r>
          </w:p>
        </w:tc>
        <w:tc>
          <w:tcPr>
            <w:tcW w:w="3855" w:type="dxa"/>
            <w:vAlign w:val="center"/>
          </w:tcPr>
          <w:p w14:paraId="19C50412" w14:textId="77777777" w:rsidR="00EB07AB" w:rsidRPr="00AE3F1B" w:rsidRDefault="00EB07AB" w:rsidP="00B94487">
            <w:pPr>
              <w:ind w:right="-3"/>
              <w:jc w:val="center"/>
              <w:rPr>
                <w:rFonts w:ascii="Garamond" w:hAnsi="Garamond"/>
                <w:sz w:val="24"/>
                <w:szCs w:val="24"/>
              </w:rPr>
            </w:pPr>
            <w:r w:rsidRPr="00AE3F1B">
              <w:rPr>
                <w:rFonts w:ascii="Garamond" w:hAnsi="Garamond"/>
                <w:sz w:val="24"/>
                <w:szCs w:val="24"/>
              </w:rPr>
              <w:t>10</w:t>
            </w:r>
          </w:p>
        </w:tc>
      </w:tr>
      <w:tr w:rsidR="00EB07AB" w:rsidRPr="00AE3F1B" w14:paraId="2EF310BD" w14:textId="77777777" w:rsidTr="00B94487">
        <w:trPr>
          <w:trHeight w:val="288"/>
        </w:trPr>
        <w:tc>
          <w:tcPr>
            <w:tcW w:w="3234" w:type="dxa"/>
            <w:vAlign w:val="center"/>
          </w:tcPr>
          <w:p w14:paraId="657BD0F7" w14:textId="77777777" w:rsidR="00EB07AB" w:rsidRPr="00AE3F1B" w:rsidRDefault="00EB07AB" w:rsidP="00B94487">
            <w:pPr>
              <w:ind w:left="-27" w:right="-3" w:hanging="27"/>
              <w:jc w:val="center"/>
              <w:rPr>
                <w:rFonts w:ascii="Garamond" w:hAnsi="Garamond"/>
                <w:sz w:val="24"/>
                <w:szCs w:val="24"/>
              </w:rPr>
            </w:pPr>
            <w:r w:rsidRPr="00AE3F1B">
              <w:rPr>
                <w:rFonts w:ascii="Garamond" w:hAnsi="Garamond"/>
                <w:sz w:val="24"/>
                <w:szCs w:val="24"/>
              </w:rPr>
              <w:t>7</w:t>
            </w:r>
          </w:p>
        </w:tc>
        <w:tc>
          <w:tcPr>
            <w:tcW w:w="3855" w:type="dxa"/>
            <w:vAlign w:val="center"/>
          </w:tcPr>
          <w:p w14:paraId="5A0C8FBC" w14:textId="77777777" w:rsidR="00EB07AB" w:rsidRPr="00AE3F1B" w:rsidRDefault="00EB07AB" w:rsidP="00B94487">
            <w:pPr>
              <w:ind w:right="-3"/>
              <w:jc w:val="center"/>
              <w:rPr>
                <w:rFonts w:ascii="Garamond" w:hAnsi="Garamond"/>
                <w:sz w:val="24"/>
                <w:szCs w:val="24"/>
              </w:rPr>
            </w:pPr>
            <w:r w:rsidRPr="00AE3F1B">
              <w:rPr>
                <w:rFonts w:ascii="Garamond" w:hAnsi="Garamond"/>
                <w:sz w:val="24"/>
                <w:szCs w:val="24"/>
              </w:rPr>
              <w:t>7</w:t>
            </w:r>
          </w:p>
        </w:tc>
      </w:tr>
      <w:tr w:rsidR="00EB07AB" w:rsidRPr="00AE3F1B" w14:paraId="1E4F2128" w14:textId="77777777" w:rsidTr="00B94487">
        <w:tblPrEx>
          <w:tblCellMar>
            <w:top w:w="39" w:type="dxa"/>
            <w:left w:w="284" w:type="dxa"/>
          </w:tblCellMar>
        </w:tblPrEx>
        <w:trPr>
          <w:trHeight w:val="281"/>
        </w:trPr>
        <w:tc>
          <w:tcPr>
            <w:tcW w:w="3234" w:type="dxa"/>
            <w:vAlign w:val="center"/>
          </w:tcPr>
          <w:p w14:paraId="3DD5FCA6" w14:textId="77777777" w:rsidR="00EB07AB" w:rsidRPr="00AE3F1B" w:rsidRDefault="00EB07AB" w:rsidP="00B94487">
            <w:pPr>
              <w:ind w:left="-27" w:right="-3" w:hanging="142"/>
              <w:jc w:val="center"/>
              <w:rPr>
                <w:rFonts w:ascii="Garamond" w:hAnsi="Garamond"/>
                <w:sz w:val="24"/>
                <w:szCs w:val="24"/>
              </w:rPr>
            </w:pPr>
            <w:r w:rsidRPr="00AE3F1B">
              <w:rPr>
                <w:rFonts w:ascii="Garamond" w:hAnsi="Garamond"/>
                <w:sz w:val="24"/>
                <w:szCs w:val="24"/>
              </w:rPr>
              <w:t>9</w:t>
            </w:r>
          </w:p>
        </w:tc>
        <w:tc>
          <w:tcPr>
            <w:tcW w:w="3855" w:type="dxa"/>
            <w:vAlign w:val="center"/>
          </w:tcPr>
          <w:p w14:paraId="554A4BEA" w14:textId="77777777" w:rsidR="00EB07AB" w:rsidRPr="00AE3F1B" w:rsidRDefault="00EB07AB" w:rsidP="00B94487">
            <w:pPr>
              <w:ind w:right="-3" w:hanging="164"/>
              <w:jc w:val="center"/>
              <w:rPr>
                <w:rFonts w:ascii="Garamond" w:hAnsi="Garamond"/>
                <w:sz w:val="24"/>
                <w:szCs w:val="24"/>
              </w:rPr>
            </w:pPr>
            <w:r w:rsidRPr="00AE3F1B">
              <w:rPr>
                <w:rFonts w:ascii="Garamond" w:hAnsi="Garamond"/>
                <w:sz w:val="24"/>
                <w:szCs w:val="24"/>
              </w:rPr>
              <w:t>5</w:t>
            </w:r>
          </w:p>
        </w:tc>
      </w:tr>
      <w:tr w:rsidR="00EB07AB" w:rsidRPr="00AE3F1B" w14:paraId="71B13D51" w14:textId="77777777" w:rsidTr="00B94487">
        <w:tblPrEx>
          <w:tblCellMar>
            <w:top w:w="39" w:type="dxa"/>
            <w:left w:w="284" w:type="dxa"/>
          </w:tblCellMar>
        </w:tblPrEx>
        <w:trPr>
          <w:trHeight w:val="281"/>
        </w:trPr>
        <w:tc>
          <w:tcPr>
            <w:tcW w:w="3234" w:type="dxa"/>
            <w:vAlign w:val="center"/>
          </w:tcPr>
          <w:p w14:paraId="5CB7CA81" w14:textId="77777777" w:rsidR="00EB07AB" w:rsidRPr="00AE3F1B" w:rsidRDefault="00EB07AB" w:rsidP="00B94487">
            <w:pPr>
              <w:ind w:right="-3"/>
              <w:jc w:val="center"/>
              <w:rPr>
                <w:rFonts w:ascii="Garamond" w:hAnsi="Garamond"/>
                <w:sz w:val="24"/>
                <w:szCs w:val="24"/>
              </w:rPr>
            </w:pPr>
            <w:r w:rsidRPr="00AE3F1B">
              <w:rPr>
                <w:rFonts w:ascii="Garamond" w:eastAsia="Calibri" w:hAnsi="Garamond" w:cs="Calibri"/>
                <w:sz w:val="24"/>
                <w:szCs w:val="24"/>
              </w:rPr>
              <w:t>11≤n≤39 (tylko harmoniczne nieparzyste)</w:t>
            </w:r>
          </w:p>
        </w:tc>
        <w:tc>
          <w:tcPr>
            <w:tcW w:w="3855" w:type="dxa"/>
            <w:vAlign w:val="center"/>
          </w:tcPr>
          <w:p w14:paraId="11E0A1F0" w14:textId="77777777" w:rsidR="00EB07AB" w:rsidRPr="00AE3F1B" w:rsidRDefault="00EB07AB" w:rsidP="00B94487">
            <w:pPr>
              <w:ind w:right="-3" w:hanging="164"/>
              <w:jc w:val="center"/>
              <w:rPr>
                <w:rFonts w:ascii="Garamond" w:hAnsi="Garamond"/>
                <w:sz w:val="24"/>
                <w:szCs w:val="24"/>
              </w:rPr>
            </w:pPr>
            <w:r w:rsidRPr="00AE3F1B">
              <w:rPr>
                <w:rFonts w:ascii="Garamond" w:eastAsia="Calibri" w:hAnsi="Garamond" w:cs="Calibri"/>
                <w:sz w:val="24"/>
                <w:szCs w:val="24"/>
              </w:rPr>
              <w:t>3</w:t>
            </w:r>
          </w:p>
        </w:tc>
      </w:tr>
      <w:tr w:rsidR="00EB07AB" w:rsidRPr="00AE3F1B" w14:paraId="4B88BDD4" w14:textId="77777777" w:rsidTr="00195760">
        <w:tblPrEx>
          <w:tblCellMar>
            <w:top w:w="39" w:type="dxa"/>
            <w:left w:w="284" w:type="dxa"/>
          </w:tblCellMar>
        </w:tblPrEx>
        <w:trPr>
          <w:trHeight w:val="281"/>
        </w:trPr>
        <w:tc>
          <w:tcPr>
            <w:tcW w:w="7089" w:type="dxa"/>
            <w:gridSpan w:val="2"/>
            <w:vAlign w:val="center"/>
          </w:tcPr>
          <w:p w14:paraId="378A310E" w14:textId="49532096" w:rsidR="00EB07AB" w:rsidRPr="00AE3F1B" w:rsidRDefault="00B94487" w:rsidP="00B94487">
            <w:pPr>
              <w:ind w:right="-3"/>
              <w:jc w:val="center"/>
              <w:rPr>
                <w:rFonts w:ascii="Garamond" w:hAnsi="Garamond"/>
                <w:sz w:val="24"/>
                <w:szCs w:val="24"/>
              </w:rPr>
            </w:pPr>
            <w:r w:rsidRPr="00AE3F1B">
              <w:rPr>
                <w:rFonts w:ascii="Garamond" w:hAnsi="Garamond"/>
                <w:sz w:val="24"/>
                <w:szCs w:val="24"/>
              </w:rPr>
              <w:t>λ –</w:t>
            </w:r>
            <w:r w:rsidR="00EB07AB" w:rsidRPr="00AE3F1B">
              <w:rPr>
                <w:rFonts w:ascii="Garamond" w:hAnsi="Garamond"/>
                <w:sz w:val="24"/>
                <w:szCs w:val="24"/>
              </w:rPr>
              <w:t xml:space="preserve"> współczynni</w:t>
            </w:r>
            <w:r w:rsidR="00851792" w:rsidRPr="00AE3F1B">
              <w:rPr>
                <w:rFonts w:ascii="Garamond" w:hAnsi="Garamond"/>
                <w:sz w:val="24"/>
                <w:szCs w:val="24"/>
              </w:rPr>
              <w:t>k</w:t>
            </w:r>
            <w:r w:rsidR="00EB07AB" w:rsidRPr="00AE3F1B">
              <w:rPr>
                <w:rFonts w:ascii="Garamond" w:hAnsi="Garamond"/>
                <w:sz w:val="24"/>
                <w:szCs w:val="24"/>
              </w:rPr>
              <w:t xml:space="preserve"> mocy obwodu</w:t>
            </w:r>
          </w:p>
        </w:tc>
      </w:tr>
    </w:tbl>
    <w:p w14:paraId="57E73C64" w14:textId="77777777" w:rsidR="00E4249D" w:rsidRPr="00AE3F1B" w:rsidRDefault="00E4249D" w:rsidP="00175586">
      <w:pPr>
        <w:spacing w:after="1440" w:line="265" w:lineRule="auto"/>
        <w:ind w:left="567" w:right="-3" w:hanging="567"/>
        <w:jc w:val="left"/>
        <w:rPr>
          <w:rFonts w:ascii="Garamond" w:eastAsia="Calibri" w:hAnsi="Garamond" w:cs="Calibri"/>
          <w:b/>
          <w:bCs/>
          <w:sz w:val="24"/>
          <w:szCs w:val="24"/>
        </w:rPr>
      </w:pPr>
    </w:p>
    <w:p w14:paraId="5D04A204" w14:textId="77777777" w:rsidR="00E4249D" w:rsidRPr="00AE3F1B" w:rsidRDefault="00E4249D" w:rsidP="00175586">
      <w:pPr>
        <w:spacing w:after="0" w:line="264" w:lineRule="auto"/>
        <w:ind w:left="567" w:right="-3" w:hanging="567"/>
        <w:jc w:val="left"/>
        <w:rPr>
          <w:rFonts w:ascii="Garamond" w:eastAsia="Calibri" w:hAnsi="Garamond" w:cs="Calibri"/>
          <w:sz w:val="24"/>
          <w:szCs w:val="24"/>
        </w:rPr>
      </w:pPr>
    </w:p>
    <w:p w14:paraId="15C85D8E" w14:textId="77777777" w:rsidR="00A46261" w:rsidRPr="00AE3F1B" w:rsidRDefault="00A46261" w:rsidP="00175586">
      <w:pPr>
        <w:spacing w:after="0" w:line="264" w:lineRule="auto"/>
        <w:ind w:left="567" w:right="-3" w:hanging="567"/>
        <w:jc w:val="left"/>
        <w:rPr>
          <w:rFonts w:ascii="Garamond" w:eastAsia="Calibri" w:hAnsi="Garamond" w:cs="Calibri"/>
          <w:sz w:val="24"/>
          <w:szCs w:val="24"/>
        </w:rPr>
      </w:pPr>
    </w:p>
    <w:p w14:paraId="7DFEA6E5" w14:textId="77777777" w:rsidR="0088245C" w:rsidRDefault="00195760" w:rsidP="00175586">
      <w:pPr>
        <w:spacing w:after="0" w:line="264" w:lineRule="auto"/>
        <w:ind w:left="567" w:right="-3" w:hanging="567"/>
        <w:jc w:val="left"/>
        <w:rPr>
          <w:rFonts w:ascii="Garamond" w:eastAsia="Calibri" w:hAnsi="Garamond" w:cs="Calibri"/>
          <w:b/>
          <w:bCs/>
          <w:sz w:val="24"/>
          <w:szCs w:val="24"/>
        </w:rPr>
      </w:pPr>
      <w:r>
        <w:rPr>
          <w:rFonts w:ascii="Garamond" w:eastAsia="Calibri" w:hAnsi="Garamond" w:cs="Calibri"/>
          <w:b/>
          <w:bCs/>
          <w:sz w:val="24"/>
          <w:szCs w:val="24"/>
        </w:rPr>
        <w:br/>
      </w:r>
    </w:p>
    <w:p w14:paraId="492CB34D" w14:textId="77777777" w:rsidR="0088245C" w:rsidRDefault="0088245C" w:rsidP="00175586">
      <w:pPr>
        <w:spacing w:after="0" w:line="264" w:lineRule="auto"/>
        <w:ind w:left="567" w:right="-3" w:hanging="567"/>
        <w:jc w:val="left"/>
        <w:rPr>
          <w:rFonts w:ascii="Garamond" w:eastAsia="Calibri" w:hAnsi="Garamond" w:cs="Calibri"/>
          <w:b/>
          <w:bCs/>
          <w:sz w:val="24"/>
          <w:szCs w:val="24"/>
        </w:rPr>
      </w:pPr>
    </w:p>
    <w:p w14:paraId="077BC990" w14:textId="77777777" w:rsidR="00B94487" w:rsidRDefault="00B94487" w:rsidP="00175586">
      <w:pPr>
        <w:spacing w:after="0" w:line="264" w:lineRule="auto"/>
        <w:ind w:left="567" w:right="-3" w:hanging="567"/>
        <w:jc w:val="left"/>
        <w:rPr>
          <w:rFonts w:ascii="Garamond" w:eastAsia="Calibri" w:hAnsi="Garamond" w:cs="Calibri"/>
          <w:b/>
          <w:bCs/>
          <w:sz w:val="24"/>
          <w:szCs w:val="24"/>
        </w:rPr>
      </w:pPr>
    </w:p>
    <w:p w14:paraId="452C70AC" w14:textId="77777777" w:rsidR="00B94487" w:rsidRDefault="00B94487" w:rsidP="00175586">
      <w:pPr>
        <w:spacing w:after="0" w:line="264" w:lineRule="auto"/>
        <w:ind w:left="567" w:right="-3" w:hanging="567"/>
        <w:jc w:val="left"/>
        <w:rPr>
          <w:rFonts w:ascii="Garamond" w:eastAsia="Calibri" w:hAnsi="Garamond" w:cs="Calibri"/>
          <w:b/>
          <w:bCs/>
          <w:sz w:val="24"/>
          <w:szCs w:val="24"/>
        </w:rPr>
      </w:pPr>
    </w:p>
    <w:p w14:paraId="116FB0F5" w14:textId="77777777" w:rsidR="0088245C" w:rsidRDefault="0088245C" w:rsidP="00B94487">
      <w:pPr>
        <w:spacing w:after="0" w:line="264" w:lineRule="auto"/>
        <w:ind w:right="-3"/>
        <w:jc w:val="left"/>
        <w:rPr>
          <w:rFonts w:ascii="Garamond" w:eastAsia="Calibri" w:hAnsi="Garamond" w:cs="Calibri"/>
          <w:b/>
          <w:bCs/>
          <w:sz w:val="24"/>
          <w:szCs w:val="24"/>
        </w:rPr>
      </w:pPr>
    </w:p>
    <w:p w14:paraId="42B9CBDB" w14:textId="52E7608C" w:rsidR="00E4249D" w:rsidRPr="00AE3F1B" w:rsidRDefault="00B34B4D" w:rsidP="00175586">
      <w:pPr>
        <w:spacing w:after="0" w:line="264" w:lineRule="auto"/>
        <w:ind w:left="567" w:right="-3" w:hanging="567"/>
        <w:jc w:val="left"/>
        <w:rPr>
          <w:rFonts w:ascii="Garamond" w:eastAsia="Calibri" w:hAnsi="Garamond" w:cs="Calibri"/>
          <w:b/>
          <w:bCs/>
          <w:sz w:val="24"/>
          <w:szCs w:val="24"/>
        </w:rPr>
      </w:pPr>
      <w:r w:rsidRPr="00AE3F1B">
        <w:rPr>
          <w:rFonts w:ascii="Garamond" w:eastAsia="Calibri" w:hAnsi="Garamond" w:cs="Calibri"/>
          <w:b/>
          <w:bCs/>
          <w:sz w:val="24"/>
          <w:szCs w:val="24"/>
        </w:rPr>
        <w:t>Tab</w:t>
      </w:r>
      <w:r w:rsidR="00A46261" w:rsidRPr="00AE3F1B">
        <w:rPr>
          <w:rFonts w:ascii="Garamond" w:eastAsia="Calibri" w:hAnsi="Garamond" w:cs="Calibri"/>
          <w:b/>
          <w:bCs/>
          <w:sz w:val="24"/>
          <w:szCs w:val="24"/>
        </w:rPr>
        <w:t>lica</w:t>
      </w:r>
      <w:r w:rsidRPr="00AE3F1B">
        <w:rPr>
          <w:rFonts w:ascii="Garamond" w:eastAsia="Calibri" w:hAnsi="Garamond" w:cs="Calibri"/>
          <w:b/>
          <w:bCs/>
          <w:sz w:val="24"/>
          <w:szCs w:val="24"/>
        </w:rPr>
        <w:t xml:space="preserve"> 4. Dopuszczalne poziomy dla odbiorników klasy D.</w:t>
      </w:r>
    </w:p>
    <w:tbl>
      <w:tblPr>
        <w:tblStyle w:val="TableGrid"/>
        <w:tblW w:w="7175" w:type="dxa"/>
        <w:tblInd w:w="706" w:type="dxa"/>
        <w:tblCellMar>
          <w:top w:w="7" w:type="dxa"/>
          <w:left w:w="226" w:type="dxa"/>
          <w:right w:w="120" w:type="dxa"/>
        </w:tblCellMar>
        <w:tblLook w:val="04A0" w:firstRow="1" w:lastRow="0" w:firstColumn="1" w:lastColumn="0" w:noHBand="0" w:noVBand="1"/>
      </w:tblPr>
      <w:tblGrid>
        <w:gridCol w:w="1930"/>
        <w:gridCol w:w="2977"/>
        <w:gridCol w:w="2268"/>
      </w:tblGrid>
      <w:tr w:rsidR="00B34B4D" w:rsidRPr="00AE3F1B" w14:paraId="3A03CFFA" w14:textId="77777777" w:rsidTr="00B94487">
        <w:trPr>
          <w:trHeight w:val="765"/>
        </w:trPr>
        <w:tc>
          <w:tcPr>
            <w:tcW w:w="1930" w:type="dxa"/>
            <w:tcBorders>
              <w:top w:val="single" w:sz="2" w:space="0" w:color="000000"/>
              <w:left w:val="single" w:sz="2" w:space="0" w:color="000000"/>
              <w:bottom w:val="single" w:sz="2" w:space="0" w:color="000000"/>
              <w:right w:val="single" w:sz="2" w:space="0" w:color="000000"/>
            </w:tcBorders>
            <w:vAlign w:val="center"/>
          </w:tcPr>
          <w:p w14:paraId="6CCE5E08" w14:textId="77777777" w:rsidR="00B34B4D" w:rsidRPr="00AE3F1B" w:rsidRDefault="00B34B4D" w:rsidP="00B94487">
            <w:pPr>
              <w:ind w:right="-3"/>
              <w:jc w:val="center"/>
              <w:rPr>
                <w:rFonts w:ascii="Garamond" w:hAnsi="Garamond"/>
                <w:sz w:val="24"/>
                <w:szCs w:val="24"/>
              </w:rPr>
            </w:pPr>
            <w:r w:rsidRPr="00AE3F1B">
              <w:rPr>
                <w:rFonts w:ascii="Garamond" w:eastAsia="Calibri" w:hAnsi="Garamond" w:cs="Calibri"/>
                <w:sz w:val="24"/>
                <w:szCs w:val="24"/>
              </w:rPr>
              <w:t>Rząd harmonicznej [n]</w:t>
            </w:r>
          </w:p>
        </w:tc>
        <w:tc>
          <w:tcPr>
            <w:tcW w:w="2977" w:type="dxa"/>
            <w:tcBorders>
              <w:top w:val="single" w:sz="2" w:space="0" w:color="000000"/>
              <w:left w:val="single" w:sz="2" w:space="0" w:color="000000"/>
              <w:bottom w:val="single" w:sz="2" w:space="0" w:color="000000"/>
              <w:right w:val="single" w:sz="2" w:space="0" w:color="000000"/>
            </w:tcBorders>
            <w:vAlign w:val="center"/>
          </w:tcPr>
          <w:p w14:paraId="43FA5211" w14:textId="77777777" w:rsidR="00B34B4D" w:rsidRPr="00AE3F1B" w:rsidRDefault="00B34B4D" w:rsidP="00B94487">
            <w:pPr>
              <w:spacing w:after="3"/>
              <w:ind w:right="-3"/>
              <w:jc w:val="center"/>
              <w:rPr>
                <w:rFonts w:ascii="Garamond" w:hAnsi="Garamond"/>
                <w:sz w:val="24"/>
                <w:szCs w:val="24"/>
              </w:rPr>
            </w:pPr>
            <w:r w:rsidRPr="00AE3F1B">
              <w:rPr>
                <w:rFonts w:ascii="Garamond" w:eastAsia="Calibri" w:hAnsi="Garamond" w:cs="Calibri"/>
                <w:sz w:val="24"/>
                <w:szCs w:val="24"/>
              </w:rPr>
              <w:t>Maksymalny dopuszczalny prąd harmonicznej w przeliczeniu na</w:t>
            </w:r>
          </w:p>
          <w:p w14:paraId="752B2513" w14:textId="77777777" w:rsidR="00B34B4D" w:rsidRPr="00AE3F1B" w:rsidRDefault="00B34B4D" w:rsidP="00B94487">
            <w:pPr>
              <w:ind w:right="-3"/>
              <w:jc w:val="center"/>
              <w:rPr>
                <w:rFonts w:ascii="Garamond" w:hAnsi="Garamond"/>
                <w:sz w:val="24"/>
                <w:szCs w:val="24"/>
              </w:rPr>
            </w:pPr>
            <w:r w:rsidRPr="00AE3F1B">
              <w:rPr>
                <w:rFonts w:ascii="Garamond" w:eastAsia="Calibri" w:hAnsi="Garamond" w:cs="Calibri"/>
                <w:sz w:val="24"/>
                <w:szCs w:val="24"/>
              </w:rPr>
              <w:t>Wat [</w:t>
            </w:r>
            <w:proofErr w:type="spellStart"/>
            <w:r w:rsidRPr="00AE3F1B">
              <w:rPr>
                <w:rFonts w:ascii="Garamond" w:eastAsia="Calibri" w:hAnsi="Garamond" w:cs="Calibri"/>
                <w:sz w:val="24"/>
                <w:szCs w:val="24"/>
              </w:rPr>
              <w:t>mA</w:t>
            </w:r>
            <w:proofErr w:type="spellEnd"/>
            <w:r w:rsidRPr="00AE3F1B">
              <w:rPr>
                <w:rFonts w:ascii="Garamond" w:eastAsia="Calibri" w:hAnsi="Garamond" w:cs="Calibri"/>
                <w:sz w:val="24"/>
                <w:szCs w:val="24"/>
              </w:rPr>
              <w:t xml:space="preserve"> /W]</w:t>
            </w:r>
          </w:p>
        </w:tc>
        <w:tc>
          <w:tcPr>
            <w:tcW w:w="2268" w:type="dxa"/>
            <w:tcBorders>
              <w:top w:val="single" w:sz="2" w:space="0" w:color="000000"/>
              <w:left w:val="single" w:sz="2" w:space="0" w:color="000000"/>
              <w:bottom w:val="single" w:sz="2" w:space="0" w:color="000000"/>
              <w:right w:val="single" w:sz="2" w:space="0" w:color="000000"/>
            </w:tcBorders>
            <w:vAlign w:val="center"/>
          </w:tcPr>
          <w:p w14:paraId="133A2E02" w14:textId="77777777" w:rsidR="00B34B4D" w:rsidRPr="00AE3F1B" w:rsidRDefault="00B34B4D" w:rsidP="00B94487">
            <w:pPr>
              <w:ind w:right="-3"/>
              <w:jc w:val="center"/>
              <w:rPr>
                <w:rFonts w:ascii="Garamond" w:hAnsi="Garamond"/>
                <w:sz w:val="24"/>
                <w:szCs w:val="24"/>
              </w:rPr>
            </w:pPr>
            <w:r w:rsidRPr="00AE3F1B">
              <w:rPr>
                <w:rFonts w:ascii="Garamond" w:eastAsia="Calibri" w:hAnsi="Garamond" w:cs="Calibri"/>
                <w:sz w:val="24"/>
                <w:szCs w:val="24"/>
              </w:rPr>
              <w:t>Maksymalny dopuszczalny prąd harmonicznej [A]</w:t>
            </w:r>
          </w:p>
        </w:tc>
      </w:tr>
      <w:tr w:rsidR="00B34B4D" w:rsidRPr="00AE3F1B" w14:paraId="244C6216" w14:textId="77777777" w:rsidTr="00B94487">
        <w:trPr>
          <w:trHeight w:val="259"/>
        </w:trPr>
        <w:tc>
          <w:tcPr>
            <w:tcW w:w="1930" w:type="dxa"/>
            <w:tcBorders>
              <w:top w:val="single" w:sz="2" w:space="0" w:color="000000"/>
              <w:left w:val="single" w:sz="2" w:space="0" w:color="000000"/>
              <w:bottom w:val="single" w:sz="2" w:space="0" w:color="000000"/>
              <w:right w:val="single" w:sz="2" w:space="0" w:color="000000"/>
            </w:tcBorders>
            <w:vAlign w:val="center"/>
          </w:tcPr>
          <w:p w14:paraId="3F4E8E13" w14:textId="77777777" w:rsidR="00B34B4D" w:rsidRPr="00AE3F1B" w:rsidRDefault="00B34B4D" w:rsidP="00B94487">
            <w:pPr>
              <w:ind w:right="-3"/>
              <w:jc w:val="center"/>
              <w:rPr>
                <w:rFonts w:ascii="Garamond" w:hAnsi="Garamond"/>
                <w:sz w:val="24"/>
                <w:szCs w:val="24"/>
              </w:rPr>
            </w:pPr>
            <w:r w:rsidRPr="00AE3F1B">
              <w:rPr>
                <w:rFonts w:ascii="Garamond" w:eastAsia="Calibri" w:hAnsi="Garamond" w:cs="Calibri"/>
                <w:sz w:val="24"/>
                <w:szCs w:val="24"/>
              </w:rPr>
              <w:t>3</w:t>
            </w:r>
          </w:p>
        </w:tc>
        <w:tc>
          <w:tcPr>
            <w:tcW w:w="2977" w:type="dxa"/>
            <w:tcBorders>
              <w:top w:val="single" w:sz="2" w:space="0" w:color="000000"/>
              <w:left w:val="single" w:sz="2" w:space="0" w:color="000000"/>
              <w:bottom w:val="single" w:sz="2" w:space="0" w:color="000000"/>
              <w:right w:val="single" w:sz="2" w:space="0" w:color="000000"/>
            </w:tcBorders>
            <w:vAlign w:val="center"/>
          </w:tcPr>
          <w:p w14:paraId="43AD4A17" w14:textId="77777777" w:rsidR="00B34B4D" w:rsidRPr="00AE3F1B" w:rsidRDefault="00B34B4D" w:rsidP="00B94487">
            <w:pPr>
              <w:spacing w:after="100" w:afterAutospacing="1"/>
              <w:ind w:right="-6"/>
              <w:jc w:val="center"/>
              <w:rPr>
                <w:rFonts w:ascii="Garamond" w:hAnsi="Garamond"/>
                <w:sz w:val="24"/>
                <w:szCs w:val="24"/>
              </w:rPr>
            </w:pPr>
            <w:r w:rsidRPr="00AE3F1B">
              <w:rPr>
                <w:rFonts w:ascii="Garamond" w:hAnsi="Garamond"/>
                <w:sz w:val="24"/>
                <w:szCs w:val="24"/>
              </w:rPr>
              <w:t>3,4</w:t>
            </w:r>
          </w:p>
        </w:tc>
        <w:tc>
          <w:tcPr>
            <w:tcW w:w="2268" w:type="dxa"/>
            <w:tcBorders>
              <w:top w:val="single" w:sz="2" w:space="0" w:color="000000"/>
              <w:left w:val="single" w:sz="2" w:space="0" w:color="000000"/>
              <w:bottom w:val="single" w:sz="2" w:space="0" w:color="000000"/>
              <w:right w:val="single" w:sz="2" w:space="0" w:color="000000"/>
            </w:tcBorders>
            <w:vAlign w:val="center"/>
          </w:tcPr>
          <w:p w14:paraId="6A00305D" w14:textId="77777777" w:rsidR="00B34B4D" w:rsidRPr="00AE3F1B" w:rsidRDefault="00B34B4D" w:rsidP="00B94487">
            <w:pPr>
              <w:ind w:right="-3"/>
              <w:jc w:val="center"/>
              <w:rPr>
                <w:rFonts w:ascii="Garamond" w:hAnsi="Garamond"/>
                <w:sz w:val="24"/>
                <w:szCs w:val="24"/>
              </w:rPr>
            </w:pPr>
            <w:r w:rsidRPr="00AE3F1B">
              <w:rPr>
                <w:rFonts w:ascii="Garamond" w:eastAsia="Calibri" w:hAnsi="Garamond" w:cs="Calibri"/>
                <w:sz w:val="24"/>
                <w:szCs w:val="24"/>
              </w:rPr>
              <w:t>2,3</w:t>
            </w:r>
          </w:p>
        </w:tc>
      </w:tr>
      <w:tr w:rsidR="00B34B4D" w:rsidRPr="00AE3F1B" w14:paraId="6D050594" w14:textId="77777777" w:rsidTr="00B94487">
        <w:trPr>
          <w:trHeight w:val="266"/>
        </w:trPr>
        <w:tc>
          <w:tcPr>
            <w:tcW w:w="1930" w:type="dxa"/>
            <w:tcBorders>
              <w:top w:val="single" w:sz="2" w:space="0" w:color="000000"/>
              <w:left w:val="single" w:sz="2" w:space="0" w:color="000000"/>
              <w:bottom w:val="single" w:sz="2" w:space="0" w:color="000000"/>
              <w:right w:val="single" w:sz="2" w:space="0" w:color="000000"/>
            </w:tcBorders>
            <w:vAlign w:val="center"/>
          </w:tcPr>
          <w:p w14:paraId="215BBAF7" w14:textId="77777777" w:rsidR="00B34B4D" w:rsidRPr="00AE3F1B" w:rsidRDefault="00B34B4D" w:rsidP="00B94487">
            <w:pPr>
              <w:ind w:right="-3"/>
              <w:jc w:val="center"/>
              <w:rPr>
                <w:rFonts w:ascii="Garamond" w:hAnsi="Garamond"/>
                <w:sz w:val="24"/>
                <w:szCs w:val="24"/>
              </w:rPr>
            </w:pPr>
            <w:r w:rsidRPr="00AE3F1B">
              <w:rPr>
                <w:rFonts w:ascii="Garamond" w:eastAsia="Calibri" w:hAnsi="Garamond" w:cs="Calibri"/>
                <w:sz w:val="24"/>
                <w:szCs w:val="24"/>
              </w:rPr>
              <w:t>5</w:t>
            </w:r>
          </w:p>
        </w:tc>
        <w:tc>
          <w:tcPr>
            <w:tcW w:w="2977" w:type="dxa"/>
            <w:tcBorders>
              <w:top w:val="single" w:sz="2" w:space="0" w:color="000000"/>
              <w:left w:val="single" w:sz="2" w:space="0" w:color="000000"/>
              <w:bottom w:val="single" w:sz="2" w:space="0" w:color="000000"/>
              <w:right w:val="single" w:sz="2" w:space="0" w:color="000000"/>
            </w:tcBorders>
            <w:vAlign w:val="center"/>
          </w:tcPr>
          <w:p w14:paraId="57204875" w14:textId="77777777" w:rsidR="00B34B4D" w:rsidRPr="00AE3F1B" w:rsidRDefault="00B34B4D" w:rsidP="00B94487">
            <w:pPr>
              <w:spacing w:after="100" w:afterAutospacing="1"/>
              <w:ind w:right="-6"/>
              <w:jc w:val="center"/>
              <w:rPr>
                <w:rFonts w:ascii="Garamond" w:hAnsi="Garamond"/>
                <w:sz w:val="24"/>
                <w:szCs w:val="24"/>
              </w:rPr>
            </w:pPr>
            <w:r w:rsidRPr="00AE3F1B">
              <w:rPr>
                <w:rFonts w:ascii="Garamond" w:hAnsi="Garamond"/>
                <w:sz w:val="24"/>
                <w:szCs w:val="24"/>
              </w:rPr>
              <w:t>1,9</w:t>
            </w:r>
          </w:p>
        </w:tc>
        <w:tc>
          <w:tcPr>
            <w:tcW w:w="2268" w:type="dxa"/>
            <w:tcBorders>
              <w:top w:val="single" w:sz="2" w:space="0" w:color="000000"/>
              <w:left w:val="single" w:sz="2" w:space="0" w:color="000000"/>
              <w:bottom w:val="single" w:sz="2" w:space="0" w:color="000000"/>
              <w:right w:val="single" w:sz="2" w:space="0" w:color="000000"/>
            </w:tcBorders>
            <w:vAlign w:val="center"/>
          </w:tcPr>
          <w:p w14:paraId="0C888939" w14:textId="77777777" w:rsidR="00B34B4D" w:rsidRPr="00AE3F1B" w:rsidRDefault="00B34B4D" w:rsidP="00B94487">
            <w:pPr>
              <w:ind w:right="-3"/>
              <w:jc w:val="center"/>
              <w:rPr>
                <w:rFonts w:ascii="Garamond" w:hAnsi="Garamond"/>
                <w:sz w:val="24"/>
                <w:szCs w:val="24"/>
              </w:rPr>
            </w:pPr>
            <w:r w:rsidRPr="00AE3F1B">
              <w:rPr>
                <w:rFonts w:ascii="Garamond" w:eastAsia="Calibri" w:hAnsi="Garamond" w:cs="Calibri"/>
                <w:sz w:val="24"/>
                <w:szCs w:val="24"/>
              </w:rPr>
              <w:t>1,14</w:t>
            </w:r>
          </w:p>
        </w:tc>
      </w:tr>
      <w:tr w:rsidR="00B34B4D" w:rsidRPr="00AE3F1B" w14:paraId="3BBE7088" w14:textId="77777777" w:rsidTr="00B94487">
        <w:trPr>
          <w:trHeight w:val="262"/>
        </w:trPr>
        <w:tc>
          <w:tcPr>
            <w:tcW w:w="1930" w:type="dxa"/>
            <w:tcBorders>
              <w:top w:val="single" w:sz="2" w:space="0" w:color="000000"/>
              <w:left w:val="single" w:sz="2" w:space="0" w:color="000000"/>
              <w:bottom w:val="single" w:sz="2" w:space="0" w:color="000000"/>
              <w:right w:val="single" w:sz="2" w:space="0" w:color="000000"/>
            </w:tcBorders>
            <w:vAlign w:val="center"/>
          </w:tcPr>
          <w:p w14:paraId="74B3EF9B" w14:textId="77777777" w:rsidR="00B34B4D" w:rsidRPr="00AE3F1B" w:rsidRDefault="00B34B4D" w:rsidP="00B94487">
            <w:pPr>
              <w:ind w:left="567" w:right="-3" w:hanging="567"/>
              <w:jc w:val="center"/>
              <w:rPr>
                <w:rFonts w:ascii="Garamond" w:hAnsi="Garamond"/>
                <w:sz w:val="24"/>
                <w:szCs w:val="24"/>
              </w:rPr>
            </w:pPr>
            <w:r w:rsidRPr="00AE3F1B">
              <w:rPr>
                <w:rFonts w:ascii="Garamond" w:eastAsia="Calibri" w:hAnsi="Garamond" w:cs="Calibri"/>
                <w:sz w:val="24"/>
                <w:szCs w:val="24"/>
              </w:rPr>
              <w:t>7</w:t>
            </w:r>
          </w:p>
        </w:tc>
        <w:tc>
          <w:tcPr>
            <w:tcW w:w="2977" w:type="dxa"/>
            <w:tcBorders>
              <w:top w:val="single" w:sz="2" w:space="0" w:color="000000"/>
              <w:left w:val="single" w:sz="2" w:space="0" w:color="000000"/>
              <w:bottom w:val="single" w:sz="2" w:space="0" w:color="000000"/>
              <w:right w:val="single" w:sz="2" w:space="0" w:color="000000"/>
            </w:tcBorders>
            <w:vAlign w:val="center"/>
          </w:tcPr>
          <w:p w14:paraId="35FBFC6E" w14:textId="77777777" w:rsidR="00B34B4D" w:rsidRPr="00AE3F1B" w:rsidRDefault="00B34B4D" w:rsidP="00B94487">
            <w:pPr>
              <w:spacing w:after="100" w:afterAutospacing="1"/>
              <w:ind w:left="567" w:right="-6" w:hanging="567"/>
              <w:jc w:val="center"/>
              <w:rPr>
                <w:rFonts w:ascii="Garamond" w:hAnsi="Garamond"/>
                <w:sz w:val="24"/>
                <w:szCs w:val="24"/>
              </w:rPr>
            </w:pPr>
            <w:r w:rsidRPr="00AE3F1B">
              <w:rPr>
                <w:rFonts w:ascii="Garamond" w:hAnsi="Garamond"/>
                <w:sz w:val="24"/>
                <w:szCs w:val="24"/>
              </w:rPr>
              <w:t>1,0</w:t>
            </w:r>
          </w:p>
        </w:tc>
        <w:tc>
          <w:tcPr>
            <w:tcW w:w="2268" w:type="dxa"/>
            <w:tcBorders>
              <w:top w:val="single" w:sz="2" w:space="0" w:color="000000"/>
              <w:left w:val="single" w:sz="2" w:space="0" w:color="000000"/>
              <w:bottom w:val="single" w:sz="2" w:space="0" w:color="000000"/>
              <w:right w:val="single" w:sz="2" w:space="0" w:color="000000"/>
            </w:tcBorders>
            <w:vAlign w:val="center"/>
          </w:tcPr>
          <w:p w14:paraId="1F0FC9D3" w14:textId="77777777" w:rsidR="00B34B4D" w:rsidRPr="00AE3F1B" w:rsidRDefault="00B34B4D" w:rsidP="00B94487">
            <w:pPr>
              <w:ind w:left="567" w:right="-3" w:hanging="567"/>
              <w:jc w:val="center"/>
              <w:rPr>
                <w:rFonts w:ascii="Garamond" w:hAnsi="Garamond"/>
                <w:sz w:val="24"/>
                <w:szCs w:val="24"/>
              </w:rPr>
            </w:pPr>
            <w:r w:rsidRPr="00AE3F1B">
              <w:rPr>
                <w:rFonts w:ascii="Garamond" w:eastAsia="Calibri" w:hAnsi="Garamond" w:cs="Calibri"/>
                <w:sz w:val="24"/>
                <w:szCs w:val="24"/>
              </w:rPr>
              <w:t>0,77</w:t>
            </w:r>
          </w:p>
        </w:tc>
      </w:tr>
      <w:tr w:rsidR="00B34B4D" w:rsidRPr="00AE3F1B" w14:paraId="4F64E9CE" w14:textId="77777777" w:rsidTr="00B94487">
        <w:trPr>
          <w:trHeight w:val="263"/>
        </w:trPr>
        <w:tc>
          <w:tcPr>
            <w:tcW w:w="1930" w:type="dxa"/>
            <w:tcBorders>
              <w:top w:val="single" w:sz="2" w:space="0" w:color="000000"/>
              <w:left w:val="single" w:sz="2" w:space="0" w:color="000000"/>
              <w:bottom w:val="single" w:sz="2" w:space="0" w:color="000000"/>
              <w:right w:val="single" w:sz="2" w:space="0" w:color="000000"/>
            </w:tcBorders>
            <w:vAlign w:val="center"/>
          </w:tcPr>
          <w:p w14:paraId="13EFD2D2" w14:textId="77777777" w:rsidR="00B34B4D" w:rsidRPr="00AE3F1B" w:rsidRDefault="00B34B4D" w:rsidP="00B94487">
            <w:pPr>
              <w:ind w:left="567" w:right="-3" w:hanging="567"/>
              <w:jc w:val="center"/>
              <w:rPr>
                <w:rFonts w:ascii="Garamond" w:hAnsi="Garamond"/>
                <w:sz w:val="24"/>
                <w:szCs w:val="24"/>
              </w:rPr>
            </w:pPr>
            <w:r w:rsidRPr="00AE3F1B">
              <w:rPr>
                <w:rFonts w:ascii="Garamond" w:eastAsia="Calibri" w:hAnsi="Garamond" w:cs="Calibri"/>
                <w:sz w:val="24"/>
                <w:szCs w:val="24"/>
              </w:rPr>
              <w:t>9</w:t>
            </w:r>
          </w:p>
        </w:tc>
        <w:tc>
          <w:tcPr>
            <w:tcW w:w="2977" w:type="dxa"/>
            <w:tcBorders>
              <w:top w:val="single" w:sz="2" w:space="0" w:color="000000"/>
              <w:left w:val="single" w:sz="2" w:space="0" w:color="000000"/>
              <w:bottom w:val="single" w:sz="2" w:space="0" w:color="000000"/>
              <w:right w:val="single" w:sz="2" w:space="0" w:color="000000"/>
            </w:tcBorders>
            <w:vAlign w:val="center"/>
          </w:tcPr>
          <w:p w14:paraId="72778BB7" w14:textId="77777777" w:rsidR="00B34B4D" w:rsidRPr="00AE3F1B" w:rsidRDefault="00B34B4D" w:rsidP="00B94487">
            <w:pPr>
              <w:spacing w:after="100" w:afterAutospacing="1"/>
              <w:ind w:left="567" w:right="-6" w:hanging="567"/>
              <w:jc w:val="center"/>
              <w:rPr>
                <w:rFonts w:ascii="Garamond" w:hAnsi="Garamond"/>
                <w:sz w:val="24"/>
                <w:szCs w:val="24"/>
              </w:rPr>
            </w:pPr>
            <w:r w:rsidRPr="00AE3F1B">
              <w:rPr>
                <w:rFonts w:ascii="Garamond" w:hAnsi="Garamond"/>
                <w:sz w:val="24"/>
                <w:szCs w:val="24"/>
              </w:rPr>
              <w:t>0,5</w:t>
            </w:r>
          </w:p>
        </w:tc>
        <w:tc>
          <w:tcPr>
            <w:tcW w:w="2268" w:type="dxa"/>
            <w:tcBorders>
              <w:top w:val="single" w:sz="2" w:space="0" w:color="000000"/>
              <w:left w:val="single" w:sz="2" w:space="0" w:color="000000"/>
              <w:bottom w:val="single" w:sz="2" w:space="0" w:color="000000"/>
              <w:right w:val="single" w:sz="2" w:space="0" w:color="000000"/>
            </w:tcBorders>
            <w:vAlign w:val="center"/>
          </w:tcPr>
          <w:p w14:paraId="6F37EBFB" w14:textId="77777777" w:rsidR="00B34B4D" w:rsidRPr="00AE3F1B" w:rsidRDefault="00B34B4D" w:rsidP="00B94487">
            <w:pPr>
              <w:ind w:left="567" w:right="-3" w:hanging="567"/>
              <w:jc w:val="center"/>
              <w:rPr>
                <w:rFonts w:ascii="Garamond" w:hAnsi="Garamond"/>
                <w:sz w:val="24"/>
                <w:szCs w:val="24"/>
              </w:rPr>
            </w:pPr>
            <w:r w:rsidRPr="00AE3F1B">
              <w:rPr>
                <w:rFonts w:ascii="Garamond" w:eastAsia="Calibri" w:hAnsi="Garamond" w:cs="Calibri"/>
                <w:sz w:val="24"/>
                <w:szCs w:val="24"/>
              </w:rPr>
              <w:t>0,4</w:t>
            </w:r>
          </w:p>
        </w:tc>
      </w:tr>
      <w:tr w:rsidR="00B34B4D" w:rsidRPr="00AE3F1B" w14:paraId="30B39CF5" w14:textId="77777777" w:rsidTr="00B94487">
        <w:trPr>
          <w:trHeight w:val="266"/>
        </w:trPr>
        <w:tc>
          <w:tcPr>
            <w:tcW w:w="1930" w:type="dxa"/>
            <w:tcBorders>
              <w:top w:val="single" w:sz="2" w:space="0" w:color="000000"/>
              <w:left w:val="single" w:sz="2" w:space="0" w:color="000000"/>
              <w:bottom w:val="single" w:sz="2" w:space="0" w:color="000000"/>
              <w:right w:val="single" w:sz="2" w:space="0" w:color="000000"/>
            </w:tcBorders>
            <w:vAlign w:val="center"/>
          </w:tcPr>
          <w:p w14:paraId="6D6A53C8" w14:textId="77777777" w:rsidR="00B34B4D" w:rsidRPr="00AE3F1B" w:rsidRDefault="00B34B4D" w:rsidP="00B94487">
            <w:pPr>
              <w:ind w:right="-3"/>
              <w:jc w:val="center"/>
              <w:rPr>
                <w:rFonts w:ascii="Garamond" w:hAnsi="Garamond"/>
                <w:sz w:val="24"/>
                <w:szCs w:val="24"/>
              </w:rPr>
            </w:pPr>
            <w:r w:rsidRPr="00AE3F1B">
              <w:rPr>
                <w:rFonts w:ascii="Garamond" w:eastAsia="Calibri" w:hAnsi="Garamond" w:cs="Calibri"/>
                <w:sz w:val="24"/>
                <w:szCs w:val="24"/>
              </w:rPr>
              <w:t>11</w:t>
            </w:r>
          </w:p>
        </w:tc>
        <w:tc>
          <w:tcPr>
            <w:tcW w:w="2977" w:type="dxa"/>
            <w:tcBorders>
              <w:top w:val="single" w:sz="2" w:space="0" w:color="000000"/>
              <w:left w:val="single" w:sz="2" w:space="0" w:color="000000"/>
              <w:bottom w:val="single" w:sz="2" w:space="0" w:color="000000"/>
              <w:right w:val="single" w:sz="2" w:space="0" w:color="000000"/>
            </w:tcBorders>
            <w:vAlign w:val="center"/>
          </w:tcPr>
          <w:p w14:paraId="231D1898" w14:textId="77777777" w:rsidR="00B34B4D" w:rsidRPr="00AE3F1B" w:rsidRDefault="00B34B4D" w:rsidP="00B94487">
            <w:pPr>
              <w:spacing w:after="100" w:afterAutospacing="1"/>
              <w:ind w:right="-6"/>
              <w:jc w:val="center"/>
              <w:rPr>
                <w:rFonts w:ascii="Garamond" w:hAnsi="Garamond"/>
                <w:sz w:val="24"/>
                <w:szCs w:val="24"/>
              </w:rPr>
            </w:pPr>
            <w:r w:rsidRPr="00AE3F1B">
              <w:rPr>
                <w:rFonts w:ascii="Garamond" w:hAnsi="Garamond"/>
                <w:sz w:val="24"/>
                <w:szCs w:val="24"/>
              </w:rPr>
              <w:t>0,5</w:t>
            </w:r>
          </w:p>
        </w:tc>
        <w:tc>
          <w:tcPr>
            <w:tcW w:w="2268" w:type="dxa"/>
            <w:tcBorders>
              <w:top w:val="single" w:sz="2" w:space="0" w:color="000000"/>
              <w:left w:val="single" w:sz="2" w:space="0" w:color="000000"/>
              <w:bottom w:val="single" w:sz="2" w:space="0" w:color="000000"/>
              <w:right w:val="single" w:sz="2" w:space="0" w:color="000000"/>
            </w:tcBorders>
            <w:vAlign w:val="center"/>
          </w:tcPr>
          <w:p w14:paraId="2E45394A" w14:textId="77777777" w:rsidR="00B34B4D" w:rsidRPr="00AE3F1B" w:rsidRDefault="00B34B4D" w:rsidP="00B94487">
            <w:pPr>
              <w:ind w:right="-3"/>
              <w:jc w:val="center"/>
              <w:rPr>
                <w:rFonts w:ascii="Garamond" w:hAnsi="Garamond"/>
                <w:sz w:val="24"/>
                <w:szCs w:val="24"/>
              </w:rPr>
            </w:pPr>
            <w:r w:rsidRPr="00AE3F1B">
              <w:rPr>
                <w:rFonts w:ascii="Garamond" w:eastAsia="Calibri" w:hAnsi="Garamond" w:cs="Calibri"/>
                <w:sz w:val="24"/>
                <w:szCs w:val="24"/>
              </w:rPr>
              <w:t>0,33</w:t>
            </w:r>
          </w:p>
        </w:tc>
      </w:tr>
      <w:tr w:rsidR="00B34B4D" w:rsidRPr="00AE3F1B" w14:paraId="0EC99B90" w14:textId="77777777" w:rsidTr="00B94487">
        <w:trPr>
          <w:trHeight w:val="770"/>
        </w:trPr>
        <w:tc>
          <w:tcPr>
            <w:tcW w:w="1930" w:type="dxa"/>
            <w:tcBorders>
              <w:top w:val="single" w:sz="2" w:space="0" w:color="000000"/>
              <w:left w:val="single" w:sz="2" w:space="0" w:color="000000"/>
              <w:bottom w:val="single" w:sz="2" w:space="0" w:color="000000"/>
              <w:right w:val="single" w:sz="2" w:space="0" w:color="000000"/>
            </w:tcBorders>
            <w:vAlign w:val="center"/>
          </w:tcPr>
          <w:p w14:paraId="75992B02" w14:textId="77777777" w:rsidR="00B34B4D" w:rsidRPr="00AE3F1B" w:rsidRDefault="00B34B4D" w:rsidP="00B94487">
            <w:pPr>
              <w:ind w:right="-3"/>
              <w:jc w:val="center"/>
              <w:rPr>
                <w:rFonts w:ascii="Garamond" w:hAnsi="Garamond"/>
                <w:sz w:val="24"/>
                <w:szCs w:val="24"/>
              </w:rPr>
            </w:pPr>
            <w:r w:rsidRPr="00AE3F1B">
              <w:rPr>
                <w:rFonts w:ascii="Garamond" w:eastAsia="Calibri" w:hAnsi="Garamond" w:cs="Calibri"/>
                <w:sz w:val="24"/>
                <w:szCs w:val="24"/>
              </w:rPr>
              <w:t>13≤n≤ 39 tylko harmoniczne nieparzyste)</w:t>
            </w:r>
          </w:p>
        </w:tc>
        <w:tc>
          <w:tcPr>
            <w:tcW w:w="2977" w:type="dxa"/>
            <w:tcBorders>
              <w:top w:val="single" w:sz="2" w:space="0" w:color="000000"/>
              <w:left w:val="single" w:sz="2" w:space="0" w:color="000000"/>
              <w:bottom w:val="single" w:sz="2" w:space="0" w:color="000000"/>
              <w:right w:val="single" w:sz="2" w:space="0" w:color="000000"/>
            </w:tcBorders>
            <w:vAlign w:val="center"/>
          </w:tcPr>
          <w:p w14:paraId="1013DAEC" w14:textId="77777777" w:rsidR="00B34B4D" w:rsidRPr="00AE3F1B" w:rsidRDefault="00B34B4D" w:rsidP="00B94487">
            <w:pPr>
              <w:ind w:right="-3"/>
              <w:jc w:val="center"/>
              <w:rPr>
                <w:rFonts w:ascii="Garamond" w:hAnsi="Garamond"/>
                <w:sz w:val="24"/>
                <w:szCs w:val="24"/>
              </w:rPr>
            </w:pPr>
            <w:r w:rsidRPr="00AE3F1B">
              <w:rPr>
                <w:rFonts w:ascii="Garamond" w:hAnsi="Garamond"/>
                <w:sz w:val="24"/>
                <w:szCs w:val="24"/>
              </w:rPr>
              <w:t>3,85/n</w:t>
            </w:r>
          </w:p>
        </w:tc>
        <w:tc>
          <w:tcPr>
            <w:tcW w:w="2268" w:type="dxa"/>
            <w:tcBorders>
              <w:top w:val="single" w:sz="2" w:space="0" w:color="000000"/>
              <w:left w:val="single" w:sz="2" w:space="0" w:color="000000"/>
              <w:bottom w:val="single" w:sz="2" w:space="0" w:color="000000"/>
              <w:right w:val="single" w:sz="2" w:space="0" w:color="000000"/>
            </w:tcBorders>
            <w:vAlign w:val="center"/>
          </w:tcPr>
          <w:p w14:paraId="64C2587D" w14:textId="77777777" w:rsidR="00B34B4D" w:rsidRPr="00AE3F1B" w:rsidRDefault="00B34B4D" w:rsidP="00B94487">
            <w:pPr>
              <w:ind w:right="-3"/>
              <w:jc w:val="center"/>
              <w:rPr>
                <w:rFonts w:ascii="Garamond" w:hAnsi="Garamond"/>
                <w:sz w:val="24"/>
                <w:szCs w:val="24"/>
              </w:rPr>
            </w:pPr>
            <w:r w:rsidRPr="00AE3F1B">
              <w:rPr>
                <w:rFonts w:ascii="Garamond" w:eastAsia="Calibri" w:hAnsi="Garamond" w:cs="Calibri"/>
                <w:sz w:val="24"/>
                <w:szCs w:val="24"/>
              </w:rPr>
              <w:t>Patrz Tablica 1</w:t>
            </w:r>
          </w:p>
        </w:tc>
      </w:tr>
    </w:tbl>
    <w:p w14:paraId="6761A938" w14:textId="77777777" w:rsidR="00A46261" w:rsidRPr="00AE3F1B" w:rsidRDefault="00A46261" w:rsidP="00175586">
      <w:pPr>
        <w:spacing w:after="0" w:line="264" w:lineRule="auto"/>
        <w:ind w:left="567" w:right="-3" w:hanging="567"/>
        <w:jc w:val="left"/>
        <w:rPr>
          <w:rFonts w:ascii="Garamond" w:eastAsia="Calibri" w:hAnsi="Garamond" w:cs="Calibri"/>
          <w:sz w:val="24"/>
          <w:szCs w:val="24"/>
        </w:rPr>
      </w:pPr>
    </w:p>
    <w:p w14:paraId="28A5B53E" w14:textId="53649C64" w:rsidR="00F50172" w:rsidRPr="00051C84" w:rsidRDefault="00F50172" w:rsidP="00051C84">
      <w:pPr>
        <w:spacing w:after="0" w:line="238" w:lineRule="auto"/>
        <w:ind w:left="567" w:right="-3" w:hanging="567"/>
        <w:jc w:val="left"/>
        <w:rPr>
          <w:rFonts w:ascii="Garamond" w:eastAsia="Calibri" w:hAnsi="Garamond" w:cs="Calibri"/>
          <w:sz w:val="24"/>
          <w:szCs w:val="24"/>
        </w:rPr>
      </w:pPr>
      <w:r w:rsidRPr="00AE3F1B">
        <w:rPr>
          <w:rFonts w:ascii="Garamond" w:eastAsia="Calibri" w:hAnsi="Garamond" w:cs="Calibri"/>
          <w:sz w:val="24"/>
          <w:szCs w:val="24"/>
        </w:rPr>
        <w:t>VIII.2.1.2.3. Dopuszczalne poziomy emisji harmonicznych prądu powodowane przez odbiorniki o fazowym prądzie znamionowym &gt;16 A. Dopuszczalne poziomy emisji harmonicznych prądu powodowane przez odbiorniki o fazowym prądzie znamionowym &gt;16 A zakwalifikowane do Klasy A, Klasy B, Klasy C oraz Klasy D podano w Tablicy 5.</w:t>
      </w:r>
      <w:r w:rsidRPr="00AE3F1B">
        <w:rPr>
          <w:rFonts w:ascii="Garamond" w:eastAsia="Calibri" w:hAnsi="Garamond" w:cs="Calibri"/>
          <w:sz w:val="24"/>
          <w:szCs w:val="24"/>
        </w:rPr>
        <w:br/>
      </w:r>
      <w:r w:rsidRPr="00AE3F1B">
        <w:rPr>
          <w:rFonts w:ascii="Garamond" w:eastAsia="Calibri" w:hAnsi="Garamond" w:cs="Calibri"/>
          <w:sz w:val="24"/>
          <w:szCs w:val="24"/>
        </w:rPr>
        <w:br/>
      </w:r>
      <w:r w:rsidRPr="00AE3F1B">
        <w:rPr>
          <w:rFonts w:ascii="Garamond" w:hAnsi="Garamond"/>
          <w:b/>
          <w:bCs/>
          <w:sz w:val="24"/>
          <w:szCs w:val="24"/>
        </w:rPr>
        <w:t>Tablica 5.</w:t>
      </w:r>
    </w:p>
    <w:tbl>
      <w:tblPr>
        <w:tblStyle w:val="TableGrid"/>
        <w:tblW w:w="7088" w:type="dxa"/>
        <w:tblInd w:w="905" w:type="dxa"/>
        <w:tblCellMar>
          <w:top w:w="14" w:type="dxa"/>
          <w:left w:w="338" w:type="dxa"/>
          <w:right w:w="321" w:type="dxa"/>
        </w:tblCellMar>
        <w:tblLook w:val="04A0" w:firstRow="1" w:lastRow="0" w:firstColumn="1" w:lastColumn="0" w:noHBand="0" w:noVBand="1"/>
      </w:tblPr>
      <w:tblGrid>
        <w:gridCol w:w="3011"/>
        <w:gridCol w:w="4077"/>
      </w:tblGrid>
      <w:tr w:rsidR="00F50172" w:rsidRPr="00AE3F1B" w14:paraId="1706F0BE" w14:textId="77777777" w:rsidTr="00051C84">
        <w:trPr>
          <w:trHeight w:val="1024"/>
        </w:trPr>
        <w:tc>
          <w:tcPr>
            <w:tcW w:w="3011" w:type="dxa"/>
            <w:tcBorders>
              <w:top w:val="single" w:sz="2" w:space="0" w:color="000000"/>
              <w:left w:val="single" w:sz="2" w:space="0" w:color="000000"/>
              <w:bottom w:val="single" w:sz="2" w:space="0" w:color="000000"/>
              <w:right w:val="single" w:sz="2" w:space="0" w:color="000000"/>
            </w:tcBorders>
            <w:vAlign w:val="center"/>
          </w:tcPr>
          <w:p w14:paraId="7826D493" w14:textId="77777777" w:rsidR="00F50172" w:rsidRPr="00AE3F1B" w:rsidRDefault="00F50172" w:rsidP="00051C84">
            <w:pPr>
              <w:spacing w:after="100" w:afterAutospacing="1"/>
              <w:ind w:right="-6"/>
              <w:jc w:val="center"/>
              <w:rPr>
                <w:rFonts w:ascii="Garamond" w:hAnsi="Garamond"/>
                <w:sz w:val="24"/>
                <w:szCs w:val="24"/>
              </w:rPr>
            </w:pPr>
            <w:r w:rsidRPr="00AE3F1B">
              <w:rPr>
                <w:rFonts w:ascii="Garamond" w:eastAsia="Calibri" w:hAnsi="Garamond" w:cs="Calibri"/>
                <w:sz w:val="24"/>
                <w:szCs w:val="24"/>
              </w:rPr>
              <w:t>Rząd harmonicznej [n]</w:t>
            </w:r>
          </w:p>
        </w:tc>
        <w:tc>
          <w:tcPr>
            <w:tcW w:w="4077" w:type="dxa"/>
            <w:tcBorders>
              <w:top w:val="single" w:sz="2" w:space="0" w:color="000000"/>
              <w:left w:val="single" w:sz="2" w:space="0" w:color="000000"/>
              <w:bottom w:val="single" w:sz="2" w:space="0" w:color="000000"/>
              <w:right w:val="single" w:sz="2" w:space="0" w:color="000000"/>
            </w:tcBorders>
            <w:vAlign w:val="center"/>
          </w:tcPr>
          <w:p w14:paraId="577AA489" w14:textId="35D8C77F" w:rsidR="00F50172" w:rsidRPr="00AE3F1B" w:rsidRDefault="00F50172" w:rsidP="00051C84">
            <w:pPr>
              <w:spacing w:after="100" w:afterAutospacing="1"/>
              <w:ind w:right="-6"/>
              <w:jc w:val="center"/>
              <w:rPr>
                <w:rFonts w:ascii="Garamond" w:hAnsi="Garamond"/>
                <w:sz w:val="24"/>
                <w:szCs w:val="24"/>
              </w:rPr>
            </w:pPr>
            <w:r w:rsidRPr="00AE3F1B">
              <w:rPr>
                <w:rFonts w:ascii="Garamond" w:eastAsia="Calibri" w:hAnsi="Garamond" w:cs="Calibri"/>
                <w:sz w:val="24"/>
                <w:szCs w:val="24"/>
              </w:rPr>
              <w:t>Maksymalny</w:t>
            </w:r>
            <w:r w:rsidR="0088245C">
              <w:rPr>
                <w:rFonts w:ascii="Garamond" w:eastAsia="Calibri" w:hAnsi="Garamond" w:cs="Calibri"/>
                <w:sz w:val="24"/>
                <w:szCs w:val="24"/>
              </w:rPr>
              <w:t xml:space="preserve"> </w:t>
            </w:r>
            <w:r w:rsidRPr="00AE3F1B">
              <w:rPr>
                <w:rFonts w:ascii="Garamond" w:eastAsia="Calibri" w:hAnsi="Garamond" w:cs="Calibri"/>
                <w:sz w:val="24"/>
                <w:szCs w:val="24"/>
              </w:rPr>
              <w:t>dopuszczalny prąd harmonicznej, wyrażony w % harmonicznej podstawowej prądu</w:t>
            </w:r>
            <w:r w:rsidR="00080FA0" w:rsidRPr="00AE3F1B">
              <w:rPr>
                <w:rFonts w:ascii="Garamond" w:eastAsia="Calibri" w:hAnsi="Garamond" w:cs="Calibri"/>
                <w:sz w:val="24"/>
                <w:szCs w:val="24"/>
              </w:rPr>
              <w:t xml:space="preserve"> zasilającego %</w:t>
            </w:r>
          </w:p>
        </w:tc>
      </w:tr>
      <w:tr w:rsidR="00F50172" w:rsidRPr="00AE3F1B" w14:paraId="22658A79" w14:textId="77777777" w:rsidTr="00051C84">
        <w:trPr>
          <w:trHeight w:val="451"/>
        </w:trPr>
        <w:tc>
          <w:tcPr>
            <w:tcW w:w="3011" w:type="dxa"/>
            <w:tcBorders>
              <w:top w:val="single" w:sz="2" w:space="0" w:color="000000"/>
              <w:left w:val="single" w:sz="2" w:space="0" w:color="000000"/>
              <w:bottom w:val="single" w:sz="2" w:space="0" w:color="000000"/>
              <w:right w:val="single" w:sz="2" w:space="0" w:color="000000"/>
            </w:tcBorders>
            <w:vAlign w:val="center"/>
          </w:tcPr>
          <w:p w14:paraId="004E5BC1" w14:textId="77777777" w:rsidR="00F50172" w:rsidRPr="00AE3F1B" w:rsidRDefault="00F50172" w:rsidP="00051C84">
            <w:pPr>
              <w:spacing w:after="100" w:afterAutospacing="1"/>
              <w:ind w:right="-6"/>
              <w:jc w:val="center"/>
              <w:rPr>
                <w:rFonts w:ascii="Garamond" w:hAnsi="Garamond"/>
                <w:sz w:val="24"/>
                <w:szCs w:val="24"/>
              </w:rPr>
            </w:pPr>
            <w:r w:rsidRPr="00AE3F1B">
              <w:rPr>
                <w:rFonts w:ascii="Garamond" w:eastAsia="Calibri" w:hAnsi="Garamond" w:cs="Calibri"/>
                <w:sz w:val="24"/>
                <w:szCs w:val="24"/>
              </w:rPr>
              <w:t>3</w:t>
            </w:r>
          </w:p>
        </w:tc>
        <w:tc>
          <w:tcPr>
            <w:tcW w:w="4077" w:type="dxa"/>
            <w:tcBorders>
              <w:top w:val="single" w:sz="2" w:space="0" w:color="000000"/>
              <w:left w:val="single" w:sz="2" w:space="0" w:color="000000"/>
              <w:bottom w:val="single" w:sz="2" w:space="0" w:color="000000"/>
              <w:right w:val="single" w:sz="2" w:space="0" w:color="000000"/>
            </w:tcBorders>
            <w:vAlign w:val="center"/>
          </w:tcPr>
          <w:p w14:paraId="5922AD77" w14:textId="77777777" w:rsidR="00F50172" w:rsidRPr="00AE3F1B" w:rsidRDefault="00F50172" w:rsidP="00051C84">
            <w:pPr>
              <w:spacing w:after="100" w:afterAutospacing="1"/>
              <w:ind w:right="-6"/>
              <w:jc w:val="center"/>
              <w:rPr>
                <w:rFonts w:ascii="Garamond" w:hAnsi="Garamond"/>
                <w:sz w:val="24"/>
                <w:szCs w:val="24"/>
              </w:rPr>
            </w:pPr>
            <w:r w:rsidRPr="00AE3F1B">
              <w:rPr>
                <w:rFonts w:ascii="Garamond" w:eastAsia="Calibri" w:hAnsi="Garamond" w:cs="Calibri"/>
                <w:sz w:val="24"/>
                <w:szCs w:val="24"/>
              </w:rPr>
              <w:t>21,6</w:t>
            </w:r>
          </w:p>
        </w:tc>
      </w:tr>
      <w:tr w:rsidR="00F50172" w:rsidRPr="00AE3F1B" w14:paraId="71A66572" w14:textId="77777777" w:rsidTr="00051C84">
        <w:trPr>
          <w:trHeight w:val="451"/>
        </w:trPr>
        <w:tc>
          <w:tcPr>
            <w:tcW w:w="3011" w:type="dxa"/>
            <w:tcBorders>
              <w:top w:val="single" w:sz="2" w:space="0" w:color="000000"/>
              <w:left w:val="single" w:sz="2" w:space="0" w:color="000000"/>
              <w:bottom w:val="single" w:sz="2" w:space="0" w:color="000000"/>
              <w:right w:val="single" w:sz="2" w:space="0" w:color="000000"/>
            </w:tcBorders>
            <w:vAlign w:val="center"/>
          </w:tcPr>
          <w:p w14:paraId="2C7DF676" w14:textId="77777777" w:rsidR="00F50172" w:rsidRPr="00AE3F1B" w:rsidRDefault="00F50172" w:rsidP="00051C84">
            <w:pPr>
              <w:spacing w:after="100" w:afterAutospacing="1"/>
              <w:ind w:right="-6"/>
              <w:jc w:val="center"/>
              <w:rPr>
                <w:rFonts w:ascii="Garamond" w:hAnsi="Garamond"/>
                <w:sz w:val="24"/>
                <w:szCs w:val="24"/>
              </w:rPr>
            </w:pPr>
            <w:r w:rsidRPr="00AE3F1B">
              <w:rPr>
                <w:rFonts w:ascii="Garamond" w:eastAsia="Calibri" w:hAnsi="Garamond" w:cs="Calibri"/>
                <w:sz w:val="24"/>
                <w:szCs w:val="24"/>
              </w:rPr>
              <w:t>5</w:t>
            </w:r>
          </w:p>
        </w:tc>
        <w:tc>
          <w:tcPr>
            <w:tcW w:w="4077" w:type="dxa"/>
            <w:tcBorders>
              <w:top w:val="single" w:sz="2" w:space="0" w:color="000000"/>
              <w:left w:val="single" w:sz="2" w:space="0" w:color="000000"/>
              <w:bottom w:val="single" w:sz="2" w:space="0" w:color="000000"/>
              <w:right w:val="single" w:sz="2" w:space="0" w:color="000000"/>
            </w:tcBorders>
            <w:vAlign w:val="center"/>
          </w:tcPr>
          <w:p w14:paraId="7764D0AD" w14:textId="77777777" w:rsidR="00F50172" w:rsidRPr="00AE3F1B" w:rsidRDefault="00F50172" w:rsidP="00051C84">
            <w:pPr>
              <w:spacing w:after="100" w:afterAutospacing="1"/>
              <w:ind w:right="-6"/>
              <w:jc w:val="center"/>
              <w:rPr>
                <w:rFonts w:ascii="Garamond" w:hAnsi="Garamond"/>
                <w:sz w:val="24"/>
                <w:szCs w:val="24"/>
              </w:rPr>
            </w:pPr>
            <w:r w:rsidRPr="00AE3F1B">
              <w:rPr>
                <w:rFonts w:ascii="Garamond" w:eastAsia="Calibri" w:hAnsi="Garamond" w:cs="Calibri"/>
                <w:sz w:val="24"/>
                <w:szCs w:val="24"/>
              </w:rPr>
              <w:t>10,7</w:t>
            </w:r>
          </w:p>
        </w:tc>
      </w:tr>
      <w:tr w:rsidR="00F50172" w:rsidRPr="00AE3F1B" w14:paraId="3EF304DB" w14:textId="77777777" w:rsidTr="00051C84">
        <w:trPr>
          <w:trHeight w:val="451"/>
        </w:trPr>
        <w:tc>
          <w:tcPr>
            <w:tcW w:w="3011" w:type="dxa"/>
            <w:tcBorders>
              <w:top w:val="single" w:sz="2" w:space="0" w:color="000000"/>
              <w:left w:val="single" w:sz="2" w:space="0" w:color="000000"/>
              <w:bottom w:val="single" w:sz="2" w:space="0" w:color="000000"/>
              <w:right w:val="single" w:sz="2" w:space="0" w:color="000000"/>
            </w:tcBorders>
            <w:vAlign w:val="center"/>
          </w:tcPr>
          <w:p w14:paraId="178EB623" w14:textId="77777777" w:rsidR="00F50172" w:rsidRPr="00AE3F1B" w:rsidRDefault="00F50172" w:rsidP="00051C84">
            <w:pPr>
              <w:spacing w:after="100" w:afterAutospacing="1"/>
              <w:ind w:right="-6"/>
              <w:jc w:val="center"/>
              <w:rPr>
                <w:rFonts w:ascii="Garamond" w:hAnsi="Garamond"/>
                <w:sz w:val="24"/>
                <w:szCs w:val="24"/>
              </w:rPr>
            </w:pPr>
            <w:r w:rsidRPr="00AE3F1B">
              <w:rPr>
                <w:rFonts w:ascii="Garamond" w:eastAsia="Calibri" w:hAnsi="Garamond" w:cs="Calibri"/>
                <w:sz w:val="24"/>
                <w:szCs w:val="24"/>
              </w:rPr>
              <w:t>7</w:t>
            </w:r>
          </w:p>
        </w:tc>
        <w:tc>
          <w:tcPr>
            <w:tcW w:w="4077" w:type="dxa"/>
            <w:tcBorders>
              <w:top w:val="single" w:sz="2" w:space="0" w:color="000000"/>
              <w:left w:val="single" w:sz="2" w:space="0" w:color="000000"/>
              <w:bottom w:val="single" w:sz="2" w:space="0" w:color="000000"/>
              <w:right w:val="single" w:sz="2" w:space="0" w:color="000000"/>
            </w:tcBorders>
            <w:vAlign w:val="center"/>
          </w:tcPr>
          <w:p w14:paraId="58EE0998" w14:textId="77777777" w:rsidR="00F50172" w:rsidRPr="00AE3F1B" w:rsidRDefault="00F50172" w:rsidP="00051C84">
            <w:pPr>
              <w:spacing w:after="100" w:afterAutospacing="1"/>
              <w:ind w:right="-6"/>
              <w:jc w:val="center"/>
              <w:rPr>
                <w:rFonts w:ascii="Garamond" w:hAnsi="Garamond"/>
                <w:sz w:val="24"/>
                <w:szCs w:val="24"/>
              </w:rPr>
            </w:pPr>
            <w:r w:rsidRPr="00AE3F1B">
              <w:rPr>
                <w:rFonts w:ascii="Garamond" w:eastAsia="Calibri" w:hAnsi="Garamond" w:cs="Calibri"/>
                <w:sz w:val="24"/>
                <w:szCs w:val="24"/>
              </w:rPr>
              <w:t>7,2</w:t>
            </w:r>
          </w:p>
        </w:tc>
      </w:tr>
      <w:tr w:rsidR="00F50172" w:rsidRPr="00AE3F1B" w14:paraId="7289353A" w14:textId="77777777" w:rsidTr="00051C84">
        <w:trPr>
          <w:trHeight w:val="451"/>
        </w:trPr>
        <w:tc>
          <w:tcPr>
            <w:tcW w:w="3011" w:type="dxa"/>
            <w:tcBorders>
              <w:top w:val="single" w:sz="2" w:space="0" w:color="000000"/>
              <w:left w:val="single" w:sz="2" w:space="0" w:color="000000"/>
              <w:bottom w:val="single" w:sz="2" w:space="0" w:color="000000"/>
              <w:right w:val="single" w:sz="2" w:space="0" w:color="000000"/>
            </w:tcBorders>
            <w:vAlign w:val="center"/>
          </w:tcPr>
          <w:p w14:paraId="0C0E09F9" w14:textId="77777777" w:rsidR="00F50172" w:rsidRPr="00AE3F1B" w:rsidRDefault="00F50172" w:rsidP="00051C84">
            <w:pPr>
              <w:spacing w:after="100" w:afterAutospacing="1"/>
              <w:ind w:right="-6"/>
              <w:jc w:val="center"/>
              <w:rPr>
                <w:rFonts w:ascii="Garamond" w:hAnsi="Garamond"/>
                <w:sz w:val="24"/>
                <w:szCs w:val="24"/>
              </w:rPr>
            </w:pPr>
            <w:r w:rsidRPr="00AE3F1B">
              <w:rPr>
                <w:rFonts w:ascii="Garamond" w:eastAsia="Calibri" w:hAnsi="Garamond" w:cs="Calibri"/>
                <w:sz w:val="24"/>
                <w:szCs w:val="24"/>
              </w:rPr>
              <w:t>9</w:t>
            </w:r>
          </w:p>
        </w:tc>
        <w:tc>
          <w:tcPr>
            <w:tcW w:w="4077" w:type="dxa"/>
            <w:tcBorders>
              <w:top w:val="single" w:sz="2" w:space="0" w:color="000000"/>
              <w:left w:val="single" w:sz="2" w:space="0" w:color="000000"/>
              <w:bottom w:val="single" w:sz="2" w:space="0" w:color="000000"/>
              <w:right w:val="single" w:sz="2" w:space="0" w:color="000000"/>
            </w:tcBorders>
            <w:vAlign w:val="center"/>
          </w:tcPr>
          <w:p w14:paraId="11A142B8" w14:textId="77777777" w:rsidR="00F50172" w:rsidRPr="00AE3F1B" w:rsidRDefault="00F50172" w:rsidP="00051C84">
            <w:pPr>
              <w:spacing w:after="100" w:afterAutospacing="1"/>
              <w:ind w:right="-6"/>
              <w:jc w:val="center"/>
              <w:rPr>
                <w:rFonts w:ascii="Garamond" w:hAnsi="Garamond"/>
                <w:sz w:val="24"/>
                <w:szCs w:val="24"/>
              </w:rPr>
            </w:pPr>
            <w:r w:rsidRPr="00AE3F1B">
              <w:rPr>
                <w:rFonts w:ascii="Garamond" w:eastAsia="Calibri" w:hAnsi="Garamond" w:cs="Calibri"/>
                <w:sz w:val="24"/>
                <w:szCs w:val="24"/>
              </w:rPr>
              <w:t>3,8</w:t>
            </w:r>
          </w:p>
        </w:tc>
      </w:tr>
      <w:tr w:rsidR="00F50172" w:rsidRPr="00AE3F1B" w14:paraId="4098EEEF" w14:textId="77777777" w:rsidTr="00051C84">
        <w:trPr>
          <w:trHeight w:val="451"/>
        </w:trPr>
        <w:tc>
          <w:tcPr>
            <w:tcW w:w="3011" w:type="dxa"/>
            <w:tcBorders>
              <w:top w:val="single" w:sz="2" w:space="0" w:color="000000"/>
              <w:left w:val="single" w:sz="2" w:space="0" w:color="000000"/>
              <w:bottom w:val="single" w:sz="2" w:space="0" w:color="000000"/>
              <w:right w:val="single" w:sz="2" w:space="0" w:color="000000"/>
            </w:tcBorders>
            <w:vAlign w:val="center"/>
          </w:tcPr>
          <w:p w14:paraId="14CBEE9B" w14:textId="77777777" w:rsidR="00F50172" w:rsidRPr="00AE3F1B" w:rsidRDefault="00F50172" w:rsidP="00051C84">
            <w:pPr>
              <w:spacing w:after="100" w:afterAutospacing="1"/>
              <w:ind w:right="-6"/>
              <w:jc w:val="center"/>
              <w:rPr>
                <w:rFonts w:ascii="Garamond" w:hAnsi="Garamond"/>
                <w:sz w:val="24"/>
                <w:szCs w:val="24"/>
              </w:rPr>
            </w:pPr>
            <w:r w:rsidRPr="00AE3F1B">
              <w:rPr>
                <w:rFonts w:ascii="Garamond" w:eastAsia="Calibri" w:hAnsi="Garamond" w:cs="Calibri"/>
                <w:sz w:val="24"/>
                <w:szCs w:val="24"/>
              </w:rPr>
              <w:t>11</w:t>
            </w:r>
          </w:p>
        </w:tc>
        <w:tc>
          <w:tcPr>
            <w:tcW w:w="4077" w:type="dxa"/>
            <w:tcBorders>
              <w:top w:val="single" w:sz="2" w:space="0" w:color="000000"/>
              <w:left w:val="single" w:sz="2" w:space="0" w:color="000000"/>
              <w:bottom w:val="single" w:sz="2" w:space="0" w:color="000000"/>
              <w:right w:val="single" w:sz="2" w:space="0" w:color="000000"/>
            </w:tcBorders>
            <w:vAlign w:val="center"/>
          </w:tcPr>
          <w:p w14:paraId="6E8D5F96" w14:textId="77777777" w:rsidR="00F50172" w:rsidRPr="00AE3F1B" w:rsidRDefault="00F50172" w:rsidP="00051C84">
            <w:pPr>
              <w:spacing w:after="100" w:afterAutospacing="1"/>
              <w:ind w:right="-6"/>
              <w:jc w:val="center"/>
              <w:rPr>
                <w:rFonts w:ascii="Garamond" w:hAnsi="Garamond"/>
                <w:sz w:val="24"/>
                <w:szCs w:val="24"/>
              </w:rPr>
            </w:pPr>
            <w:r w:rsidRPr="00AE3F1B">
              <w:rPr>
                <w:rFonts w:ascii="Garamond" w:eastAsia="Calibri" w:hAnsi="Garamond" w:cs="Calibri"/>
                <w:sz w:val="24"/>
                <w:szCs w:val="24"/>
              </w:rPr>
              <w:t>3,1</w:t>
            </w:r>
          </w:p>
        </w:tc>
      </w:tr>
      <w:tr w:rsidR="00F50172" w:rsidRPr="00AE3F1B" w14:paraId="63E65BE9" w14:textId="77777777" w:rsidTr="00051C84">
        <w:trPr>
          <w:trHeight w:val="451"/>
        </w:trPr>
        <w:tc>
          <w:tcPr>
            <w:tcW w:w="3011" w:type="dxa"/>
            <w:tcBorders>
              <w:top w:val="single" w:sz="2" w:space="0" w:color="000000"/>
              <w:left w:val="single" w:sz="2" w:space="0" w:color="000000"/>
              <w:bottom w:val="single" w:sz="2" w:space="0" w:color="000000"/>
              <w:right w:val="single" w:sz="2" w:space="0" w:color="000000"/>
            </w:tcBorders>
            <w:vAlign w:val="center"/>
          </w:tcPr>
          <w:p w14:paraId="461320F7" w14:textId="77777777" w:rsidR="00F50172" w:rsidRPr="00AE3F1B" w:rsidRDefault="00F50172" w:rsidP="00051C84">
            <w:pPr>
              <w:spacing w:after="100" w:afterAutospacing="1"/>
              <w:ind w:right="-6"/>
              <w:jc w:val="center"/>
              <w:rPr>
                <w:rFonts w:ascii="Garamond" w:hAnsi="Garamond"/>
                <w:sz w:val="24"/>
                <w:szCs w:val="24"/>
              </w:rPr>
            </w:pPr>
            <w:r w:rsidRPr="00AE3F1B">
              <w:rPr>
                <w:rFonts w:ascii="Garamond" w:eastAsia="Calibri" w:hAnsi="Garamond" w:cs="Calibri"/>
                <w:sz w:val="24"/>
                <w:szCs w:val="24"/>
              </w:rPr>
              <w:lastRenderedPageBreak/>
              <w:t>13</w:t>
            </w:r>
          </w:p>
        </w:tc>
        <w:tc>
          <w:tcPr>
            <w:tcW w:w="4077" w:type="dxa"/>
            <w:tcBorders>
              <w:top w:val="single" w:sz="2" w:space="0" w:color="000000"/>
              <w:left w:val="single" w:sz="2" w:space="0" w:color="000000"/>
              <w:bottom w:val="single" w:sz="2" w:space="0" w:color="000000"/>
              <w:right w:val="single" w:sz="2" w:space="0" w:color="000000"/>
            </w:tcBorders>
            <w:vAlign w:val="center"/>
          </w:tcPr>
          <w:p w14:paraId="66E46AE9" w14:textId="77777777" w:rsidR="00F50172" w:rsidRPr="00AE3F1B" w:rsidRDefault="00F50172" w:rsidP="00051C84">
            <w:pPr>
              <w:spacing w:after="100" w:afterAutospacing="1"/>
              <w:ind w:right="-6"/>
              <w:jc w:val="center"/>
              <w:rPr>
                <w:rFonts w:ascii="Garamond" w:hAnsi="Garamond"/>
                <w:sz w:val="24"/>
                <w:szCs w:val="24"/>
              </w:rPr>
            </w:pPr>
            <w:r w:rsidRPr="00AE3F1B">
              <w:rPr>
                <w:rFonts w:ascii="Garamond" w:eastAsia="Calibri" w:hAnsi="Garamond" w:cs="Calibri"/>
                <w:sz w:val="24"/>
                <w:szCs w:val="24"/>
              </w:rPr>
              <w:t>2</w:t>
            </w:r>
          </w:p>
        </w:tc>
      </w:tr>
      <w:tr w:rsidR="00F50172" w:rsidRPr="00AE3F1B" w14:paraId="48331603" w14:textId="77777777" w:rsidTr="00051C84">
        <w:trPr>
          <w:trHeight w:val="451"/>
        </w:trPr>
        <w:tc>
          <w:tcPr>
            <w:tcW w:w="3011" w:type="dxa"/>
            <w:tcBorders>
              <w:top w:val="single" w:sz="2" w:space="0" w:color="000000"/>
              <w:left w:val="single" w:sz="2" w:space="0" w:color="000000"/>
              <w:bottom w:val="single" w:sz="2" w:space="0" w:color="000000"/>
              <w:right w:val="single" w:sz="2" w:space="0" w:color="000000"/>
            </w:tcBorders>
            <w:vAlign w:val="center"/>
          </w:tcPr>
          <w:p w14:paraId="1760EFBC" w14:textId="77777777" w:rsidR="00F50172" w:rsidRPr="00AE3F1B" w:rsidRDefault="00F50172" w:rsidP="00051C84">
            <w:pPr>
              <w:spacing w:after="100" w:afterAutospacing="1"/>
              <w:ind w:right="-6"/>
              <w:jc w:val="center"/>
              <w:rPr>
                <w:rFonts w:ascii="Garamond" w:hAnsi="Garamond"/>
                <w:sz w:val="24"/>
                <w:szCs w:val="24"/>
              </w:rPr>
            </w:pPr>
            <w:r w:rsidRPr="00AE3F1B">
              <w:rPr>
                <w:rFonts w:ascii="Garamond" w:eastAsia="Calibri" w:hAnsi="Garamond" w:cs="Calibri"/>
                <w:sz w:val="24"/>
                <w:szCs w:val="24"/>
              </w:rPr>
              <w:t>15</w:t>
            </w:r>
          </w:p>
        </w:tc>
        <w:tc>
          <w:tcPr>
            <w:tcW w:w="4077" w:type="dxa"/>
            <w:tcBorders>
              <w:top w:val="single" w:sz="2" w:space="0" w:color="000000"/>
              <w:left w:val="single" w:sz="2" w:space="0" w:color="000000"/>
              <w:bottom w:val="single" w:sz="2" w:space="0" w:color="000000"/>
              <w:right w:val="single" w:sz="2" w:space="0" w:color="000000"/>
            </w:tcBorders>
            <w:vAlign w:val="center"/>
          </w:tcPr>
          <w:p w14:paraId="7CD9BCF6" w14:textId="77777777" w:rsidR="00F50172" w:rsidRPr="00AE3F1B" w:rsidRDefault="00F50172" w:rsidP="00051C84">
            <w:pPr>
              <w:spacing w:after="100" w:afterAutospacing="1"/>
              <w:ind w:right="-6"/>
              <w:jc w:val="center"/>
              <w:rPr>
                <w:rFonts w:ascii="Garamond" w:hAnsi="Garamond"/>
                <w:sz w:val="24"/>
                <w:szCs w:val="24"/>
              </w:rPr>
            </w:pPr>
            <w:r w:rsidRPr="00AE3F1B">
              <w:rPr>
                <w:rFonts w:ascii="Garamond" w:eastAsia="Calibri" w:hAnsi="Garamond" w:cs="Calibri"/>
                <w:sz w:val="24"/>
                <w:szCs w:val="24"/>
              </w:rPr>
              <w:t>0,7</w:t>
            </w:r>
          </w:p>
        </w:tc>
      </w:tr>
      <w:tr w:rsidR="00F50172" w:rsidRPr="00AE3F1B" w14:paraId="52BC2A76" w14:textId="77777777" w:rsidTr="00051C84">
        <w:trPr>
          <w:trHeight w:val="451"/>
        </w:trPr>
        <w:tc>
          <w:tcPr>
            <w:tcW w:w="3011" w:type="dxa"/>
            <w:tcBorders>
              <w:top w:val="single" w:sz="2" w:space="0" w:color="000000"/>
              <w:left w:val="single" w:sz="2" w:space="0" w:color="000000"/>
              <w:bottom w:val="single" w:sz="2" w:space="0" w:color="000000"/>
              <w:right w:val="single" w:sz="2" w:space="0" w:color="000000"/>
            </w:tcBorders>
            <w:vAlign w:val="center"/>
          </w:tcPr>
          <w:p w14:paraId="6AE0599D" w14:textId="77777777" w:rsidR="00F50172" w:rsidRPr="00AE3F1B" w:rsidRDefault="00F50172" w:rsidP="00051C84">
            <w:pPr>
              <w:spacing w:after="100" w:afterAutospacing="1"/>
              <w:ind w:right="-6"/>
              <w:jc w:val="center"/>
              <w:rPr>
                <w:rFonts w:ascii="Garamond" w:hAnsi="Garamond"/>
                <w:sz w:val="24"/>
                <w:szCs w:val="24"/>
              </w:rPr>
            </w:pPr>
            <w:r w:rsidRPr="00AE3F1B">
              <w:rPr>
                <w:rFonts w:ascii="Garamond" w:eastAsia="Calibri" w:hAnsi="Garamond" w:cs="Calibri"/>
                <w:sz w:val="24"/>
                <w:szCs w:val="24"/>
              </w:rPr>
              <w:t>17</w:t>
            </w:r>
          </w:p>
        </w:tc>
        <w:tc>
          <w:tcPr>
            <w:tcW w:w="4077" w:type="dxa"/>
            <w:tcBorders>
              <w:top w:val="single" w:sz="2" w:space="0" w:color="000000"/>
              <w:left w:val="single" w:sz="2" w:space="0" w:color="000000"/>
              <w:bottom w:val="single" w:sz="2" w:space="0" w:color="000000"/>
              <w:right w:val="single" w:sz="2" w:space="0" w:color="000000"/>
            </w:tcBorders>
            <w:vAlign w:val="center"/>
          </w:tcPr>
          <w:p w14:paraId="3BDAC4C9" w14:textId="77777777" w:rsidR="00F50172" w:rsidRPr="00AE3F1B" w:rsidRDefault="00F50172" w:rsidP="00051C84">
            <w:pPr>
              <w:spacing w:after="100" w:afterAutospacing="1"/>
              <w:ind w:right="-6"/>
              <w:jc w:val="center"/>
              <w:rPr>
                <w:rFonts w:ascii="Garamond" w:hAnsi="Garamond"/>
                <w:sz w:val="24"/>
                <w:szCs w:val="24"/>
              </w:rPr>
            </w:pPr>
            <w:r w:rsidRPr="00AE3F1B">
              <w:rPr>
                <w:rFonts w:ascii="Garamond" w:eastAsia="Calibri" w:hAnsi="Garamond" w:cs="Calibri"/>
                <w:sz w:val="24"/>
                <w:szCs w:val="24"/>
              </w:rPr>
              <w:t>1,2</w:t>
            </w:r>
          </w:p>
        </w:tc>
      </w:tr>
      <w:tr w:rsidR="00F50172" w:rsidRPr="00AE3F1B" w14:paraId="56AFF568" w14:textId="77777777" w:rsidTr="00051C84">
        <w:trPr>
          <w:trHeight w:val="451"/>
        </w:trPr>
        <w:tc>
          <w:tcPr>
            <w:tcW w:w="3011" w:type="dxa"/>
            <w:tcBorders>
              <w:top w:val="single" w:sz="2" w:space="0" w:color="000000"/>
              <w:left w:val="single" w:sz="2" w:space="0" w:color="000000"/>
              <w:bottom w:val="single" w:sz="2" w:space="0" w:color="000000"/>
              <w:right w:val="single" w:sz="2" w:space="0" w:color="000000"/>
            </w:tcBorders>
            <w:vAlign w:val="center"/>
          </w:tcPr>
          <w:p w14:paraId="17B5C9BC" w14:textId="77777777" w:rsidR="00F50172" w:rsidRPr="00AE3F1B" w:rsidRDefault="00F50172" w:rsidP="00051C84">
            <w:pPr>
              <w:spacing w:after="100" w:afterAutospacing="1"/>
              <w:ind w:right="-6"/>
              <w:jc w:val="center"/>
              <w:rPr>
                <w:rFonts w:ascii="Garamond" w:hAnsi="Garamond"/>
                <w:sz w:val="24"/>
                <w:szCs w:val="24"/>
              </w:rPr>
            </w:pPr>
            <w:r w:rsidRPr="00AE3F1B">
              <w:rPr>
                <w:rFonts w:ascii="Garamond" w:eastAsia="Calibri" w:hAnsi="Garamond" w:cs="Calibri"/>
                <w:sz w:val="24"/>
                <w:szCs w:val="24"/>
              </w:rPr>
              <w:t>19</w:t>
            </w:r>
          </w:p>
        </w:tc>
        <w:tc>
          <w:tcPr>
            <w:tcW w:w="4077" w:type="dxa"/>
            <w:tcBorders>
              <w:top w:val="single" w:sz="2" w:space="0" w:color="000000"/>
              <w:left w:val="single" w:sz="2" w:space="0" w:color="000000"/>
              <w:bottom w:val="single" w:sz="2" w:space="0" w:color="000000"/>
              <w:right w:val="single" w:sz="2" w:space="0" w:color="000000"/>
            </w:tcBorders>
            <w:vAlign w:val="center"/>
          </w:tcPr>
          <w:p w14:paraId="3408F51C" w14:textId="77777777" w:rsidR="00F50172" w:rsidRPr="00AE3F1B" w:rsidRDefault="00F50172" w:rsidP="00051C84">
            <w:pPr>
              <w:spacing w:after="100" w:afterAutospacing="1"/>
              <w:ind w:right="-6"/>
              <w:jc w:val="center"/>
              <w:rPr>
                <w:rFonts w:ascii="Garamond" w:hAnsi="Garamond"/>
                <w:sz w:val="24"/>
                <w:szCs w:val="24"/>
              </w:rPr>
            </w:pPr>
            <w:r w:rsidRPr="00AE3F1B">
              <w:rPr>
                <w:rFonts w:ascii="Garamond" w:eastAsia="Calibri" w:hAnsi="Garamond" w:cs="Calibri"/>
                <w:sz w:val="24"/>
                <w:szCs w:val="24"/>
              </w:rPr>
              <w:t>1,1</w:t>
            </w:r>
          </w:p>
        </w:tc>
      </w:tr>
      <w:tr w:rsidR="00F50172" w:rsidRPr="00AE3F1B" w14:paraId="605A24C9" w14:textId="77777777" w:rsidTr="00051C84">
        <w:trPr>
          <w:trHeight w:val="451"/>
        </w:trPr>
        <w:tc>
          <w:tcPr>
            <w:tcW w:w="3011" w:type="dxa"/>
            <w:tcBorders>
              <w:top w:val="single" w:sz="2" w:space="0" w:color="000000"/>
              <w:left w:val="single" w:sz="2" w:space="0" w:color="000000"/>
              <w:bottom w:val="single" w:sz="2" w:space="0" w:color="000000"/>
              <w:right w:val="single" w:sz="2" w:space="0" w:color="000000"/>
            </w:tcBorders>
            <w:vAlign w:val="center"/>
          </w:tcPr>
          <w:p w14:paraId="37668680" w14:textId="77777777" w:rsidR="00F50172" w:rsidRPr="00AE3F1B" w:rsidRDefault="00F50172" w:rsidP="00051C84">
            <w:pPr>
              <w:spacing w:after="100" w:afterAutospacing="1"/>
              <w:ind w:right="-6"/>
              <w:jc w:val="center"/>
              <w:rPr>
                <w:rFonts w:ascii="Garamond" w:hAnsi="Garamond"/>
                <w:sz w:val="24"/>
                <w:szCs w:val="24"/>
              </w:rPr>
            </w:pPr>
            <w:r w:rsidRPr="00AE3F1B">
              <w:rPr>
                <w:rFonts w:ascii="Garamond" w:eastAsia="Calibri" w:hAnsi="Garamond" w:cs="Calibri"/>
                <w:sz w:val="24"/>
                <w:szCs w:val="24"/>
              </w:rPr>
              <w:t>21</w:t>
            </w:r>
          </w:p>
        </w:tc>
        <w:tc>
          <w:tcPr>
            <w:tcW w:w="4077" w:type="dxa"/>
            <w:tcBorders>
              <w:top w:val="single" w:sz="2" w:space="0" w:color="000000"/>
              <w:left w:val="single" w:sz="2" w:space="0" w:color="000000"/>
              <w:bottom w:val="single" w:sz="2" w:space="0" w:color="000000"/>
              <w:right w:val="single" w:sz="2" w:space="0" w:color="000000"/>
            </w:tcBorders>
            <w:vAlign w:val="center"/>
          </w:tcPr>
          <w:p w14:paraId="7342AFAB" w14:textId="77777777" w:rsidR="00F50172" w:rsidRPr="00AE3F1B" w:rsidRDefault="00080FA0" w:rsidP="00051C84">
            <w:pPr>
              <w:spacing w:after="100" w:afterAutospacing="1"/>
              <w:ind w:right="-6"/>
              <w:jc w:val="center"/>
              <w:rPr>
                <w:rFonts w:ascii="Garamond" w:hAnsi="Garamond"/>
                <w:sz w:val="24"/>
                <w:szCs w:val="24"/>
              </w:rPr>
            </w:pPr>
            <w:r w:rsidRPr="00AE3F1B">
              <w:rPr>
                <w:rFonts w:ascii="Garamond" w:eastAsia="Calibri" w:hAnsi="Garamond" w:cs="Calibri"/>
                <w:sz w:val="24"/>
                <w:szCs w:val="24"/>
              </w:rPr>
              <w:t>≤ 0</w:t>
            </w:r>
            <w:r w:rsidR="00F50172" w:rsidRPr="00AE3F1B">
              <w:rPr>
                <w:rFonts w:ascii="Garamond" w:eastAsia="Calibri" w:hAnsi="Garamond" w:cs="Calibri"/>
                <w:sz w:val="24"/>
                <w:szCs w:val="24"/>
              </w:rPr>
              <w:t>,6</w:t>
            </w:r>
          </w:p>
        </w:tc>
      </w:tr>
      <w:tr w:rsidR="00F50172" w:rsidRPr="00AE3F1B" w14:paraId="4FE3B6C6" w14:textId="77777777" w:rsidTr="00051C84">
        <w:trPr>
          <w:trHeight w:val="451"/>
        </w:trPr>
        <w:tc>
          <w:tcPr>
            <w:tcW w:w="3011" w:type="dxa"/>
            <w:tcBorders>
              <w:top w:val="single" w:sz="2" w:space="0" w:color="000000"/>
              <w:left w:val="single" w:sz="2" w:space="0" w:color="000000"/>
              <w:bottom w:val="single" w:sz="2" w:space="0" w:color="000000"/>
              <w:right w:val="single" w:sz="2" w:space="0" w:color="000000"/>
            </w:tcBorders>
            <w:vAlign w:val="center"/>
          </w:tcPr>
          <w:p w14:paraId="7D4221FC" w14:textId="77777777" w:rsidR="00F50172" w:rsidRPr="00AE3F1B" w:rsidRDefault="00F50172" w:rsidP="00051C84">
            <w:pPr>
              <w:spacing w:after="100" w:afterAutospacing="1"/>
              <w:ind w:right="-6"/>
              <w:jc w:val="center"/>
              <w:rPr>
                <w:rFonts w:ascii="Garamond" w:hAnsi="Garamond"/>
                <w:sz w:val="24"/>
                <w:szCs w:val="24"/>
              </w:rPr>
            </w:pPr>
            <w:r w:rsidRPr="00AE3F1B">
              <w:rPr>
                <w:rFonts w:ascii="Garamond" w:eastAsia="Calibri" w:hAnsi="Garamond" w:cs="Calibri"/>
                <w:sz w:val="24"/>
                <w:szCs w:val="24"/>
              </w:rPr>
              <w:t>23</w:t>
            </w:r>
          </w:p>
        </w:tc>
        <w:tc>
          <w:tcPr>
            <w:tcW w:w="4077" w:type="dxa"/>
            <w:tcBorders>
              <w:top w:val="single" w:sz="2" w:space="0" w:color="000000"/>
              <w:left w:val="single" w:sz="2" w:space="0" w:color="000000"/>
              <w:bottom w:val="single" w:sz="2" w:space="0" w:color="000000"/>
              <w:right w:val="single" w:sz="2" w:space="0" w:color="000000"/>
            </w:tcBorders>
            <w:vAlign w:val="center"/>
          </w:tcPr>
          <w:p w14:paraId="6D1EC11F" w14:textId="77777777" w:rsidR="00F50172" w:rsidRPr="00AE3F1B" w:rsidRDefault="00F50172" w:rsidP="00051C84">
            <w:pPr>
              <w:spacing w:after="100" w:afterAutospacing="1"/>
              <w:ind w:right="-6"/>
              <w:jc w:val="center"/>
              <w:rPr>
                <w:rFonts w:ascii="Garamond" w:hAnsi="Garamond"/>
                <w:sz w:val="24"/>
                <w:szCs w:val="24"/>
              </w:rPr>
            </w:pPr>
            <w:r w:rsidRPr="00AE3F1B">
              <w:rPr>
                <w:rFonts w:ascii="Garamond" w:eastAsia="Calibri" w:hAnsi="Garamond" w:cs="Calibri"/>
                <w:sz w:val="24"/>
                <w:szCs w:val="24"/>
              </w:rPr>
              <w:t>0,9</w:t>
            </w:r>
          </w:p>
        </w:tc>
      </w:tr>
      <w:tr w:rsidR="00F50172" w:rsidRPr="00AE3F1B" w14:paraId="1D678A56" w14:textId="77777777" w:rsidTr="00051C84">
        <w:trPr>
          <w:trHeight w:val="451"/>
        </w:trPr>
        <w:tc>
          <w:tcPr>
            <w:tcW w:w="3011" w:type="dxa"/>
            <w:tcBorders>
              <w:top w:val="single" w:sz="2" w:space="0" w:color="000000"/>
              <w:left w:val="single" w:sz="2" w:space="0" w:color="000000"/>
              <w:bottom w:val="single" w:sz="2" w:space="0" w:color="000000"/>
              <w:right w:val="single" w:sz="2" w:space="0" w:color="000000"/>
            </w:tcBorders>
            <w:vAlign w:val="center"/>
          </w:tcPr>
          <w:p w14:paraId="6DE7B526" w14:textId="77777777" w:rsidR="00F50172" w:rsidRPr="00AE3F1B" w:rsidRDefault="00F50172" w:rsidP="00051C84">
            <w:pPr>
              <w:spacing w:after="100" w:afterAutospacing="1"/>
              <w:ind w:right="-6"/>
              <w:jc w:val="center"/>
              <w:rPr>
                <w:rFonts w:ascii="Garamond" w:hAnsi="Garamond"/>
                <w:sz w:val="24"/>
                <w:szCs w:val="24"/>
              </w:rPr>
            </w:pPr>
            <w:r w:rsidRPr="00AE3F1B">
              <w:rPr>
                <w:rFonts w:ascii="Garamond" w:eastAsia="Calibri" w:hAnsi="Garamond" w:cs="Calibri"/>
                <w:sz w:val="24"/>
                <w:szCs w:val="24"/>
              </w:rPr>
              <w:t>25</w:t>
            </w:r>
          </w:p>
        </w:tc>
        <w:tc>
          <w:tcPr>
            <w:tcW w:w="4077" w:type="dxa"/>
            <w:tcBorders>
              <w:top w:val="single" w:sz="2" w:space="0" w:color="000000"/>
              <w:left w:val="single" w:sz="2" w:space="0" w:color="000000"/>
              <w:bottom w:val="single" w:sz="2" w:space="0" w:color="000000"/>
              <w:right w:val="single" w:sz="2" w:space="0" w:color="000000"/>
            </w:tcBorders>
            <w:vAlign w:val="center"/>
          </w:tcPr>
          <w:p w14:paraId="6D1D703B" w14:textId="77777777" w:rsidR="00F50172" w:rsidRPr="00AE3F1B" w:rsidRDefault="00080FA0" w:rsidP="00051C84">
            <w:pPr>
              <w:spacing w:after="100" w:afterAutospacing="1"/>
              <w:ind w:right="-6"/>
              <w:jc w:val="center"/>
              <w:rPr>
                <w:rFonts w:ascii="Garamond" w:hAnsi="Garamond"/>
                <w:sz w:val="24"/>
                <w:szCs w:val="24"/>
              </w:rPr>
            </w:pPr>
            <w:r w:rsidRPr="00AE3F1B">
              <w:rPr>
                <w:rFonts w:ascii="Garamond" w:hAnsi="Garamond"/>
                <w:sz w:val="24"/>
                <w:szCs w:val="24"/>
              </w:rPr>
              <w:t>0,8</w:t>
            </w:r>
          </w:p>
        </w:tc>
      </w:tr>
      <w:tr w:rsidR="00F50172" w:rsidRPr="00AE3F1B" w14:paraId="1F84EAFA" w14:textId="77777777" w:rsidTr="00051C84">
        <w:trPr>
          <w:trHeight w:val="451"/>
        </w:trPr>
        <w:tc>
          <w:tcPr>
            <w:tcW w:w="3011" w:type="dxa"/>
            <w:tcBorders>
              <w:top w:val="single" w:sz="2" w:space="0" w:color="000000"/>
              <w:left w:val="single" w:sz="2" w:space="0" w:color="000000"/>
              <w:bottom w:val="single" w:sz="2" w:space="0" w:color="000000"/>
              <w:right w:val="single" w:sz="2" w:space="0" w:color="000000"/>
            </w:tcBorders>
            <w:vAlign w:val="center"/>
          </w:tcPr>
          <w:p w14:paraId="2832C54F" w14:textId="77777777" w:rsidR="00F50172" w:rsidRPr="00AE3F1B" w:rsidRDefault="00F50172" w:rsidP="00051C84">
            <w:pPr>
              <w:spacing w:after="100" w:afterAutospacing="1"/>
              <w:ind w:right="-6"/>
              <w:jc w:val="center"/>
              <w:rPr>
                <w:rFonts w:ascii="Garamond" w:hAnsi="Garamond"/>
                <w:sz w:val="24"/>
                <w:szCs w:val="24"/>
              </w:rPr>
            </w:pPr>
            <w:r w:rsidRPr="00AE3F1B">
              <w:rPr>
                <w:rFonts w:ascii="Garamond" w:eastAsia="Calibri" w:hAnsi="Garamond" w:cs="Calibri"/>
                <w:sz w:val="24"/>
                <w:szCs w:val="24"/>
              </w:rPr>
              <w:t>27</w:t>
            </w:r>
          </w:p>
        </w:tc>
        <w:tc>
          <w:tcPr>
            <w:tcW w:w="4077" w:type="dxa"/>
            <w:tcBorders>
              <w:top w:val="single" w:sz="2" w:space="0" w:color="000000"/>
              <w:left w:val="single" w:sz="2" w:space="0" w:color="000000"/>
              <w:bottom w:val="single" w:sz="2" w:space="0" w:color="000000"/>
              <w:right w:val="single" w:sz="2" w:space="0" w:color="000000"/>
            </w:tcBorders>
            <w:vAlign w:val="center"/>
          </w:tcPr>
          <w:p w14:paraId="3EC826CA" w14:textId="77777777" w:rsidR="00F50172" w:rsidRPr="00AE3F1B" w:rsidRDefault="00080FA0" w:rsidP="00051C84">
            <w:pPr>
              <w:spacing w:after="100" w:afterAutospacing="1"/>
              <w:ind w:right="-6"/>
              <w:jc w:val="center"/>
              <w:rPr>
                <w:rFonts w:ascii="Garamond" w:hAnsi="Garamond"/>
                <w:sz w:val="24"/>
                <w:szCs w:val="24"/>
              </w:rPr>
            </w:pPr>
            <w:r w:rsidRPr="00AE3F1B">
              <w:rPr>
                <w:rFonts w:ascii="Garamond" w:hAnsi="Garamond"/>
                <w:sz w:val="24"/>
                <w:szCs w:val="24"/>
              </w:rPr>
              <w:t>≤ 0,6</w:t>
            </w:r>
          </w:p>
        </w:tc>
      </w:tr>
      <w:tr w:rsidR="00F50172" w:rsidRPr="00AE3F1B" w14:paraId="1C23FFA2" w14:textId="77777777" w:rsidTr="00051C84">
        <w:trPr>
          <w:trHeight w:val="451"/>
        </w:trPr>
        <w:tc>
          <w:tcPr>
            <w:tcW w:w="3011" w:type="dxa"/>
            <w:tcBorders>
              <w:top w:val="single" w:sz="2" w:space="0" w:color="000000"/>
              <w:left w:val="single" w:sz="2" w:space="0" w:color="000000"/>
              <w:bottom w:val="single" w:sz="2" w:space="0" w:color="000000"/>
              <w:right w:val="single" w:sz="2" w:space="0" w:color="000000"/>
            </w:tcBorders>
            <w:vAlign w:val="center"/>
          </w:tcPr>
          <w:p w14:paraId="49373942" w14:textId="77777777" w:rsidR="00F50172" w:rsidRPr="00AE3F1B" w:rsidRDefault="00F50172" w:rsidP="00051C84">
            <w:pPr>
              <w:spacing w:after="100" w:afterAutospacing="1"/>
              <w:ind w:right="-6"/>
              <w:jc w:val="center"/>
              <w:rPr>
                <w:rFonts w:ascii="Garamond" w:hAnsi="Garamond"/>
                <w:sz w:val="24"/>
                <w:szCs w:val="24"/>
              </w:rPr>
            </w:pPr>
            <w:r w:rsidRPr="00AE3F1B">
              <w:rPr>
                <w:rFonts w:ascii="Garamond" w:eastAsia="Calibri" w:hAnsi="Garamond" w:cs="Calibri"/>
                <w:sz w:val="24"/>
                <w:szCs w:val="24"/>
              </w:rPr>
              <w:t>29</w:t>
            </w:r>
          </w:p>
        </w:tc>
        <w:tc>
          <w:tcPr>
            <w:tcW w:w="4077" w:type="dxa"/>
            <w:tcBorders>
              <w:top w:val="single" w:sz="2" w:space="0" w:color="000000"/>
              <w:left w:val="single" w:sz="2" w:space="0" w:color="000000"/>
              <w:bottom w:val="single" w:sz="2" w:space="0" w:color="000000"/>
              <w:right w:val="single" w:sz="2" w:space="0" w:color="000000"/>
            </w:tcBorders>
            <w:vAlign w:val="center"/>
          </w:tcPr>
          <w:p w14:paraId="669C7AE8" w14:textId="77777777" w:rsidR="00F50172" w:rsidRPr="00AE3F1B" w:rsidRDefault="00080FA0" w:rsidP="00051C84">
            <w:pPr>
              <w:spacing w:after="100" w:afterAutospacing="1"/>
              <w:ind w:right="-6"/>
              <w:jc w:val="center"/>
              <w:rPr>
                <w:rFonts w:ascii="Garamond" w:hAnsi="Garamond"/>
                <w:sz w:val="24"/>
                <w:szCs w:val="24"/>
              </w:rPr>
            </w:pPr>
            <w:r w:rsidRPr="00AE3F1B">
              <w:rPr>
                <w:rFonts w:ascii="Garamond" w:hAnsi="Garamond"/>
                <w:sz w:val="24"/>
                <w:szCs w:val="24"/>
              </w:rPr>
              <w:t>0,7</w:t>
            </w:r>
          </w:p>
        </w:tc>
      </w:tr>
      <w:tr w:rsidR="00F50172" w:rsidRPr="00AE3F1B" w14:paraId="7EBAFE2D" w14:textId="77777777" w:rsidTr="00051C84">
        <w:trPr>
          <w:trHeight w:val="451"/>
        </w:trPr>
        <w:tc>
          <w:tcPr>
            <w:tcW w:w="3011" w:type="dxa"/>
            <w:tcBorders>
              <w:top w:val="single" w:sz="2" w:space="0" w:color="000000"/>
              <w:left w:val="single" w:sz="2" w:space="0" w:color="000000"/>
              <w:bottom w:val="single" w:sz="2" w:space="0" w:color="000000"/>
              <w:right w:val="single" w:sz="2" w:space="0" w:color="000000"/>
            </w:tcBorders>
            <w:vAlign w:val="center"/>
          </w:tcPr>
          <w:p w14:paraId="2C12AC2A" w14:textId="77777777" w:rsidR="00F50172" w:rsidRPr="00AE3F1B" w:rsidRDefault="00F50172" w:rsidP="00051C84">
            <w:pPr>
              <w:spacing w:after="100" w:afterAutospacing="1"/>
              <w:ind w:right="-6"/>
              <w:jc w:val="center"/>
              <w:rPr>
                <w:rFonts w:ascii="Garamond" w:hAnsi="Garamond"/>
                <w:sz w:val="24"/>
                <w:szCs w:val="24"/>
              </w:rPr>
            </w:pPr>
            <w:r w:rsidRPr="00AE3F1B">
              <w:rPr>
                <w:rFonts w:ascii="Garamond" w:eastAsia="Calibri" w:hAnsi="Garamond" w:cs="Calibri"/>
                <w:sz w:val="24"/>
                <w:szCs w:val="24"/>
              </w:rPr>
              <w:t>31</w:t>
            </w:r>
          </w:p>
        </w:tc>
        <w:tc>
          <w:tcPr>
            <w:tcW w:w="4077" w:type="dxa"/>
            <w:tcBorders>
              <w:top w:val="single" w:sz="2" w:space="0" w:color="000000"/>
              <w:left w:val="single" w:sz="2" w:space="0" w:color="000000"/>
              <w:bottom w:val="single" w:sz="2" w:space="0" w:color="000000"/>
              <w:right w:val="single" w:sz="2" w:space="0" w:color="000000"/>
            </w:tcBorders>
            <w:vAlign w:val="center"/>
          </w:tcPr>
          <w:p w14:paraId="63639794" w14:textId="77777777" w:rsidR="00F50172" w:rsidRPr="00AE3F1B" w:rsidRDefault="00F50172" w:rsidP="00051C84">
            <w:pPr>
              <w:spacing w:after="100" w:afterAutospacing="1"/>
              <w:ind w:right="-6"/>
              <w:jc w:val="center"/>
              <w:rPr>
                <w:rFonts w:ascii="Garamond" w:hAnsi="Garamond"/>
                <w:sz w:val="24"/>
                <w:szCs w:val="24"/>
              </w:rPr>
            </w:pPr>
            <w:r w:rsidRPr="00AE3F1B">
              <w:rPr>
                <w:rFonts w:ascii="Garamond" w:eastAsia="Calibri" w:hAnsi="Garamond" w:cs="Calibri"/>
                <w:sz w:val="24"/>
                <w:szCs w:val="24"/>
              </w:rPr>
              <w:t>0,7</w:t>
            </w:r>
          </w:p>
        </w:tc>
      </w:tr>
      <w:tr w:rsidR="00F50172" w:rsidRPr="00AE3F1B" w14:paraId="1856CAFD" w14:textId="77777777" w:rsidTr="00051C84">
        <w:trPr>
          <w:trHeight w:val="452"/>
        </w:trPr>
        <w:tc>
          <w:tcPr>
            <w:tcW w:w="3011" w:type="dxa"/>
            <w:tcBorders>
              <w:top w:val="single" w:sz="2" w:space="0" w:color="000000"/>
              <w:left w:val="single" w:sz="2" w:space="0" w:color="000000"/>
              <w:bottom w:val="single" w:sz="2" w:space="0" w:color="000000"/>
              <w:right w:val="single" w:sz="2" w:space="0" w:color="000000"/>
            </w:tcBorders>
            <w:vAlign w:val="center"/>
          </w:tcPr>
          <w:p w14:paraId="66B5F663" w14:textId="77777777" w:rsidR="00F50172" w:rsidRPr="00AE3F1B" w:rsidRDefault="00080FA0" w:rsidP="00051C84">
            <w:pPr>
              <w:spacing w:after="100" w:afterAutospacing="1"/>
              <w:ind w:right="-6"/>
              <w:jc w:val="center"/>
              <w:rPr>
                <w:rFonts w:ascii="Garamond" w:hAnsi="Garamond"/>
                <w:sz w:val="24"/>
                <w:szCs w:val="24"/>
              </w:rPr>
            </w:pPr>
            <w:r w:rsidRPr="00AE3F1B">
              <w:rPr>
                <w:rFonts w:ascii="Garamond" w:eastAsia="Calibri" w:hAnsi="Garamond" w:cs="Calibri"/>
                <w:sz w:val="24"/>
                <w:szCs w:val="24"/>
              </w:rPr>
              <w:t xml:space="preserve">≥ </w:t>
            </w:r>
            <w:r w:rsidR="00F50172" w:rsidRPr="00AE3F1B">
              <w:rPr>
                <w:rFonts w:ascii="Garamond" w:eastAsia="Calibri" w:hAnsi="Garamond" w:cs="Calibri"/>
                <w:sz w:val="24"/>
                <w:szCs w:val="24"/>
              </w:rPr>
              <w:t>33</w:t>
            </w:r>
          </w:p>
        </w:tc>
        <w:tc>
          <w:tcPr>
            <w:tcW w:w="4077" w:type="dxa"/>
            <w:tcBorders>
              <w:top w:val="single" w:sz="2" w:space="0" w:color="000000"/>
              <w:left w:val="single" w:sz="2" w:space="0" w:color="000000"/>
              <w:bottom w:val="single" w:sz="2" w:space="0" w:color="000000"/>
              <w:right w:val="single" w:sz="2" w:space="0" w:color="000000"/>
            </w:tcBorders>
            <w:vAlign w:val="center"/>
          </w:tcPr>
          <w:p w14:paraId="6DBA1F7C" w14:textId="77777777" w:rsidR="00F50172" w:rsidRPr="00AE3F1B" w:rsidRDefault="00080FA0" w:rsidP="00051C84">
            <w:pPr>
              <w:spacing w:after="100" w:afterAutospacing="1"/>
              <w:ind w:right="-6"/>
              <w:jc w:val="center"/>
              <w:rPr>
                <w:rFonts w:ascii="Garamond" w:hAnsi="Garamond"/>
                <w:sz w:val="24"/>
                <w:szCs w:val="24"/>
              </w:rPr>
            </w:pPr>
            <w:r w:rsidRPr="00AE3F1B">
              <w:rPr>
                <w:rFonts w:ascii="Garamond" w:eastAsia="Calibri" w:hAnsi="Garamond" w:cs="Calibri"/>
                <w:sz w:val="24"/>
                <w:szCs w:val="24"/>
              </w:rPr>
              <w:t xml:space="preserve">≤ </w:t>
            </w:r>
            <w:r w:rsidR="00405E03" w:rsidRPr="00AE3F1B">
              <w:rPr>
                <w:rFonts w:ascii="Garamond" w:eastAsia="Calibri" w:hAnsi="Garamond" w:cs="Calibri"/>
                <w:sz w:val="24"/>
                <w:szCs w:val="24"/>
              </w:rPr>
              <w:t>0</w:t>
            </w:r>
            <w:r w:rsidR="00F50172" w:rsidRPr="00AE3F1B">
              <w:rPr>
                <w:rFonts w:ascii="Garamond" w:eastAsia="Calibri" w:hAnsi="Garamond" w:cs="Calibri"/>
                <w:sz w:val="24"/>
                <w:szCs w:val="24"/>
              </w:rPr>
              <w:t>,6</w:t>
            </w:r>
          </w:p>
        </w:tc>
      </w:tr>
    </w:tbl>
    <w:p w14:paraId="54B617F6" w14:textId="77777777" w:rsidR="00080FA0" w:rsidRDefault="00080FA0" w:rsidP="00175586">
      <w:pPr>
        <w:spacing w:after="0" w:line="259" w:lineRule="auto"/>
        <w:ind w:left="567" w:right="-3" w:hanging="567"/>
        <w:jc w:val="left"/>
        <w:rPr>
          <w:rFonts w:ascii="Garamond" w:hAnsi="Garamond"/>
          <w:sz w:val="24"/>
          <w:szCs w:val="24"/>
        </w:rPr>
      </w:pPr>
    </w:p>
    <w:p w14:paraId="68C22037" w14:textId="77777777" w:rsidR="00F50172" w:rsidRPr="00946FD6" w:rsidRDefault="00D355A3" w:rsidP="00175586">
      <w:pPr>
        <w:spacing w:after="196" w:line="237" w:lineRule="auto"/>
        <w:ind w:left="567" w:right="-3" w:hanging="567"/>
        <w:jc w:val="left"/>
        <w:rPr>
          <w:rFonts w:asciiTheme="majorHAnsi" w:hAnsiTheme="majorHAnsi"/>
          <w:sz w:val="24"/>
          <w:szCs w:val="24"/>
        </w:rPr>
      </w:pPr>
      <w:r w:rsidRPr="00946FD6">
        <w:rPr>
          <w:rFonts w:asciiTheme="majorHAnsi" w:eastAsia="Calibri" w:hAnsiTheme="majorHAnsi" w:cs="Calibri"/>
          <w:b/>
          <w:bCs/>
          <w:sz w:val="24"/>
          <w:szCs w:val="24"/>
        </w:rPr>
        <w:t xml:space="preserve">VIII.3. </w:t>
      </w:r>
      <w:r w:rsidR="00594EC0" w:rsidRPr="00946FD6">
        <w:rPr>
          <w:rFonts w:asciiTheme="majorHAnsi" w:eastAsia="Calibri" w:hAnsiTheme="majorHAnsi" w:cs="Calibri"/>
          <w:b/>
          <w:bCs/>
          <w:sz w:val="24"/>
          <w:szCs w:val="24"/>
        </w:rPr>
        <w:t xml:space="preserve">Wskaźniki jakości i niezawodności dostaw energii elektrycznej </w:t>
      </w:r>
    </w:p>
    <w:p w14:paraId="7A5AD4BD" w14:textId="77777777" w:rsidR="00F50172" w:rsidRPr="00AE3F1B" w:rsidRDefault="00D355A3" w:rsidP="00175586">
      <w:pPr>
        <w:spacing w:after="161" w:line="253" w:lineRule="auto"/>
        <w:ind w:left="567" w:right="-3" w:hanging="567"/>
        <w:jc w:val="left"/>
        <w:rPr>
          <w:rFonts w:ascii="Garamond" w:hAnsi="Garamond"/>
          <w:sz w:val="24"/>
          <w:szCs w:val="24"/>
        </w:rPr>
      </w:pPr>
      <w:r w:rsidRPr="00AE3F1B">
        <w:rPr>
          <w:rFonts w:ascii="Garamond" w:eastAsia="Calibri" w:hAnsi="Garamond" w:cs="Calibri"/>
          <w:sz w:val="24"/>
          <w:szCs w:val="24"/>
        </w:rPr>
        <w:t xml:space="preserve">VIII.3.1. </w:t>
      </w:r>
      <w:r w:rsidR="00F50172" w:rsidRPr="00AE3F1B">
        <w:rPr>
          <w:rFonts w:ascii="Garamond" w:eastAsia="Calibri" w:hAnsi="Garamond" w:cs="Calibri"/>
          <w:sz w:val="24"/>
          <w:szCs w:val="24"/>
        </w:rPr>
        <w:t>Ustalone są następujące rodzaje przerw w dostarczaniu energii elektrycznej:</w:t>
      </w:r>
    </w:p>
    <w:p w14:paraId="09A0530B" w14:textId="77777777" w:rsidR="00F50172" w:rsidRPr="00051C84" w:rsidRDefault="00D355A3">
      <w:pPr>
        <w:pStyle w:val="Akapitzlist"/>
        <w:numPr>
          <w:ilvl w:val="0"/>
          <w:numId w:val="143"/>
        </w:numPr>
        <w:spacing w:line="253" w:lineRule="auto"/>
        <w:ind w:right="-3"/>
        <w:jc w:val="left"/>
        <w:rPr>
          <w:rFonts w:ascii="Garamond" w:hAnsi="Garamond"/>
          <w:sz w:val="24"/>
          <w:szCs w:val="24"/>
        </w:rPr>
      </w:pPr>
      <w:r w:rsidRPr="00051C84">
        <w:rPr>
          <w:rFonts w:ascii="Garamond" w:eastAsia="Calibri" w:hAnsi="Garamond" w:cs="Calibri"/>
          <w:sz w:val="24"/>
          <w:szCs w:val="24"/>
        </w:rPr>
        <w:t>p</w:t>
      </w:r>
      <w:r w:rsidR="00F50172" w:rsidRPr="00051C84">
        <w:rPr>
          <w:rFonts w:ascii="Garamond" w:eastAsia="Calibri" w:hAnsi="Garamond" w:cs="Calibri"/>
          <w:sz w:val="24"/>
          <w:szCs w:val="24"/>
        </w:rPr>
        <w:t>lanowane</w:t>
      </w:r>
      <w:r w:rsidRPr="00051C84">
        <w:rPr>
          <w:rFonts w:ascii="Garamond" w:eastAsia="Calibri" w:hAnsi="Garamond" w:cs="Calibri"/>
          <w:sz w:val="24"/>
          <w:szCs w:val="24"/>
        </w:rPr>
        <w:t>,</w:t>
      </w:r>
    </w:p>
    <w:p w14:paraId="669E948D" w14:textId="77777777" w:rsidR="00F50172" w:rsidRPr="00051C84" w:rsidRDefault="00D355A3">
      <w:pPr>
        <w:pStyle w:val="Akapitzlist"/>
        <w:numPr>
          <w:ilvl w:val="0"/>
          <w:numId w:val="143"/>
        </w:numPr>
        <w:spacing w:after="177" w:line="253" w:lineRule="auto"/>
        <w:ind w:right="-3"/>
        <w:jc w:val="left"/>
        <w:rPr>
          <w:rFonts w:ascii="Garamond" w:hAnsi="Garamond"/>
          <w:sz w:val="24"/>
          <w:szCs w:val="24"/>
        </w:rPr>
      </w:pPr>
      <w:r w:rsidRPr="00051C84">
        <w:rPr>
          <w:rFonts w:ascii="Garamond" w:eastAsia="Calibri" w:hAnsi="Garamond" w:cs="Calibri"/>
          <w:sz w:val="24"/>
          <w:szCs w:val="24"/>
        </w:rPr>
        <w:t>n</w:t>
      </w:r>
      <w:r w:rsidR="00F50172" w:rsidRPr="00051C84">
        <w:rPr>
          <w:rFonts w:ascii="Garamond" w:eastAsia="Calibri" w:hAnsi="Garamond" w:cs="Calibri"/>
          <w:sz w:val="24"/>
          <w:szCs w:val="24"/>
        </w:rPr>
        <w:t>ieplanowane</w:t>
      </w:r>
      <w:r w:rsidRPr="00051C84">
        <w:rPr>
          <w:rFonts w:ascii="Garamond" w:eastAsia="Calibri" w:hAnsi="Garamond" w:cs="Calibri"/>
          <w:sz w:val="24"/>
          <w:szCs w:val="24"/>
        </w:rPr>
        <w:t>.</w:t>
      </w:r>
    </w:p>
    <w:p w14:paraId="6CB5D0F8" w14:textId="0BD0DFCA" w:rsidR="00F50172" w:rsidRDefault="00D355A3" w:rsidP="00051C84">
      <w:pPr>
        <w:spacing w:after="169" w:line="253" w:lineRule="auto"/>
        <w:ind w:left="360" w:right="-3" w:hanging="360"/>
        <w:jc w:val="left"/>
        <w:rPr>
          <w:rFonts w:ascii="Garamond" w:eastAsia="Calibri" w:hAnsi="Garamond" w:cs="Calibri"/>
          <w:sz w:val="24"/>
          <w:szCs w:val="24"/>
        </w:rPr>
      </w:pPr>
      <w:r w:rsidRPr="00AE3F1B">
        <w:rPr>
          <w:rFonts w:ascii="Garamond" w:eastAsia="Calibri" w:hAnsi="Garamond" w:cs="Calibri"/>
          <w:sz w:val="24"/>
          <w:szCs w:val="24"/>
        </w:rPr>
        <w:t>VIII.3.2.</w:t>
      </w:r>
      <w:r w:rsidR="00051C84">
        <w:rPr>
          <w:rFonts w:ascii="Garamond" w:eastAsia="Calibri" w:hAnsi="Garamond" w:cs="Calibri"/>
          <w:sz w:val="24"/>
          <w:szCs w:val="24"/>
        </w:rPr>
        <w:t xml:space="preserve"> </w:t>
      </w:r>
      <w:r w:rsidR="00F50172" w:rsidRPr="00AE3F1B">
        <w:rPr>
          <w:rFonts w:ascii="Garamond" w:eastAsia="Calibri" w:hAnsi="Garamond" w:cs="Calibri"/>
          <w:sz w:val="24"/>
          <w:szCs w:val="24"/>
        </w:rPr>
        <w:t xml:space="preserve">Przerwy w dostarczaniu energii elektrycznej, w zależności od czasu ich trwania, </w:t>
      </w:r>
      <w:r w:rsidRPr="00AE3F1B">
        <w:rPr>
          <w:rFonts w:ascii="Garamond" w:eastAsia="Calibri" w:hAnsi="Garamond" w:cs="Calibri"/>
          <w:sz w:val="24"/>
          <w:szCs w:val="24"/>
        </w:rPr>
        <w:br/>
      </w:r>
      <w:r w:rsidR="00F50172" w:rsidRPr="00AE3F1B">
        <w:rPr>
          <w:rFonts w:ascii="Garamond" w:eastAsia="Calibri" w:hAnsi="Garamond" w:cs="Calibri"/>
          <w:sz w:val="24"/>
          <w:szCs w:val="24"/>
        </w:rPr>
        <w:t>dzieli się na:</w:t>
      </w:r>
    </w:p>
    <w:p w14:paraId="35D788A2" w14:textId="77777777" w:rsidR="00051C84" w:rsidRPr="00AE3F1B" w:rsidRDefault="00051C84" w:rsidP="00051C84">
      <w:pPr>
        <w:spacing w:after="169" w:line="253" w:lineRule="auto"/>
        <w:ind w:left="360" w:right="-3" w:hanging="360"/>
        <w:jc w:val="left"/>
        <w:rPr>
          <w:rFonts w:ascii="Garamond" w:hAnsi="Garamond"/>
          <w:sz w:val="24"/>
          <w:szCs w:val="24"/>
        </w:rPr>
      </w:pPr>
    </w:p>
    <w:p w14:paraId="161E9B94" w14:textId="77777777" w:rsidR="00F50172" w:rsidRPr="00051C84" w:rsidRDefault="00F50172">
      <w:pPr>
        <w:pStyle w:val="Akapitzlist"/>
        <w:numPr>
          <w:ilvl w:val="0"/>
          <w:numId w:val="144"/>
        </w:numPr>
        <w:spacing w:line="253" w:lineRule="auto"/>
        <w:ind w:right="-3"/>
        <w:jc w:val="left"/>
        <w:rPr>
          <w:rFonts w:ascii="Garamond" w:hAnsi="Garamond"/>
          <w:sz w:val="24"/>
          <w:szCs w:val="24"/>
        </w:rPr>
      </w:pPr>
      <w:r w:rsidRPr="00051C84">
        <w:rPr>
          <w:rFonts w:ascii="Garamond" w:eastAsia="Calibri" w:hAnsi="Garamond" w:cs="Calibri"/>
          <w:sz w:val="24"/>
          <w:szCs w:val="24"/>
        </w:rPr>
        <w:t>przemijające (</w:t>
      </w:r>
      <w:proofErr w:type="spellStart"/>
      <w:r w:rsidRPr="00051C84">
        <w:rPr>
          <w:rFonts w:ascii="Garamond" w:eastAsia="Calibri" w:hAnsi="Garamond" w:cs="Calibri"/>
          <w:sz w:val="24"/>
          <w:szCs w:val="24"/>
        </w:rPr>
        <w:t>mikroprzerwy</w:t>
      </w:r>
      <w:proofErr w:type="spellEnd"/>
      <w:r w:rsidRPr="00051C84">
        <w:rPr>
          <w:rFonts w:ascii="Garamond" w:eastAsia="Calibri" w:hAnsi="Garamond" w:cs="Calibri"/>
          <w:sz w:val="24"/>
          <w:szCs w:val="24"/>
        </w:rPr>
        <w:t>), trwające nie dłużej niż 1 sekundę;</w:t>
      </w:r>
    </w:p>
    <w:p w14:paraId="2F433C62" w14:textId="77777777" w:rsidR="00F50172" w:rsidRPr="00051C84" w:rsidRDefault="00F50172">
      <w:pPr>
        <w:pStyle w:val="Akapitzlist"/>
        <w:keepNext/>
        <w:keepLines/>
        <w:numPr>
          <w:ilvl w:val="0"/>
          <w:numId w:val="144"/>
        </w:numPr>
        <w:spacing w:after="16" w:line="248" w:lineRule="auto"/>
        <w:ind w:right="-3"/>
        <w:jc w:val="left"/>
        <w:outlineLvl w:val="0"/>
        <w:rPr>
          <w:rFonts w:ascii="Garamond" w:hAnsi="Garamond"/>
          <w:sz w:val="24"/>
          <w:szCs w:val="24"/>
        </w:rPr>
      </w:pPr>
      <w:bookmarkStart w:id="94" w:name="_Toc171860258"/>
      <w:bookmarkStart w:id="95" w:name="_Toc171860346"/>
      <w:bookmarkStart w:id="96" w:name="_Toc171860881"/>
      <w:bookmarkStart w:id="97" w:name="_Toc171861072"/>
      <w:r w:rsidRPr="00051C84">
        <w:rPr>
          <w:rFonts w:ascii="Garamond" w:eastAsia="Calibri" w:hAnsi="Garamond" w:cs="Calibri"/>
          <w:sz w:val="24"/>
          <w:szCs w:val="24"/>
        </w:rPr>
        <w:t>krótkie, trwające dłużej niż 1 sekundę i nie dłużej niż 3 minuty;</w:t>
      </w:r>
      <w:bookmarkEnd w:id="94"/>
      <w:bookmarkEnd w:id="95"/>
      <w:bookmarkEnd w:id="96"/>
      <w:bookmarkEnd w:id="97"/>
    </w:p>
    <w:p w14:paraId="4170373F" w14:textId="77777777" w:rsidR="00F50172" w:rsidRPr="00051C84" w:rsidRDefault="00F50172">
      <w:pPr>
        <w:pStyle w:val="Akapitzlist"/>
        <w:numPr>
          <w:ilvl w:val="0"/>
          <w:numId w:val="144"/>
        </w:numPr>
        <w:spacing w:line="253" w:lineRule="auto"/>
        <w:ind w:right="-3"/>
        <w:jc w:val="left"/>
        <w:rPr>
          <w:rFonts w:ascii="Garamond" w:hAnsi="Garamond"/>
          <w:sz w:val="24"/>
          <w:szCs w:val="24"/>
        </w:rPr>
      </w:pPr>
      <w:r w:rsidRPr="00051C84">
        <w:rPr>
          <w:rFonts w:ascii="Garamond" w:eastAsia="Calibri" w:hAnsi="Garamond" w:cs="Calibri"/>
          <w:sz w:val="24"/>
          <w:szCs w:val="24"/>
        </w:rPr>
        <w:t>długie, trwające dłużej niż 3 minuty i nie dłużej niż 12 godzin;</w:t>
      </w:r>
    </w:p>
    <w:p w14:paraId="090435D8" w14:textId="77777777" w:rsidR="00D355A3" w:rsidRPr="00051C84" w:rsidRDefault="00F50172">
      <w:pPr>
        <w:pStyle w:val="Akapitzlist"/>
        <w:numPr>
          <w:ilvl w:val="0"/>
          <w:numId w:val="144"/>
        </w:numPr>
        <w:spacing w:after="0" w:line="252" w:lineRule="auto"/>
        <w:ind w:right="-3"/>
        <w:jc w:val="left"/>
        <w:rPr>
          <w:rFonts w:ascii="Garamond" w:hAnsi="Garamond"/>
          <w:sz w:val="24"/>
          <w:szCs w:val="24"/>
        </w:rPr>
      </w:pPr>
      <w:r w:rsidRPr="00051C84">
        <w:rPr>
          <w:rFonts w:ascii="Garamond" w:eastAsia="Calibri" w:hAnsi="Garamond" w:cs="Calibri"/>
          <w:sz w:val="24"/>
          <w:szCs w:val="24"/>
        </w:rPr>
        <w:t>bardzo długie, trwające dłużej niż 12 godzin i nie dłużej niż 24 godziny;</w:t>
      </w:r>
    </w:p>
    <w:p w14:paraId="01925DAA" w14:textId="77777777" w:rsidR="00F50172" w:rsidRPr="00051C84" w:rsidRDefault="00F50172">
      <w:pPr>
        <w:pStyle w:val="Akapitzlist"/>
        <w:numPr>
          <w:ilvl w:val="0"/>
          <w:numId w:val="144"/>
        </w:numPr>
        <w:spacing w:after="138" w:line="253" w:lineRule="auto"/>
        <w:ind w:right="-3"/>
        <w:jc w:val="left"/>
        <w:rPr>
          <w:rFonts w:ascii="Garamond" w:hAnsi="Garamond"/>
          <w:sz w:val="24"/>
          <w:szCs w:val="24"/>
        </w:rPr>
      </w:pPr>
      <w:r w:rsidRPr="00051C84">
        <w:rPr>
          <w:rFonts w:ascii="Garamond" w:eastAsia="Calibri" w:hAnsi="Garamond" w:cs="Calibri"/>
          <w:sz w:val="24"/>
          <w:szCs w:val="24"/>
        </w:rPr>
        <w:t>katastrofalne, trwające dłużej niż 24 godziny.</w:t>
      </w:r>
    </w:p>
    <w:p w14:paraId="671FED17" w14:textId="205AB724" w:rsidR="00D355A3" w:rsidRPr="00AE3F1B" w:rsidRDefault="00051C84" w:rsidP="00051C84">
      <w:pPr>
        <w:spacing w:after="138" w:line="253" w:lineRule="auto"/>
        <w:ind w:left="360" w:right="-3" w:hanging="360"/>
        <w:jc w:val="left"/>
        <w:rPr>
          <w:rFonts w:ascii="Garamond" w:eastAsia="Calibri" w:hAnsi="Garamond" w:cs="Calibri"/>
          <w:sz w:val="24"/>
          <w:szCs w:val="24"/>
        </w:rPr>
      </w:pPr>
      <w:r w:rsidRPr="00AE3F1B">
        <w:rPr>
          <w:rFonts w:ascii="Garamond" w:eastAsia="Calibri" w:hAnsi="Garamond" w:cs="Calibri"/>
          <w:sz w:val="24"/>
          <w:szCs w:val="24"/>
        </w:rPr>
        <w:t xml:space="preserve">VIII.3.3. </w:t>
      </w:r>
      <w:r w:rsidR="00D355A3" w:rsidRPr="00AE3F1B">
        <w:rPr>
          <w:rFonts w:ascii="Garamond" w:eastAsia="Calibri" w:hAnsi="Garamond" w:cs="Calibri"/>
          <w:sz w:val="24"/>
          <w:szCs w:val="24"/>
        </w:rPr>
        <w:t xml:space="preserve">Przerwa planowana, o której odbiorca nie został powiadomiony w formie, o której mowa w </w:t>
      </w:r>
      <w:r w:rsidRPr="00AE3F1B">
        <w:rPr>
          <w:rFonts w:ascii="Garamond" w:eastAsia="Calibri" w:hAnsi="Garamond" w:cs="Calibri"/>
          <w:sz w:val="24"/>
          <w:szCs w:val="24"/>
        </w:rPr>
        <w:t>pkt. VIII</w:t>
      </w:r>
      <w:r w:rsidR="00D355A3" w:rsidRPr="00AE3F1B">
        <w:rPr>
          <w:rFonts w:ascii="Garamond" w:eastAsia="Calibri" w:hAnsi="Garamond" w:cs="Calibri"/>
          <w:sz w:val="24"/>
          <w:szCs w:val="24"/>
        </w:rPr>
        <w:t>.3.1., jest traktowana jako przerwa nieplanowana.</w:t>
      </w:r>
    </w:p>
    <w:p w14:paraId="4ED77D3F" w14:textId="3DC37D13" w:rsidR="0049608F" w:rsidRPr="00AE3F1B" w:rsidRDefault="00051C84" w:rsidP="00051C84">
      <w:pPr>
        <w:spacing w:after="247" w:line="253" w:lineRule="auto"/>
        <w:ind w:left="360" w:right="-3" w:hanging="360"/>
        <w:jc w:val="left"/>
        <w:rPr>
          <w:rFonts w:ascii="Garamond" w:hAnsi="Garamond"/>
          <w:sz w:val="24"/>
          <w:szCs w:val="24"/>
        </w:rPr>
      </w:pPr>
      <w:r w:rsidRPr="00AE3F1B">
        <w:rPr>
          <w:rFonts w:ascii="Garamond" w:eastAsia="Calibri" w:hAnsi="Garamond" w:cs="Calibri"/>
          <w:sz w:val="24"/>
          <w:szCs w:val="24"/>
        </w:rPr>
        <w:t xml:space="preserve">VIII.3.4. </w:t>
      </w:r>
      <w:r w:rsidR="0049608F" w:rsidRPr="00AE3F1B">
        <w:rPr>
          <w:rFonts w:ascii="Garamond" w:eastAsia="Calibri" w:hAnsi="Garamond" w:cs="Calibri"/>
          <w:sz w:val="24"/>
          <w:szCs w:val="24"/>
        </w:rPr>
        <w:t xml:space="preserve">Dla podmiotów zaliczanych do grup przyłączeniowych </w:t>
      </w:r>
      <w:r w:rsidR="00667B3D" w:rsidRPr="00AE3F1B">
        <w:rPr>
          <w:rFonts w:ascii="Garamond" w:eastAsia="Calibri" w:hAnsi="Garamond" w:cs="Calibri"/>
          <w:sz w:val="24"/>
          <w:szCs w:val="24"/>
        </w:rPr>
        <w:t xml:space="preserve">I - </w:t>
      </w:r>
      <w:r w:rsidR="0049608F" w:rsidRPr="00AE3F1B">
        <w:rPr>
          <w:rFonts w:ascii="Garamond" w:eastAsia="Calibri" w:hAnsi="Garamond" w:cs="Calibri"/>
          <w:sz w:val="24"/>
          <w:szCs w:val="24"/>
        </w:rPr>
        <w:t xml:space="preserve">III i VI dopuszczalny czas trwania jednorazowej przerwy planowanej i nieplanowanej w dostarczaniu energii elektrycznej oraz dopuszczalny łączny czas trwania w ciągu roku kalendarzowego wyłączenia planowanego </w:t>
      </w:r>
      <w:r w:rsidR="00667B3D" w:rsidRPr="00AE3F1B">
        <w:rPr>
          <w:rFonts w:ascii="Garamond" w:eastAsia="Calibri" w:hAnsi="Garamond" w:cs="Calibri"/>
          <w:sz w:val="24"/>
          <w:szCs w:val="24"/>
        </w:rPr>
        <w:br/>
      </w:r>
      <w:r w:rsidR="0049608F" w:rsidRPr="00AE3F1B">
        <w:rPr>
          <w:rFonts w:ascii="Garamond" w:eastAsia="Calibri" w:hAnsi="Garamond" w:cs="Calibri"/>
          <w:sz w:val="24"/>
          <w:szCs w:val="24"/>
        </w:rPr>
        <w:t>i nieplanowanego określa umowa o świadczenie usług dystrybucji lub umowa kompleksowa.</w:t>
      </w:r>
    </w:p>
    <w:p w14:paraId="3BECC2C9" w14:textId="3F204AC2" w:rsidR="0049608F" w:rsidRPr="00AE3F1B" w:rsidRDefault="00667B3D" w:rsidP="00175586">
      <w:pPr>
        <w:tabs>
          <w:tab w:val="right" w:pos="9857"/>
        </w:tabs>
        <w:spacing w:line="253" w:lineRule="auto"/>
        <w:ind w:left="567" w:right="-3" w:hanging="567"/>
        <w:jc w:val="left"/>
        <w:rPr>
          <w:rFonts w:ascii="Garamond" w:hAnsi="Garamond"/>
          <w:sz w:val="24"/>
          <w:szCs w:val="24"/>
        </w:rPr>
      </w:pPr>
      <w:r w:rsidRPr="00AE3F1B">
        <w:rPr>
          <w:rFonts w:ascii="Garamond" w:eastAsia="Calibri" w:hAnsi="Garamond" w:cs="Calibri"/>
          <w:sz w:val="24"/>
          <w:szCs w:val="24"/>
        </w:rPr>
        <w:t>VIII.3.5.</w:t>
      </w:r>
      <w:r w:rsidR="00051C84">
        <w:rPr>
          <w:rFonts w:ascii="Garamond" w:eastAsia="Calibri" w:hAnsi="Garamond" w:cs="Calibri"/>
          <w:sz w:val="24"/>
          <w:szCs w:val="24"/>
        </w:rPr>
        <w:t xml:space="preserve"> </w:t>
      </w:r>
      <w:r w:rsidR="0049608F" w:rsidRPr="00AE3F1B">
        <w:rPr>
          <w:rFonts w:ascii="Garamond" w:eastAsia="Calibri" w:hAnsi="Garamond" w:cs="Calibri"/>
          <w:sz w:val="24"/>
          <w:szCs w:val="24"/>
        </w:rPr>
        <w:t>Dla podmiotów zaliczanych do grup przyłączeniowych IV i V dopuszczalny czas trwania:</w:t>
      </w:r>
    </w:p>
    <w:p w14:paraId="04F97E40" w14:textId="77777777" w:rsidR="0049608F" w:rsidRPr="00051C84" w:rsidRDefault="0049608F">
      <w:pPr>
        <w:pStyle w:val="Akapitzlist"/>
        <w:numPr>
          <w:ilvl w:val="0"/>
          <w:numId w:val="145"/>
        </w:numPr>
        <w:spacing w:line="253" w:lineRule="auto"/>
        <w:ind w:right="-3"/>
        <w:jc w:val="left"/>
        <w:rPr>
          <w:rFonts w:ascii="Garamond" w:hAnsi="Garamond"/>
          <w:sz w:val="24"/>
          <w:szCs w:val="24"/>
        </w:rPr>
      </w:pPr>
      <w:r w:rsidRPr="00051C84">
        <w:rPr>
          <w:rFonts w:ascii="Garamond" w:eastAsia="Calibri" w:hAnsi="Garamond" w:cs="Calibri"/>
          <w:sz w:val="24"/>
          <w:szCs w:val="24"/>
        </w:rPr>
        <w:t xml:space="preserve">jednorazowej przerwy w dostarczaniu energii elektrycznej nie przekroczyć </w:t>
      </w:r>
      <w:r w:rsidR="00667B3D" w:rsidRPr="00051C84">
        <w:rPr>
          <w:rFonts w:ascii="Garamond" w:eastAsia="Calibri" w:hAnsi="Garamond" w:cs="Calibri"/>
          <w:sz w:val="24"/>
          <w:szCs w:val="24"/>
        </w:rPr>
        <w:br/>
      </w:r>
      <w:r w:rsidRPr="00051C84">
        <w:rPr>
          <w:rFonts w:ascii="Garamond" w:eastAsia="Calibri" w:hAnsi="Garamond" w:cs="Calibri"/>
          <w:sz w:val="24"/>
          <w:szCs w:val="24"/>
        </w:rPr>
        <w:t>w przypadku:</w:t>
      </w:r>
    </w:p>
    <w:p w14:paraId="726D1FEF" w14:textId="77777777" w:rsidR="0049608F" w:rsidRPr="00051C84" w:rsidRDefault="0049608F">
      <w:pPr>
        <w:pStyle w:val="Akapitzlist"/>
        <w:numPr>
          <w:ilvl w:val="0"/>
          <w:numId w:val="147"/>
        </w:numPr>
        <w:spacing w:line="253" w:lineRule="auto"/>
        <w:ind w:right="-3"/>
        <w:jc w:val="left"/>
        <w:rPr>
          <w:rFonts w:ascii="Garamond" w:hAnsi="Garamond"/>
          <w:sz w:val="24"/>
          <w:szCs w:val="24"/>
        </w:rPr>
      </w:pPr>
      <w:r w:rsidRPr="00051C84">
        <w:rPr>
          <w:rFonts w:ascii="Garamond" w:eastAsia="Calibri" w:hAnsi="Garamond" w:cs="Calibri"/>
          <w:sz w:val="24"/>
          <w:szCs w:val="24"/>
        </w:rPr>
        <w:t>przerwy planowanej 16 godzin,</w:t>
      </w:r>
    </w:p>
    <w:p w14:paraId="5F6F06FD" w14:textId="77777777" w:rsidR="0049608F" w:rsidRPr="00051C84" w:rsidRDefault="0049608F">
      <w:pPr>
        <w:pStyle w:val="Akapitzlist"/>
        <w:numPr>
          <w:ilvl w:val="0"/>
          <w:numId w:val="147"/>
        </w:numPr>
        <w:spacing w:line="253" w:lineRule="auto"/>
        <w:ind w:right="-3"/>
        <w:jc w:val="left"/>
        <w:rPr>
          <w:rFonts w:ascii="Garamond" w:hAnsi="Garamond"/>
          <w:sz w:val="24"/>
          <w:szCs w:val="24"/>
        </w:rPr>
      </w:pPr>
      <w:r w:rsidRPr="00051C84">
        <w:rPr>
          <w:rFonts w:ascii="Garamond" w:eastAsia="Calibri" w:hAnsi="Garamond" w:cs="Calibri"/>
          <w:sz w:val="24"/>
          <w:szCs w:val="24"/>
        </w:rPr>
        <w:lastRenderedPageBreak/>
        <w:t>przerwy nieplanowanej 24 godz.</w:t>
      </w:r>
    </w:p>
    <w:p w14:paraId="416BF8CB" w14:textId="1E5FAF56" w:rsidR="0049608F" w:rsidRPr="00051C84" w:rsidRDefault="0049608F">
      <w:pPr>
        <w:pStyle w:val="Akapitzlist"/>
        <w:numPr>
          <w:ilvl w:val="0"/>
          <w:numId w:val="145"/>
        </w:numPr>
        <w:spacing w:line="253" w:lineRule="auto"/>
        <w:ind w:right="-3"/>
        <w:jc w:val="left"/>
        <w:rPr>
          <w:rFonts w:ascii="Garamond" w:hAnsi="Garamond"/>
          <w:sz w:val="24"/>
          <w:szCs w:val="24"/>
        </w:rPr>
      </w:pPr>
      <w:r w:rsidRPr="00051C84">
        <w:rPr>
          <w:rFonts w:ascii="Garamond" w:eastAsia="Calibri" w:hAnsi="Garamond" w:cs="Calibri"/>
          <w:sz w:val="24"/>
          <w:szCs w:val="24"/>
        </w:rPr>
        <w:t>przerw w ciągu roku, stanowiący sumę czasów</w:t>
      </w:r>
      <w:r w:rsidR="00847EB4" w:rsidRPr="00051C84">
        <w:rPr>
          <w:rFonts w:ascii="Garamond" w:eastAsia="Calibri" w:hAnsi="Garamond" w:cs="Calibri"/>
          <w:sz w:val="24"/>
          <w:szCs w:val="24"/>
        </w:rPr>
        <w:t xml:space="preserve"> </w:t>
      </w:r>
      <w:r w:rsidRPr="00051C84">
        <w:rPr>
          <w:rFonts w:ascii="Garamond" w:eastAsia="Calibri" w:hAnsi="Garamond" w:cs="Calibri"/>
          <w:sz w:val="24"/>
          <w:szCs w:val="24"/>
        </w:rPr>
        <w:t xml:space="preserve">trwania przerw jednorazowych długich </w:t>
      </w:r>
      <w:r w:rsidR="00847EB4" w:rsidRPr="00051C84">
        <w:rPr>
          <w:rFonts w:ascii="Garamond" w:eastAsia="Calibri" w:hAnsi="Garamond" w:cs="Calibri"/>
          <w:sz w:val="24"/>
          <w:szCs w:val="24"/>
        </w:rPr>
        <w:br/>
      </w:r>
      <w:r w:rsidRPr="00051C84">
        <w:rPr>
          <w:rFonts w:ascii="Garamond" w:eastAsia="Calibri" w:hAnsi="Garamond" w:cs="Calibri"/>
          <w:sz w:val="24"/>
          <w:szCs w:val="24"/>
        </w:rPr>
        <w:t>i bardzo długich nie może przekroczyć w przypadku:</w:t>
      </w:r>
    </w:p>
    <w:p w14:paraId="66345843" w14:textId="77777777" w:rsidR="0049608F" w:rsidRPr="00051C84" w:rsidRDefault="0049608F">
      <w:pPr>
        <w:pStyle w:val="Akapitzlist"/>
        <w:numPr>
          <w:ilvl w:val="0"/>
          <w:numId w:val="146"/>
        </w:numPr>
        <w:spacing w:line="253" w:lineRule="auto"/>
        <w:ind w:right="-3"/>
        <w:jc w:val="left"/>
        <w:rPr>
          <w:rFonts w:ascii="Garamond" w:hAnsi="Garamond"/>
          <w:sz w:val="24"/>
          <w:szCs w:val="24"/>
        </w:rPr>
      </w:pPr>
      <w:r w:rsidRPr="00051C84">
        <w:rPr>
          <w:rFonts w:ascii="Garamond" w:eastAsia="Calibri" w:hAnsi="Garamond" w:cs="Calibri"/>
          <w:sz w:val="24"/>
          <w:szCs w:val="24"/>
        </w:rPr>
        <w:t>przerw planowanych 35 godzin,</w:t>
      </w:r>
    </w:p>
    <w:p w14:paraId="012AFE5A" w14:textId="77777777" w:rsidR="0049608F" w:rsidRPr="00051C84" w:rsidRDefault="0049608F">
      <w:pPr>
        <w:pStyle w:val="Akapitzlist"/>
        <w:numPr>
          <w:ilvl w:val="0"/>
          <w:numId w:val="146"/>
        </w:numPr>
        <w:spacing w:after="138" w:line="253" w:lineRule="auto"/>
        <w:ind w:right="-3"/>
        <w:jc w:val="left"/>
        <w:rPr>
          <w:rFonts w:ascii="Garamond" w:hAnsi="Garamond"/>
          <w:sz w:val="24"/>
          <w:szCs w:val="24"/>
        </w:rPr>
      </w:pPr>
      <w:r w:rsidRPr="00051C84">
        <w:rPr>
          <w:rFonts w:ascii="Garamond" w:eastAsia="Calibri" w:hAnsi="Garamond" w:cs="Calibri"/>
          <w:sz w:val="24"/>
          <w:szCs w:val="24"/>
        </w:rPr>
        <w:t>przerw nieplanowanych 48 godzin.</w:t>
      </w:r>
    </w:p>
    <w:p w14:paraId="696C6768" w14:textId="7BBB8AB7" w:rsidR="0049608F" w:rsidRPr="00AE3F1B" w:rsidRDefault="00051C84" w:rsidP="00051C84">
      <w:pPr>
        <w:spacing w:after="167" w:line="253" w:lineRule="auto"/>
        <w:ind w:left="426" w:right="-3" w:hanging="426"/>
        <w:jc w:val="left"/>
        <w:rPr>
          <w:rFonts w:ascii="Garamond" w:hAnsi="Garamond"/>
          <w:sz w:val="24"/>
          <w:szCs w:val="24"/>
        </w:rPr>
      </w:pPr>
      <w:r w:rsidRPr="00AE3F1B">
        <w:rPr>
          <w:rFonts w:ascii="Garamond" w:eastAsia="Calibri" w:hAnsi="Garamond" w:cs="Calibri"/>
          <w:sz w:val="24"/>
          <w:szCs w:val="24"/>
        </w:rPr>
        <w:t>VIII.3.6.</w:t>
      </w:r>
      <w:r>
        <w:rPr>
          <w:rFonts w:ascii="Garamond" w:eastAsia="Calibri" w:hAnsi="Garamond" w:cs="Calibri"/>
          <w:sz w:val="24"/>
          <w:szCs w:val="24"/>
        </w:rPr>
        <w:t xml:space="preserve"> </w:t>
      </w:r>
      <w:r w:rsidR="0049608F" w:rsidRPr="00AE3F1B">
        <w:rPr>
          <w:rFonts w:ascii="Garamond" w:eastAsia="Calibri" w:hAnsi="Garamond" w:cs="Calibri"/>
          <w:sz w:val="24"/>
          <w:szCs w:val="24"/>
        </w:rPr>
        <w:t>ID Sp. z o.o. w terminie do dnia 31 marca każdego roku, podaje do publicznej wiadomości przez zamieszczenie na swojej stronie internetowej następujące wskaźniki dotyczące czasu trwania przerw w dostarczaniu energii elektrycznej wyznaczone dla poprzedniego roku kalendarzowego:</w:t>
      </w:r>
    </w:p>
    <w:p w14:paraId="7EC80122" w14:textId="77777777" w:rsidR="00A10893" w:rsidRPr="00051C84" w:rsidRDefault="0049608F">
      <w:pPr>
        <w:pStyle w:val="Akapitzlist"/>
        <w:numPr>
          <w:ilvl w:val="0"/>
          <w:numId w:val="148"/>
        </w:numPr>
        <w:spacing w:line="253" w:lineRule="auto"/>
        <w:ind w:right="-3"/>
        <w:jc w:val="left"/>
        <w:rPr>
          <w:rFonts w:ascii="Garamond" w:eastAsia="Times New Roman" w:hAnsi="Garamond" w:cs="Times New Roman"/>
          <w:sz w:val="24"/>
          <w:szCs w:val="24"/>
        </w:rPr>
      </w:pPr>
      <w:r w:rsidRPr="00051C84">
        <w:rPr>
          <w:rFonts w:ascii="Garamond" w:eastAsia="Calibri" w:hAnsi="Garamond" w:cs="Calibri"/>
          <w:sz w:val="24"/>
          <w:szCs w:val="24"/>
        </w:rPr>
        <w:t>wskaźnik</w:t>
      </w:r>
      <w:r w:rsidR="00017B8A" w:rsidRPr="00051C84">
        <w:rPr>
          <w:rFonts w:ascii="Garamond" w:eastAsia="Calibri" w:hAnsi="Garamond" w:cs="Calibri"/>
          <w:sz w:val="24"/>
          <w:szCs w:val="24"/>
        </w:rPr>
        <w:t xml:space="preserve">: </w:t>
      </w:r>
    </w:p>
    <w:p w14:paraId="1F3EEA12" w14:textId="767C7642" w:rsidR="0049608F" w:rsidRPr="00051C84" w:rsidRDefault="0049608F">
      <w:pPr>
        <w:pStyle w:val="Akapitzlist"/>
        <w:numPr>
          <w:ilvl w:val="0"/>
          <w:numId w:val="149"/>
        </w:numPr>
        <w:spacing w:line="253" w:lineRule="auto"/>
        <w:ind w:right="-3"/>
        <w:jc w:val="left"/>
        <w:rPr>
          <w:rFonts w:ascii="Garamond" w:hAnsi="Garamond"/>
          <w:sz w:val="24"/>
          <w:szCs w:val="24"/>
        </w:rPr>
      </w:pPr>
      <w:r w:rsidRPr="00051C84">
        <w:rPr>
          <w:rFonts w:ascii="Garamond" w:eastAsia="Calibri" w:hAnsi="Garamond" w:cs="Calibri"/>
          <w:sz w:val="24"/>
          <w:szCs w:val="24"/>
        </w:rPr>
        <w:t xml:space="preserve">przeciętnego systemowego czasu trwania przerwy długiej i bardzo </w:t>
      </w:r>
      <w:r w:rsidR="00051C84" w:rsidRPr="00051C84">
        <w:rPr>
          <w:rFonts w:ascii="Garamond" w:eastAsia="Calibri" w:hAnsi="Garamond" w:cs="Calibri"/>
          <w:sz w:val="24"/>
          <w:szCs w:val="24"/>
        </w:rPr>
        <w:t>długiej (</w:t>
      </w:r>
      <w:r w:rsidRPr="00051C84">
        <w:rPr>
          <w:rFonts w:ascii="Garamond" w:eastAsia="Calibri" w:hAnsi="Garamond" w:cs="Calibri"/>
          <w:sz w:val="24"/>
          <w:szCs w:val="24"/>
        </w:rPr>
        <w:t xml:space="preserve">SAIDI), wyrażony w minutach na odbiorcę na rok, stanowiący sumę </w:t>
      </w:r>
      <w:r w:rsidR="00051C84" w:rsidRPr="00051C84">
        <w:rPr>
          <w:rFonts w:ascii="Garamond" w:eastAsia="Calibri" w:hAnsi="Garamond" w:cs="Calibri"/>
          <w:sz w:val="24"/>
          <w:szCs w:val="24"/>
        </w:rPr>
        <w:t>iloczynów</w:t>
      </w:r>
      <w:r w:rsidR="00051C84" w:rsidRPr="00051C84">
        <w:rPr>
          <w:rFonts w:ascii="Garamond" w:hAnsi="Garamond"/>
          <w:sz w:val="24"/>
          <w:szCs w:val="24"/>
        </w:rPr>
        <w:t xml:space="preserve"> czasu</w:t>
      </w:r>
      <w:r w:rsidRPr="00051C84">
        <w:rPr>
          <w:rFonts w:ascii="Garamond" w:hAnsi="Garamond"/>
          <w:sz w:val="24"/>
          <w:szCs w:val="24"/>
        </w:rPr>
        <w:t xml:space="preserve"> jej trwania i liczby odbiorców narażonych na skutki tej przerwy w ciągu roku podzieloną przez łączną liczbę obsługiwanych odbiorców,</w:t>
      </w:r>
    </w:p>
    <w:p w14:paraId="4BA68815" w14:textId="6258102A" w:rsidR="0049608F" w:rsidRPr="00051C84" w:rsidRDefault="0049608F">
      <w:pPr>
        <w:pStyle w:val="Akapitzlist"/>
        <w:numPr>
          <w:ilvl w:val="0"/>
          <w:numId w:val="149"/>
        </w:numPr>
        <w:spacing w:line="253" w:lineRule="auto"/>
        <w:ind w:right="-3"/>
        <w:jc w:val="left"/>
        <w:rPr>
          <w:rFonts w:ascii="Garamond" w:hAnsi="Garamond"/>
          <w:sz w:val="24"/>
          <w:szCs w:val="24"/>
        </w:rPr>
      </w:pPr>
      <w:r w:rsidRPr="00051C84">
        <w:rPr>
          <w:rFonts w:ascii="Garamond" w:hAnsi="Garamond"/>
          <w:sz w:val="24"/>
          <w:szCs w:val="24"/>
        </w:rPr>
        <w:t xml:space="preserve">przeciętnej systemowej częstości przerw długich i bardzo długich (SAIFI), stanowiący </w:t>
      </w:r>
      <w:r w:rsidR="00017B8A" w:rsidRPr="00051C84">
        <w:rPr>
          <w:rFonts w:ascii="Garamond" w:hAnsi="Garamond"/>
          <w:sz w:val="24"/>
          <w:szCs w:val="24"/>
        </w:rPr>
        <w:t xml:space="preserve">iloraz </w:t>
      </w:r>
      <w:r w:rsidRPr="00051C84">
        <w:rPr>
          <w:rFonts w:ascii="Garamond" w:hAnsi="Garamond"/>
          <w:sz w:val="24"/>
          <w:szCs w:val="24"/>
        </w:rPr>
        <w:t>liczb</w:t>
      </w:r>
      <w:r w:rsidR="00017B8A" w:rsidRPr="00051C84">
        <w:rPr>
          <w:rFonts w:ascii="Garamond" w:hAnsi="Garamond"/>
          <w:sz w:val="24"/>
          <w:szCs w:val="24"/>
        </w:rPr>
        <w:t>y</w:t>
      </w:r>
      <w:r w:rsidRPr="00051C84">
        <w:rPr>
          <w:rFonts w:ascii="Garamond" w:hAnsi="Garamond"/>
          <w:sz w:val="24"/>
          <w:szCs w:val="24"/>
        </w:rPr>
        <w:t xml:space="preserve"> odbiorców narażonych na skutki wszystkich</w:t>
      </w:r>
      <w:r w:rsidR="00017B8A" w:rsidRPr="00051C84">
        <w:rPr>
          <w:rFonts w:ascii="Garamond" w:hAnsi="Garamond"/>
          <w:sz w:val="24"/>
          <w:szCs w:val="24"/>
        </w:rPr>
        <w:t xml:space="preserve"> przerw</w:t>
      </w:r>
      <w:r w:rsidRPr="00051C84">
        <w:rPr>
          <w:rFonts w:ascii="Garamond" w:hAnsi="Garamond"/>
          <w:sz w:val="24"/>
          <w:szCs w:val="24"/>
        </w:rPr>
        <w:t xml:space="preserve"> t</w:t>
      </w:r>
      <w:r w:rsidR="00017B8A" w:rsidRPr="00051C84">
        <w:rPr>
          <w:rFonts w:ascii="Garamond" w:hAnsi="Garamond"/>
          <w:sz w:val="24"/>
          <w:szCs w:val="24"/>
        </w:rPr>
        <w:t xml:space="preserve">ego rodzaju </w:t>
      </w:r>
      <w:r w:rsidRPr="00051C84">
        <w:rPr>
          <w:rFonts w:ascii="Garamond" w:hAnsi="Garamond"/>
          <w:sz w:val="24"/>
          <w:szCs w:val="24"/>
        </w:rPr>
        <w:t xml:space="preserve">w </w:t>
      </w:r>
      <w:r w:rsidR="00017B8A" w:rsidRPr="00051C84">
        <w:rPr>
          <w:rFonts w:ascii="Garamond" w:hAnsi="Garamond"/>
          <w:sz w:val="24"/>
          <w:szCs w:val="24"/>
        </w:rPr>
        <w:t>danym roku</w:t>
      </w:r>
      <w:r w:rsidR="00051C84">
        <w:rPr>
          <w:rFonts w:ascii="Garamond" w:hAnsi="Garamond"/>
          <w:sz w:val="24"/>
          <w:szCs w:val="24"/>
        </w:rPr>
        <w:t xml:space="preserve">         </w:t>
      </w:r>
      <w:r w:rsidR="00017B8A" w:rsidRPr="00051C84">
        <w:rPr>
          <w:rFonts w:ascii="Garamond" w:hAnsi="Garamond"/>
          <w:sz w:val="24"/>
          <w:szCs w:val="24"/>
        </w:rPr>
        <w:t xml:space="preserve">i łącznej liczby </w:t>
      </w:r>
      <w:r w:rsidRPr="00051C84">
        <w:rPr>
          <w:rFonts w:ascii="Garamond" w:hAnsi="Garamond"/>
          <w:sz w:val="24"/>
          <w:szCs w:val="24"/>
        </w:rPr>
        <w:t>obsługiwanych odbiorców</w:t>
      </w:r>
      <w:r w:rsidR="00017B8A" w:rsidRPr="00051C84">
        <w:rPr>
          <w:rFonts w:ascii="Garamond" w:hAnsi="Garamond"/>
          <w:sz w:val="24"/>
          <w:szCs w:val="24"/>
        </w:rPr>
        <w:t xml:space="preserve"> – wyznaczone oddzielnie dla przerw planowanych i nie planowanych z uwzględnieniem przerw katastrofalnych oraz bez uwzględnienia tych przerw</w:t>
      </w:r>
      <w:r w:rsidRPr="00051C84">
        <w:rPr>
          <w:rFonts w:ascii="Garamond" w:hAnsi="Garamond"/>
          <w:sz w:val="24"/>
          <w:szCs w:val="24"/>
        </w:rPr>
        <w:t>,</w:t>
      </w:r>
    </w:p>
    <w:p w14:paraId="4EBF7BC6" w14:textId="726D5E62" w:rsidR="0049608F" w:rsidRPr="00051C84" w:rsidRDefault="0049608F">
      <w:pPr>
        <w:pStyle w:val="Akapitzlist"/>
        <w:numPr>
          <w:ilvl w:val="0"/>
          <w:numId w:val="149"/>
        </w:numPr>
        <w:spacing w:after="131" w:line="253" w:lineRule="auto"/>
        <w:ind w:right="-3"/>
        <w:jc w:val="left"/>
        <w:rPr>
          <w:rFonts w:ascii="Garamond" w:hAnsi="Garamond"/>
          <w:sz w:val="24"/>
          <w:szCs w:val="24"/>
        </w:rPr>
      </w:pPr>
      <w:r w:rsidRPr="00051C84">
        <w:rPr>
          <w:rFonts w:ascii="Garamond" w:hAnsi="Garamond"/>
          <w:sz w:val="24"/>
          <w:szCs w:val="24"/>
        </w:rPr>
        <w:t xml:space="preserve">wskaźnik przeciętnej częstości przerw krótkich (MAIFI), stanowiący </w:t>
      </w:r>
      <w:r w:rsidR="00017B8A" w:rsidRPr="00051C84">
        <w:rPr>
          <w:rFonts w:ascii="Garamond" w:hAnsi="Garamond"/>
          <w:sz w:val="24"/>
          <w:szCs w:val="24"/>
        </w:rPr>
        <w:t xml:space="preserve">iloraz liczby odbiorców </w:t>
      </w:r>
      <w:r w:rsidR="00A10893" w:rsidRPr="00051C84">
        <w:rPr>
          <w:rFonts w:ascii="Garamond" w:hAnsi="Garamond"/>
          <w:sz w:val="24"/>
          <w:szCs w:val="24"/>
        </w:rPr>
        <w:br/>
      </w:r>
      <w:r w:rsidR="00017B8A" w:rsidRPr="00051C84">
        <w:rPr>
          <w:rFonts w:ascii="Garamond" w:hAnsi="Garamond"/>
          <w:sz w:val="24"/>
          <w:szCs w:val="24"/>
        </w:rPr>
        <w:t xml:space="preserve">narażonych na skutki wszystkich przerw </w:t>
      </w:r>
      <w:r w:rsidRPr="00051C84">
        <w:rPr>
          <w:rFonts w:ascii="Garamond" w:hAnsi="Garamond"/>
          <w:sz w:val="24"/>
          <w:szCs w:val="24"/>
        </w:rPr>
        <w:t xml:space="preserve">krótkich w </w:t>
      </w:r>
      <w:r w:rsidR="00017B8A" w:rsidRPr="00051C84">
        <w:rPr>
          <w:rFonts w:ascii="Garamond" w:hAnsi="Garamond"/>
          <w:sz w:val="24"/>
          <w:szCs w:val="24"/>
        </w:rPr>
        <w:t>danym</w:t>
      </w:r>
      <w:r w:rsidRPr="00051C84">
        <w:rPr>
          <w:rFonts w:ascii="Garamond" w:hAnsi="Garamond"/>
          <w:sz w:val="24"/>
          <w:szCs w:val="24"/>
        </w:rPr>
        <w:t xml:space="preserve"> roku </w:t>
      </w:r>
      <w:r w:rsidR="00017B8A" w:rsidRPr="00051C84">
        <w:rPr>
          <w:rFonts w:ascii="Garamond" w:hAnsi="Garamond"/>
          <w:sz w:val="24"/>
          <w:szCs w:val="24"/>
        </w:rPr>
        <w:t>i łącznej liczby</w:t>
      </w:r>
      <w:r w:rsidR="00051C84">
        <w:rPr>
          <w:rFonts w:ascii="Garamond" w:hAnsi="Garamond"/>
          <w:sz w:val="24"/>
          <w:szCs w:val="24"/>
        </w:rPr>
        <w:t xml:space="preserve"> </w:t>
      </w:r>
      <w:r w:rsidR="00017B8A" w:rsidRPr="00051C84">
        <w:rPr>
          <w:rFonts w:ascii="Garamond" w:hAnsi="Garamond"/>
          <w:sz w:val="24"/>
          <w:szCs w:val="24"/>
        </w:rPr>
        <w:t>obsługiwanych odbiorców</w:t>
      </w:r>
      <w:r w:rsidRPr="00051C84">
        <w:rPr>
          <w:rFonts w:ascii="Garamond" w:hAnsi="Garamond"/>
          <w:sz w:val="24"/>
          <w:szCs w:val="24"/>
        </w:rPr>
        <w:t>.</w:t>
      </w:r>
    </w:p>
    <w:p w14:paraId="22FC3538" w14:textId="78EE02CC" w:rsidR="00017B8A" w:rsidRPr="00AE3F1B" w:rsidRDefault="00017B8A" w:rsidP="00051C84">
      <w:pPr>
        <w:spacing w:after="131" w:line="253" w:lineRule="auto"/>
        <w:ind w:left="708" w:right="-3"/>
        <w:jc w:val="left"/>
        <w:rPr>
          <w:rFonts w:ascii="Garamond" w:hAnsi="Garamond"/>
          <w:sz w:val="24"/>
          <w:szCs w:val="24"/>
        </w:rPr>
      </w:pPr>
      <w:r w:rsidRPr="00AE3F1B">
        <w:rPr>
          <w:rFonts w:ascii="Garamond" w:hAnsi="Garamond"/>
          <w:sz w:val="24"/>
          <w:szCs w:val="24"/>
        </w:rPr>
        <w:t>Do każdego ze wskaźników, o których mowa powyżej podaje się liczbę obsługiwanych odbiorców</w:t>
      </w:r>
      <w:r w:rsidR="00051C84">
        <w:rPr>
          <w:rFonts w:ascii="Garamond" w:hAnsi="Garamond"/>
          <w:sz w:val="24"/>
          <w:szCs w:val="24"/>
        </w:rPr>
        <w:t xml:space="preserve"> </w:t>
      </w:r>
      <w:r w:rsidRPr="00AE3F1B">
        <w:rPr>
          <w:rFonts w:ascii="Garamond" w:hAnsi="Garamond"/>
          <w:sz w:val="24"/>
          <w:szCs w:val="24"/>
        </w:rPr>
        <w:t>przyjętą do jego wyznaczenia.</w:t>
      </w:r>
    </w:p>
    <w:p w14:paraId="40927A76" w14:textId="77777777" w:rsidR="00A10893" w:rsidRPr="00AE3F1B" w:rsidRDefault="00A10893" w:rsidP="00175586">
      <w:pPr>
        <w:spacing w:after="244" w:line="259" w:lineRule="auto"/>
        <w:ind w:left="567" w:right="-3" w:hanging="567"/>
        <w:jc w:val="left"/>
        <w:rPr>
          <w:rFonts w:ascii="Garamond" w:hAnsi="Garamond"/>
          <w:sz w:val="24"/>
          <w:szCs w:val="24"/>
        </w:rPr>
      </w:pPr>
    </w:p>
    <w:p w14:paraId="4E70E7E5" w14:textId="77777777" w:rsidR="00A10893" w:rsidRPr="00AE3F1B" w:rsidRDefault="00A10893" w:rsidP="00175586">
      <w:pPr>
        <w:spacing w:after="244" w:line="259" w:lineRule="auto"/>
        <w:ind w:left="567" w:right="-3" w:hanging="567"/>
        <w:jc w:val="left"/>
        <w:rPr>
          <w:rFonts w:ascii="Garamond" w:hAnsi="Garamond"/>
          <w:sz w:val="24"/>
          <w:szCs w:val="24"/>
        </w:rPr>
      </w:pPr>
    </w:p>
    <w:p w14:paraId="5C053B4E" w14:textId="77777777" w:rsidR="00A27B52" w:rsidRDefault="00A27B52" w:rsidP="00051C84">
      <w:pPr>
        <w:spacing w:after="244" w:line="259" w:lineRule="auto"/>
        <w:ind w:right="-3"/>
        <w:jc w:val="left"/>
        <w:rPr>
          <w:rFonts w:ascii="Garamond" w:hAnsi="Garamond"/>
          <w:sz w:val="24"/>
          <w:szCs w:val="24"/>
        </w:rPr>
      </w:pPr>
    </w:p>
    <w:p w14:paraId="3874ACE9" w14:textId="77777777" w:rsidR="0091109B" w:rsidRPr="00A27B52" w:rsidRDefault="0091109B" w:rsidP="00175586">
      <w:pPr>
        <w:spacing w:after="244" w:line="259" w:lineRule="auto"/>
        <w:ind w:left="567" w:right="-3" w:hanging="567"/>
        <w:jc w:val="left"/>
        <w:rPr>
          <w:rFonts w:ascii="Garamond" w:hAnsi="Garamond"/>
          <w:b/>
          <w:bCs/>
          <w:i/>
          <w:iCs/>
          <w:sz w:val="24"/>
          <w:szCs w:val="24"/>
        </w:rPr>
      </w:pPr>
      <w:r w:rsidRPr="00A27B52">
        <w:rPr>
          <w:rFonts w:ascii="Garamond" w:hAnsi="Garamond"/>
          <w:b/>
          <w:bCs/>
          <w:i/>
          <w:iCs/>
          <w:sz w:val="24"/>
          <w:szCs w:val="24"/>
        </w:rPr>
        <w:t xml:space="preserve">Załącznik nr </w:t>
      </w:r>
      <w:r w:rsidR="00120DC6" w:rsidRPr="00A27B52">
        <w:rPr>
          <w:rFonts w:ascii="Garamond" w:hAnsi="Garamond"/>
          <w:b/>
          <w:bCs/>
          <w:i/>
          <w:iCs/>
          <w:sz w:val="24"/>
          <w:szCs w:val="24"/>
        </w:rPr>
        <w:t>1</w:t>
      </w:r>
    </w:p>
    <w:p w14:paraId="6F1A2EDF" w14:textId="77777777" w:rsidR="0091109B" w:rsidRPr="00AE3F1B" w:rsidRDefault="0091109B" w:rsidP="00175586">
      <w:pPr>
        <w:pStyle w:val="Nagwek4"/>
        <w:spacing w:after="518" w:line="265" w:lineRule="auto"/>
        <w:ind w:left="567" w:right="-3" w:hanging="567"/>
        <w:rPr>
          <w:rFonts w:ascii="Garamond" w:hAnsi="Garamond"/>
          <w:sz w:val="24"/>
          <w:szCs w:val="24"/>
        </w:rPr>
      </w:pPr>
      <w:bookmarkStart w:id="98" w:name="_Toc171860259"/>
      <w:r w:rsidRPr="00AE3F1B">
        <w:rPr>
          <w:rFonts w:ascii="Garamond" w:eastAsia="Times New Roman" w:hAnsi="Garamond" w:cs="Times New Roman"/>
          <w:sz w:val="24"/>
          <w:szCs w:val="24"/>
        </w:rPr>
        <w:t>Karta aktualizacji nr</w:t>
      </w:r>
      <w:r w:rsidR="00A27B52">
        <w:rPr>
          <w:rFonts w:ascii="Garamond" w:hAnsi="Garamond"/>
          <w:noProof/>
          <w:sz w:val="24"/>
          <w:szCs w:val="24"/>
        </w:rPr>
        <w:t>____</w:t>
      </w:r>
      <w:bookmarkEnd w:id="98"/>
    </w:p>
    <w:p w14:paraId="5A85251C" w14:textId="7C0A91D1" w:rsidR="0091109B" w:rsidRPr="00AE3F1B" w:rsidRDefault="0077061D" w:rsidP="00175586">
      <w:pPr>
        <w:spacing w:after="11" w:line="249" w:lineRule="auto"/>
        <w:ind w:left="567" w:right="-3" w:hanging="567"/>
        <w:jc w:val="left"/>
        <w:rPr>
          <w:rFonts w:ascii="Garamond" w:hAnsi="Garamond"/>
          <w:sz w:val="24"/>
          <w:szCs w:val="24"/>
        </w:rPr>
      </w:pPr>
      <w:r w:rsidRPr="00AE3F1B">
        <w:rPr>
          <w:rFonts w:ascii="Garamond" w:hAnsi="Garamond"/>
          <w:sz w:val="24"/>
          <w:szCs w:val="24"/>
        </w:rPr>
        <w:t>1.</w:t>
      </w:r>
      <w:r w:rsidR="0091109B" w:rsidRPr="00AE3F1B">
        <w:rPr>
          <w:rFonts w:ascii="Garamond" w:hAnsi="Garamond"/>
          <w:sz w:val="24"/>
          <w:szCs w:val="24"/>
        </w:rPr>
        <w:t xml:space="preserve"> Data wejścia w życie aktualizacji:</w:t>
      </w:r>
    </w:p>
    <w:p w14:paraId="40ED8601" w14:textId="77777777" w:rsidR="0091109B" w:rsidRPr="00AE3F1B" w:rsidRDefault="00000000" w:rsidP="00175586">
      <w:pPr>
        <w:spacing w:after="393" w:line="259" w:lineRule="auto"/>
        <w:ind w:left="567" w:right="-3" w:hanging="567"/>
        <w:jc w:val="left"/>
        <w:rPr>
          <w:rFonts w:ascii="Garamond" w:hAnsi="Garamond"/>
          <w:sz w:val="24"/>
          <w:szCs w:val="24"/>
        </w:rPr>
      </w:pPr>
      <w:r>
        <w:rPr>
          <w:rFonts w:ascii="Garamond" w:hAnsi="Garamond"/>
          <w:noProof/>
          <w:sz w:val="24"/>
          <w:szCs w:val="24"/>
        </w:rPr>
      </w:r>
      <w:r>
        <w:rPr>
          <w:rFonts w:ascii="Garamond" w:hAnsi="Garamond"/>
          <w:noProof/>
          <w:sz w:val="24"/>
          <w:szCs w:val="24"/>
        </w:rPr>
        <w:pict w14:anchorId="3138FD92">
          <v:group id="Group 1242489" o:spid="_x0000_s2050" style="width:247.7pt;height:.7pt;mso-position-horizontal-relative:char;mso-position-vertical-relative:line" coordsize="31455,91">
            <v:shape id="Shape 1242488" o:spid="_x0000_s2051" style="position:absolute;width:31455;height:91;visibility:visible" coordsize="3145536,91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" adj="0,,0" path="m,4573r3145536,e" filled="f" strokeweight=".25408mm">
              <v:stroke miterlimit="1" joinstyle="miter"/>
              <v:formulas/>
              <v:path arrowok="t" o:connecttype="segments" textboxrect="0,0,3145536,9147"/>
            </v:shape>
            <w10:anchorlock/>
          </v:group>
        </w:pict>
      </w:r>
    </w:p>
    <w:p w14:paraId="733A9E3D" w14:textId="77777777" w:rsidR="0091109B" w:rsidRPr="00AE3F1B" w:rsidRDefault="0091109B">
      <w:pPr>
        <w:numPr>
          <w:ilvl w:val="0"/>
          <w:numId w:val="9"/>
        </w:numPr>
        <w:spacing w:after="11" w:line="249" w:lineRule="auto"/>
        <w:ind w:left="567" w:right="-3" w:hanging="567"/>
        <w:jc w:val="left"/>
        <w:rPr>
          <w:rFonts w:ascii="Garamond" w:hAnsi="Garamond"/>
          <w:sz w:val="24"/>
          <w:szCs w:val="24"/>
        </w:rPr>
      </w:pPr>
      <w:r w:rsidRPr="00AE3F1B">
        <w:rPr>
          <w:rFonts w:ascii="Garamond" w:hAnsi="Garamond"/>
          <w:sz w:val="24"/>
          <w:szCs w:val="24"/>
        </w:rPr>
        <w:t>Przyczyna aktualizacji:</w:t>
      </w:r>
    </w:p>
    <w:p w14:paraId="2AD58E1C" w14:textId="77777777" w:rsidR="0091109B" w:rsidRPr="00AE3F1B" w:rsidRDefault="00000000" w:rsidP="00175586">
      <w:pPr>
        <w:spacing w:after="173" w:line="259" w:lineRule="auto"/>
        <w:ind w:left="567" w:right="-3" w:hanging="567"/>
        <w:jc w:val="left"/>
        <w:rPr>
          <w:rFonts w:ascii="Garamond" w:hAnsi="Garamond"/>
          <w:sz w:val="24"/>
          <w:szCs w:val="24"/>
        </w:rPr>
      </w:pPr>
      <w:r>
        <w:rPr>
          <w:rFonts w:ascii="Garamond" w:hAnsi="Garamond"/>
          <w:noProof/>
          <w:sz w:val="24"/>
          <w:szCs w:val="24"/>
        </w:rPr>
      </w:r>
      <w:r>
        <w:rPr>
          <w:rFonts w:ascii="Garamond" w:hAnsi="Garamond"/>
          <w:noProof/>
          <w:sz w:val="24"/>
          <w:szCs w:val="24"/>
        </w:rPr>
        <w:pict w14:anchorId="17FADEF7">
          <v:group id="Group 1242491" o:spid="_x0000_s3090" style="width:292.3pt;height:.7pt;mso-position-horizontal-relative:char;mso-position-vertical-relative:line" coordsize="37124,91">
            <v:shape id="Shape 1242490" o:spid="_x0000_s3091" style="position:absolute;width:37124;height:91;visibility:visible" coordsize="3712464,91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" adj="0,,0" path="m,4573r3712464,e" filled="f" strokeweight=".25408mm">
              <v:stroke miterlimit="1" joinstyle="miter"/>
              <v:formulas/>
              <v:path arrowok="t" o:connecttype="segments" textboxrect="0,0,3712464,9147"/>
            </v:shape>
            <w10:anchorlock/>
          </v:group>
        </w:pict>
      </w:r>
    </w:p>
    <w:p w14:paraId="5DB99D10" w14:textId="77777777" w:rsidR="0091109B" w:rsidRPr="00AE3F1B" w:rsidRDefault="00000000" w:rsidP="00175586">
      <w:pPr>
        <w:spacing w:after="211" w:line="259" w:lineRule="auto"/>
        <w:ind w:left="567" w:right="-3" w:hanging="567"/>
        <w:jc w:val="left"/>
        <w:rPr>
          <w:rFonts w:ascii="Garamond" w:hAnsi="Garamond"/>
          <w:sz w:val="24"/>
          <w:szCs w:val="24"/>
        </w:rPr>
      </w:pPr>
      <w:r>
        <w:rPr>
          <w:rFonts w:ascii="Garamond" w:hAnsi="Garamond"/>
          <w:noProof/>
          <w:sz w:val="24"/>
          <w:szCs w:val="24"/>
        </w:rPr>
      </w:r>
      <w:r>
        <w:rPr>
          <w:rFonts w:ascii="Garamond" w:hAnsi="Garamond"/>
          <w:noProof/>
          <w:sz w:val="24"/>
          <w:szCs w:val="24"/>
        </w:rPr>
        <w:pict w14:anchorId="0D821A02">
          <v:group id="Group 1242493" o:spid="_x0000_s3088" style="width:382.55pt;height:.7pt;mso-position-horizontal-relative:char;mso-position-vertical-relative:line" coordsize="48585,91">
            <v:shape id="Shape 1242492" o:spid="_x0000_s3089" style="position:absolute;width:48585;height:91;visibility:visible" coordsize="4858513,91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" adj="0,,0" path="m,4573r4858513,e" filled="f" strokeweight=".25408mm">
              <v:stroke miterlimit="1" joinstyle="miter"/>
              <v:formulas/>
              <v:path arrowok="t" o:connecttype="segments" textboxrect="0,0,4858513,9147"/>
            </v:shape>
            <w10:anchorlock/>
          </v:group>
        </w:pict>
      </w:r>
    </w:p>
    <w:p w14:paraId="34CB674C" w14:textId="77777777" w:rsidR="0091109B" w:rsidRPr="00AE3F1B" w:rsidRDefault="00000000" w:rsidP="00175586">
      <w:pPr>
        <w:spacing w:after="397" w:line="259" w:lineRule="auto"/>
        <w:ind w:left="567" w:right="-3" w:hanging="567"/>
        <w:jc w:val="left"/>
        <w:rPr>
          <w:rFonts w:ascii="Garamond" w:hAnsi="Garamond"/>
          <w:sz w:val="24"/>
          <w:szCs w:val="24"/>
        </w:rPr>
      </w:pPr>
      <w:r>
        <w:rPr>
          <w:rFonts w:ascii="Garamond" w:hAnsi="Garamond"/>
          <w:noProof/>
          <w:sz w:val="24"/>
          <w:szCs w:val="24"/>
        </w:rPr>
      </w:r>
      <w:r>
        <w:rPr>
          <w:rFonts w:ascii="Garamond" w:hAnsi="Garamond"/>
          <w:noProof/>
          <w:sz w:val="24"/>
          <w:szCs w:val="24"/>
        </w:rPr>
        <w:pict w14:anchorId="6E2863E7">
          <v:group id="Group 1242495" o:spid="_x0000_s3086" style="width:382.55pt;height:.7pt;mso-position-horizontal-relative:char;mso-position-vertical-relative:line" coordsize="48585,91">
            <v:shape id="Shape 1242494" o:spid="_x0000_s3087" style="position:absolute;width:48585;height:91;visibility:visible" coordsize="4858513,91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" adj="0,,0" path="m,4573r4858513,e" filled="f" strokeweight=".25408mm">
              <v:stroke miterlimit="1" joinstyle="miter"/>
              <v:formulas/>
              <v:path arrowok="t" o:connecttype="segments" textboxrect="0,0,4858513,9147"/>
            </v:shape>
            <w10:anchorlock/>
          </v:group>
        </w:pict>
      </w:r>
    </w:p>
    <w:p w14:paraId="7A46AB71" w14:textId="21FC09D1" w:rsidR="0091109B" w:rsidRPr="00AE3F1B" w:rsidRDefault="0091109B">
      <w:pPr>
        <w:numPr>
          <w:ilvl w:val="0"/>
          <w:numId w:val="9"/>
        </w:numPr>
        <w:spacing w:after="11" w:line="249" w:lineRule="auto"/>
        <w:ind w:left="567" w:right="-3" w:hanging="567"/>
        <w:jc w:val="left"/>
        <w:rPr>
          <w:rFonts w:ascii="Garamond" w:hAnsi="Garamond"/>
          <w:sz w:val="24"/>
          <w:szCs w:val="24"/>
        </w:rPr>
      </w:pPr>
      <w:r w:rsidRPr="00AE3F1B">
        <w:rPr>
          <w:rFonts w:ascii="Garamond" w:hAnsi="Garamond"/>
          <w:sz w:val="24"/>
          <w:szCs w:val="24"/>
        </w:rPr>
        <w:t xml:space="preserve">Numery punktów </w:t>
      </w:r>
      <w:r w:rsidR="00BA6D98" w:rsidRPr="00BA6D98">
        <w:rPr>
          <w:rFonts w:ascii="Garamond" w:hAnsi="Garamond"/>
          <w:sz w:val="24"/>
          <w:szCs w:val="24"/>
        </w:rPr>
        <w:t>IRiESD</w:t>
      </w:r>
      <w:r w:rsidRPr="00AE3F1B">
        <w:rPr>
          <w:rFonts w:ascii="Garamond" w:hAnsi="Garamond"/>
          <w:sz w:val="24"/>
          <w:szCs w:val="24"/>
        </w:rPr>
        <w:t xml:space="preserve"> podlegających aktualizacji:</w:t>
      </w:r>
    </w:p>
    <w:p w14:paraId="042C1048" w14:textId="77777777" w:rsidR="0091109B" w:rsidRPr="00AE3F1B" w:rsidRDefault="00000000" w:rsidP="00175586">
      <w:pPr>
        <w:spacing w:after="230" w:line="259" w:lineRule="auto"/>
        <w:ind w:left="567" w:right="-3" w:hanging="567"/>
        <w:jc w:val="left"/>
        <w:rPr>
          <w:rFonts w:ascii="Garamond" w:hAnsi="Garamond"/>
          <w:sz w:val="24"/>
          <w:szCs w:val="24"/>
        </w:rPr>
      </w:pPr>
      <w:r>
        <w:rPr>
          <w:rFonts w:ascii="Garamond" w:hAnsi="Garamond"/>
          <w:noProof/>
          <w:sz w:val="24"/>
          <w:szCs w:val="24"/>
        </w:rPr>
      </w:r>
      <w:r>
        <w:rPr>
          <w:rFonts w:ascii="Garamond" w:hAnsi="Garamond"/>
          <w:noProof/>
          <w:sz w:val="24"/>
          <w:szCs w:val="24"/>
        </w:rPr>
        <w:pict w14:anchorId="34040D08">
          <v:group id="Group 1242497" o:spid="_x0000_s3084" style="width:383.05pt;height:.7pt;mso-position-horizontal-relative:char;mso-position-vertical-relative:line" coordsize="48646,91">
            <v:shape id="Shape 1242496" o:spid="_x0000_s3085" style="position:absolute;width:48646;height:91;visibility:visible" coordsize="4864608,91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" adj="0,,0" path="m,4573r4864608,e" filled="f" strokeweight=".25408mm">
              <v:stroke miterlimit="1" joinstyle="miter"/>
              <v:formulas/>
              <v:path arrowok="t" o:connecttype="segments" textboxrect="0,0,4864608,9147"/>
            </v:shape>
            <w10:anchorlock/>
          </v:group>
        </w:pict>
      </w:r>
    </w:p>
    <w:p w14:paraId="297941F2" w14:textId="77777777" w:rsidR="0091109B" w:rsidRPr="00AE3F1B" w:rsidRDefault="00000000" w:rsidP="00175586">
      <w:pPr>
        <w:spacing w:after="173" w:line="259" w:lineRule="auto"/>
        <w:ind w:left="567" w:right="-3" w:hanging="567"/>
        <w:jc w:val="left"/>
        <w:rPr>
          <w:rFonts w:ascii="Garamond" w:hAnsi="Garamond"/>
          <w:sz w:val="24"/>
          <w:szCs w:val="24"/>
        </w:rPr>
      </w:pPr>
      <w:r>
        <w:rPr>
          <w:rFonts w:ascii="Garamond" w:hAnsi="Garamond"/>
          <w:noProof/>
          <w:sz w:val="24"/>
          <w:szCs w:val="24"/>
        </w:rPr>
      </w:r>
      <w:r>
        <w:rPr>
          <w:rFonts w:ascii="Garamond" w:hAnsi="Garamond"/>
          <w:noProof/>
          <w:sz w:val="24"/>
          <w:szCs w:val="24"/>
        </w:rPr>
        <w:pict w14:anchorId="0E0C53F7">
          <v:group id="Group 1242499" o:spid="_x0000_s3082" style="width:383.05pt;height:.7pt;mso-position-horizontal-relative:char;mso-position-vertical-relative:line" coordsize="48646,91">
            <v:shape id="Shape 1242498" o:spid="_x0000_s3083" style="position:absolute;width:48646;height:91;visibility:visible" coordsize="4864608,914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" adj="0,,0" path="m,4573r4864608,e" filled="f" strokeweight=".25406mm">
              <v:stroke miterlimit="1" joinstyle="miter"/>
              <v:formulas/>
              <v:path arrowok="t" o:connecttype="segments" textboxrect="0,0,4864608,9146"/>
            </v:shape>
            <w10:anchorlock/>
          </v:group>
        </w:pict>
      </w:r>
    </w:p>
    <w:p w14:paraId="2BE3A5B3" w14:textId="77777777" w:rsidR="0091109B" w:rsidRPr="00AE3F1B" w:rsidRDefault="00000000" w:rsidP="00175586">
      <w:pPr>
        <w:spacing w:after="392" w:line="259" w:lineRule="auto"/>
        <w:ind w:left="567" w:right="-3" w:hanging="567"/>
        <w:jc w:val="left"/>
        <w:rPr>
          <w:rFonts w:ascii="Garamond" w:hAnsi="Garamond"/>
          <w:sz w:val="24"/>
          <w:szCs w:val="24"/>
        </w:rPr>
      </w:pPr>
      <w:r>
        <w:rPr>
          <w:rFonts w:ascii="Garamond" w:hAnsi="Garamond"/>
          <w:noProof/>
          <w:sz w:val="24"/>
          <w:szCs w:val="24"/>
        </w:rPr>
      </w:r>
      <w:r>
        <w:rPr>
          <w:rFonts w:ascii="Garamond" w:hAnsi="Garamond"/>
          <w:noProof/>
          <w:sz w:val="24"/>
          <w:szCs w:val="24"/>
        </w:rPr>
        <w:pict w14:anchorId="6CDD766E">
          <v:group id="Group 1242501" o:spid="_x0000_s3080" style="width:383.05pt;height:.7pt;mso-position-horizontal-relative:char;mso-position-vertical-relative:line" coordsize="48646,91">
            <v:shape id="Shape 1242500" o:spid="_x0000_s3081" style="position:absolute;width:48646;height:91;visibility:visible" coordsize="4864608,914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" adj="0,,0" path="m,4573r4864608,e" filled="f" strokeweight=".25406mm">
              <v:stroke miterlimit="1" joinstyle="miter"/>
              <v:formulas/>
              <v:path arrowok="t" o:connecttype="segments" textboxrect="0,0,4864608,9146"/>
            </v:shape>
            <w10:anchorlock/>
          </v:group>
        </w:pict>
      </w:r>
    </w:p>
    <w:p w14:paraId="57589420" w14:textId="5D116E4A" w:rsidR="0091109B" w:rsidRPr="00AE3F1B" w:rsidRDefault="0091109B">
      <w:pPr>
        <w:numPr>
          <w:ilvl w:val="0"/>
          <w:numId w:val="9"/>
        </w:numPr>
        <w:ind w:left="567" w:right="-3" w:hanging="567"/>
        <w:jc w:val="left"/>
        <w:rPr>
          <w:rFonts w:ascii="Garamond" w:hAnsi="Garamond"/>
          <w:sz w:val="24"/>
          <w:szCs w:val="24"/>
        </w:rPr>
      </w:pPr>
      <w:r w:rsidRPr="00AE3F1B">
        <w:rPr>
          <w:rFonts w:ascii="Garamond" w:hAnsi="Garamond"/>
          <w:sz w:val="24"/>
          <w:szCs w:val="24"/>
        </w:rPr>
        <w:t xml:space="preserve">Nowe brzmienie zaktualizowanych punktów </w:t>
      </w:r>
      <w:r w:rsidR="00BA6D98" w:rsidRPr="00BA6D98">
        <w:rPr>
          <w:rFonts w:ascii="Garamond" w:hAnsi="Garamond"/>
          <w:sz w:val="24"/>
          <w:szCs w:val="24"/>
        </w:rPr>
        <w:t>IRiESD</w:t>
      </w:r>
      <w:r w:rsidRPr="00AE3F1B">
        <w:rPr>
          <w:rFonts w:ascii="Garamond" w:hAnsi="Garamond"/>
          <w:sz w:val="24"/>
          <w:szCs w:val="24"/>
        </w:rPr>
        <w:t>:</w:t>
      </w:r>
    </w:p>
    <w:p w14:paraId="7C377021" w14:textId="77777777" w:rsidR="0091109B" w:rsidRPr="00AE3F1B" w:rsidRDefault="0091109B" w:rsidP="00175586">
      <w:pPr>
        <w:ind w:left="567" w:right="-3" w:hanging="567"/>
        <w:jc w:val="left"/>
        <w:rPr>
          <w:rFonts w:ascii="Garamond" w:hAnsi="Garamond"/>
          <w:sz w:val="24"/>
          <w:szCs w:val="24"/>
        </w:rPr>
      </w:pPr>
    </w:p>
    <w:tbl>
      <w:tblPr>
        <w:tblStyle w:val="TableGrid"/>
        <w:tblW w:w="8899" w:type="dxa"/>
        <w:tblInd w:w="537" w:type="dxa"/>
        <w:tblCellMar>
          <w:top w:w="38" w:type="dxa"/>
          <w:left w:w="67" w:type="dxa"/>
          <w:right w:w="115" w:type="dxa"/>
        </w:tblCellMar>
        <w:tblLook w:val="04A0" w:firstRow="1" w:lastRow="0" w:firstColumn="1" w:lastColumn="0" w:noHBand="0" w:noVBand="1"/>
      </w:tblPr>
      <w:tblGrid>
        <w:gridCol w:w="1225"/>
        <w:gridCol w:w="7674"/>
      </w:tblGrid>
      <w:tr w:rsidR="0091109B" w:rsidRPr="00AE3F1B" w14:paraId="344704EB" w14:textId="77777777" w:rsidTr="00DA12DF">
        <w:trPr>
          <w:trHeight w:val="307"/>
        </w:trPr>
        <w:tc>
          <w:tcPr>
            <w:tcW w:w="1225" w:type="dxa"/>
            <w:tcBorders>
              <w:top w:val="nil"/>
              <w:left w:val="nil"/>
              <w:bottom w:val="single" w:sz="2" w:space="0" w:color="000000"/>
              <w:right w:val="single" w:sz="2" w:space="0" w:color="000000"/>
            </w:tcBorders>
          </w:tcPr>
          <w:p w14:paraId="75D5A064" w14:textId="77777777" w:rsidR="0091109B" w:rsidRPr="00AE3F1B" w:rsidRDefault="0091109B" w:rsidP="00175586">
            <w:pPr>
              <w:spacing w:line="259" w:lineRule="auto"/>
              <w:ind w:left="567" w:right="-3" w:hanging="567"/>
              <w:jc w:val="left"/>
              <w:rPr>
                <w:rFonts w:ascii="Garamond" w:hAnsi="Garamond"/>
                <w:sz w:val="24"/>
                <w:szCs w:val="24"/>
              </w:rPr>
            </w:pPr>
            <w:r w:rsidRPr="00AE3F1B">
              <w:rPr>
                <w:rFonts w:ascii="Garamond" w:hAnsi="Garamond"/>
                <w:sz w:val="24"/>
                <w:szCs w:val="24"/>
              </w:rPr>
              <w:t>Nr punktu</w:t>
            </w:r>
          </w:p>
        </w:tc>
        <w:tc>
          <w:tcPr>
            <w:tcW w:w="7674" w:type="dxa"/>
            <w:tcBorders>
              <w:top w:val="nil"/>
              <w:left w:val="single" w:sz="2" w:space="0" w:color="000000"/>
              <w:bottom w:val="single" w:sz="2" w:space="0" w:color="000000"/>
              <w:right w:val="nil"/>
            </w:tcBorders>
          </w:tcPr>
          <w:p w14:paraId="1F7706A7" w14:textId="77777777" w:rsidR="0091109B" w:rsidRPr="00AE3F1B" w:rsidRDefault="0091109B" w:rsidP="00175586">
            <w:pPr>
              <w:spacing w:line="259" w:lineRule="auto"/>
              <w:ind w:left="567" w:right="-3" w:hanging="567"/>
              <w:jc w:val="left"/>
              <w:rPr>
                <w:rFonts w:ascii="Garamond" w:hAnsi="Garamond"/>
                <w:sz w:val="24"/>
                <w:szCs w:val="24"/>
              </w:rPr>
            </w:pPr>
            <w:r w:rsidRPr="00AE3F1B">
              <w:rPr>
                <w:rFonts w:ascii="Garamond" w:hAnsi="Garamond"/>
                <w:sz w:val="24"/>
                <w:szCs w:val="24"/>
              </w:rPr>
              <w:t>Aktualna treść</w:t>
            </w:r>
          </w:p>
        </w:tc>
      </w:tr>
      <w:tr w:rsidR="0091109B" w:rsidRPr="00AE3F1B" w14:paraId="45E3FA2F" w14:textId="77777777" w:rsidTr="00DA12DF">
        <w:trPr>
          <w:trHeight w:val="2271"/>
        </w:trPr>
        <w:tc>
          <w:tcPr>
            <w:tcW w:w="1225" w:type="dxa"/>
            <w:tcBorders>
              <w:top w:val="single" w:sz="2" w:space="0" w:color="000000"/>
              <w:left w:val="nil"/>
              <w:bottom w:val="nil"/>
              <w:right w:val="single" w:sz="2" w:space="0" w:color="000000"/>
            </w:tcBorders>
          </w:tcPr>
          <w:p w14:paraId="23947374" w14:textId="77777777" w:rsidR="0091109B" w:rsidRPr="00AE3F1B" w:rsidRDefault="0091109B" w:rsidP="00175586">
            <w:pPr>
              <w:spacing w:line="259" w:lineRule="auto"/>
              <w:ind w:left="567" w:right="-3" w:hanging="567"/>
              <w:jc w:val="left"/>
              <w:rPr>
                <w:rFonts w:ascii="Garamond" w:hAnsi="Garamond"/>
                <w:sz w:val="24"/>
                <w:szCs w:val="24"/>
              </w:rPr>
            </w:pPr>
            <w:r w:rsidRPr="00AE3F1B">
              <w:rPr>
                <w:rFonts w:ascii="Garamond" w:hAnsi="Garamond"/>
                <w:noProof/>
                <w:sz w:val="24"/>
                <w:szCs w:val="24"/>
                <w:lang w:eastAsia="pl-PL"/>
              </w:rPr>
              <w:drawing>
                <wp:inline distT="0" distB="0" distL="0" distR="0" wp14:anchorId="07154BDB" wp14:editId="570BC7A1">
                  <wp:extent cx="579120" cy="1106740"/>
                  <wp:effectExtent l="0" t="0" r="0" b="0"/>
                  <wp:docPr id="1242484" name="Picture 1242484"/>
                  <wp:cNvGraphicFramePr/>
                  <a:graphic xmlns:a="http://schemas.openxmlformats.org/drawingml/2006/main">
                    <a:graphicData uri="http://schemas.openxmlformats.org/drawingml/2006/picture">
                      <pic:pic xmlns:pic="http://schemas.openxmlformats.org/drawingml/2006/picture">
                        <pic:nvPicPr>
                          <pic:cNvPr id="1242484" name="Picture 1242484"/>
                          <pic:cNvPicPr/>
                        </pic:nvPicPr>
                        <pic:blipFill>
                          <a:blip r:embed="rId13" cstate="print"/>
                          <a:stretch>
                            <a:fillRect/>
                          </a:stretch>
                        </pic:blipFill>
                        <pic:spPr>
                          <a:xfrm>
                            <a:off x="0" y="0"/>
                            <a:ext cx="579120" cy="1106740"/>
                          </a:xfrm>
                          <a:prstGeom prst="rect">
                            <a:avLst/>
                          </a:prstGeom>
                        </pic:spPr>
                      </pic:pic>
                    </a:graphicData>
                  </a:graphic>
                </wp:inline>
              </w:drawing>
            </w:r>
          </w:p>
        </w:tc>
        <w:tc>
          <w:tcPr>
            <w:tcW w:w="7674" w:type="dxa"/>
            <w:tcBorders>
              <w:top w:val="single" w:sz="2" w:space="0" w:color="000000"/>
              <w:left w:val="single" w:sz="2" w:space="0" w:color="000000"/>
              <w:bottom w:val="nil"/>
              <w:right w:val="nil"/>
            </w:tcBorders>
          </w:tcPr>
          <w:p w14:paraId="111DF8F1" w14:textId="77777777" w:rsidR="0091109B" w:rsidRPr="00AE3F1B" w:rsidRDefault="0091109B" w:rsidP="00175586">
            <w:pPr>
              <w:spacing w:line="259" w:lineRule="auto"/>
              <w:ind w:left="567" w:right="-3" w:hanging="567"/>
              <w:jc w:val="left"/>
              <w:rPr>
                <w:rFonts w:ascii="Garamond" w:hAnsi="Garamond"/>
                <w:sz w:val="24"/>
                <w:szCs w:val="24"/>
              </w:rPr>
            </w:pPr>
            <w:r w:rsidRPr="00AE3F1B">
              <w:rPr>
                <w:rFonts w:ascii="Garamond" w:hAnsi="Garamond"/>
                <w:noProof/>
                <w:sz w:val="24"/>
                <w:szCs w:val="24"/>
                <w:lang w:eastAsia="pl-PL"/>
              </w:rPr>
              <w:drawing>
                <wp:inline distT="0" distB="0" distL="0" distR="0" wp14:anchorId="79F658BB" wp14:editId="7AB6F7B0">
                  <wp:extent cx="4011168" cy="1118936"/>
                  <wp:effectExtent l="0" t="0" r="0" b="0"/>
                  <wp:docPr id="1242486" name="Picture 1242486" descr="Obraz zawierający zrzut ekranu, tekst, linia, dokument&#10;&#10;Opis wygenerowany automatycznie"/>
                  <wp:cNvGraphicFramePr/>
                  <a:graphic xmlns:a="http://schemas.openxmlformats.org/drawingml/2006/main">
                    <a:graphicData uri="http://schemas.openxmlformats.org/drawingml/2006/picture">
                      <pic:pic xmlns:pic="http://schemas.openxmlformats.org/drawingml/2006/picture">
                        <pic:nvPicPr>
                          <pic:cNvPr id="1242486" name="Picture 1242486" descr="Obraz zawierający zrzut ekranu, tekst, linia, dokument&#10;&#10;Opis wygenerowany automatycznie"/>
                          <pic:cNvPicPr/>
                        </pic:nvPicPr>
                        <pic:blipFill>
                          <a:blip r:embed="rId14" cstate="print"/>
                          <a:stretch>
                            <a:fillRect/>
                          </a:stretch>
                        </pic:blipFill>
                        <pic:spPr>
                          <a:xfrm>
                            <a:off x="0" y="0"/>
                            <a:ext cx="4011168" cy="1118936"/>
                          </a:xfrm>
                          <a:prstGeom prst="rect">
                            <a:avLst/>
                          </a:prstGeom>
                        </pic:spPr>
                      </pic:pic>
                    </a:graphicData>
                  </a:graphic>
                </wp:inline>
              </w:drawing>
            </w:r>
          </w:p>
        </w:tc>
      </w:tr>
    </w:tbl>
    <w:p w14:paraId="5601C599" w14:textId="77777777" w:rsidR="0091109B" w:rsidRPr="00AE3F1B" w:rsidRDefault="0091109B" w:rsidP="00175586">
      <w:pPr>
        <w:tabs>
          <w:tab w:val="center" w:pos="1007"/>
          <w:tab w:val="center" w:pos="3393"/>
          <w:tab w:val="center" w:pos="6417"/>
        </w:tabs>
        <w:spacing w:after="121"/>
        <w:ind w:left="567" w:right="-3" w:hanging="567"/>
        <w:jc w:val="left"/>
        <w:rPr>
          <w:rFonts w:ascii="Garamond" w:hAnsi="Garamond"/>
          <w:sz w:val="24"/>
          <w:szCs w:val="24"/>
        </w:rPr>
      </w:pPr>
      <w:r w:rsidRPr="00AE3F1B">
        <w:rPr>
          <w:rFonts w:ascii="Garamond" w:hAnsi="Garamond"/>
          <w:sz w:val="24"/>
          <w:szCs w:val="24"/>
        </w:rPr>
        <w:tab/>
        <w:t>Podpisy</w:t>
      </w:r>
      <w:r w:rsidRPr="00AE3F1B">
        <w:rPr>
          <w:rFonts w:ascii="Garamond" w:hAnsi="Garamond"/>
          <w:sz w:val="24"/>
          <w:szCs w:val="24"/>
        </w:rPr>
        <w:tab/>
        <w:t>osób</w:t>
      </w:r>
      <w:r w:rsidRPr="00AE3F1B">
        <w:rPr>
          <w:rFonts w:ascii="Garamond" w:hAnsi="Garamond"/>
          <w:sz w:val="24"/>
          <w:szCs w:val="24"/>
        </w:rPr>
        <w:tab/>
      </w:r>
      <w:r w:rsidR="00000000">
        <w:rPr>
          <w:rFonts w:ascii="Garamond" w:hAnsi="Garamond"/>
          <w:noProof/>
          <w:sz w:val="24"/>
          <w:szCs w:val="24"/>
        </w:rPr>
      </w:r>
      <w:r w:rsidR="00000000">
        <w:rPr>
          <w:rFonts w:ascii="Garamond" w:hAnsi="Garamond"/>
          <w:noProof/>
          <w:sz w:val="24"/>
          <w:szCs w:val="24"/>
        </w:rPr>
        <w:pict w14:anchorId="089A3AB5">
          <v:group id="Group 1242503" o:spid="_x0000_s3078" style="width:160.8pt;height:.7pt;mso-position-horizontal-relative:char;mso-position-vertical-relative:line" coordsize="20421,91">
            <v:shape id="Shape 1242502" o:spid="_x0000_s3079" style="position:absolute;width:20421;height:91;visibility:visible" coordsize="2042160,91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" adj="0,,0" path="m,4573r2042160,e" filled="f" strokeweight=".25408mm">
              <v:stroke miterlimit="1" joinstyle="miter"/>
              <v:formulas/>
              <v:path arrowok="t" o:connecttype="segments" textboxrect="0,0,2042160,9147"/>
            </v:shape>
            <w10:anchorlock/>
          </v:group>
        </w:pict>
      </w:r>
    </w:p>
    <w:p w14:paraId="1D066756" w14:textId="77777777" w:rsidR="0091109B" w:rsidRPr="00AE3F1B" w:rsidRDefault="0091109B" w:rsidP="00175586">
      <w:pPr>
        <w:spacing w:after="11" w:line="249" w:lineRule="auto"/>
        <w:ind w:left="567" w:right="-3" w:hanging="567"/>
        <w:jc w:val="left"/>
        <w:rPr>
          <w:rFonts w:ascii="Garamond" w:hAnsi="Garamond"/>
          <w:sz w:val="24"/>
          <w:szCs w:val="24"/>
        </w:rPr>
      </w:pPr>
      <w:r w:rsidRPr="00AE3F1B">
        <w:rPr>
          <w:rFonts w:ascii="Garamond" w:hAnsi="Garamond"/>
          <w:sz w:val="24"/>
          <w:szCs w:val="24"/>
        </w:rPr>
        <w:t>zatwierdzających</w:t>
      </w:r>
    </w:p>
    <w:p w14:paraId="19B6FF2C" w14:textId="77777777" w:rsidR="0091109B" w:rsidRPr="00AE3F1B" w:rsidRDefault="00000000" w:rsidP="00175586">
      <w:pPr>
        <w:spacing w:after="235" w:line="259" w:lineRule="auto"/>
        <w:ind w:left="567" w:right="-3" w:hanging="567"/>
        <w:jc w:val="left"/>
        <w:rPr>
          <w:rFonts w:ascii="Garamond" w:hAnsi="Garamond"/>
          <w:sz w:val="24"/>
          <w:szCs w:val="24"/>
        </w:rPr>
      </w:pPr>
      <w:r>
        <w:rPr>
          <w:rFonts w:ascii="Garamond" w:hAnsi="Garamond"/>
          <w:noProof/>
          <w:sz w:val="24"/>
          <w:szCs w:val="24"/>
        </w:rPr>
      </w:r>
      <w:r>
        <w:rPr>
          <w:rFonts w:ascii="Garamond" w:hAnsi="Garamond"/>
          <w:noProof/>
          <w:sz w:val="24"/>
          <w:szCs w:val="24"/>
        </w:rPr>
        <w:pict w14:anchorId="45643EA2">
          <v:group id="Group 1242505" o:spid="_x0000_s3076" style="width:161.3pt;height:.7pt;mso-position-horizontal-relative:char;mso-position-vertical-relative:line" coordsize="20482,91">
            <v:shape id="Shape 1242504" o:spid="_x0000_s3077" style="position:absolute;width:20482;height:91;visibility:visible" coordsize="2048256,91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" adj="0,,0" path="m,4573r2048256,e" filled="f" strokeweight=".25408mm">
              <v:stroke miterlimit="1" joinstyle="miter"/>
              <v:formulas/>
              <v:path arrowok="t" o:connecttype="segments" textboxrect="0,0,2048256,9147"/>
            </v:shape>
            <w10:anchorlock/>
          </v:group>
        </w:pict>
      </w:r>
    </w:p>
    <w:p w14:paraId="1C6805EA" w14:textId="00C10526" w:rsidR="0091109B" w:rsidRPr="00AE3F1B" w:rsidRDefault="0091109B" w:rsidP="00175586">
      <w:pPr>
        <w:spacing w:after="11" w:line="249" w:lineRule="auto"/>
        <w:ind w:left="567" w:right="-3" w:hanging="567"/>
        <w:jc w:val="left"/>
        <w:rPr>
          <w:rFonts w:ascii="Garamond" w:hAnsi="Garamond"/>
          <w:sz w:val="24"/>
          <w:szCs w:val="24"/>
        </w:rPr>
      </w:pPr>
      <w:r w:rsidRPr="00AE3F1B">
        <w:rPr>
          <w:rFonts w:ascii="Garamond" w:hAnsi="Garamond"/>
          <w:sz w:val="24"/>
          <w:szCs w:val="24"/>
        </w:rPr>
        <w:t xml:space="preserve">aktualizację </w:t>
      </w:r>
      <w:r w:rsidR="00BA6D98" w:rsidRPr="00BA6D98">
        <w:rPr>
          <w:rFonts w:ascii="Garamond" w:hAnsi="Garamond"/>
          <w:sz w:val="24"/>
          <w:szCs w:val="24"/>
        </w:rPr>
        <w:t>IRiESD</w:t>
      </w:r>
    </w:p>
    <w:p w14:paraId="5DB7AE0F" w14:textId="77777777" w:rsidR="00E4249D" w:rsidRPr="00AE3F1B" w:rsidRDefault="00D90517" w:rsidP="00D90517">
      <w:pPr>
        <w:spacing w:after="1440" w:line="265" w:lineRule="auto"/>
        <w:ind w:right="-3"/>
        <w:jc w:val="left"/>
        <w:rPr>
          <w:rFonts w:ascii="Garamond" w:eastAsia="Calibri" w:hAnsi="Garamond" w:cs="Calibri"/>
          <w:sz w:val="24"/>
          <w:szCs w:val="24"/>
        </w:rPr>
      </w:pPr>
      <w:r>
        <w:rPr>
          <w:rFonts w:ascii="Garamond" w:eastAsia="Calibri" w:hAnsi="Garamond" w:cs="Calibri"/>
          <w:sz w:val="24"/>
          <w:szCs w:val="24"/>
        </w:rPr>
        <w:br/>
        <w:t>___________________________</w:t>
      </w:r>
    </w:p>
    <w:p w14:paraId="6A9D5D4C" w14:textId="77777777" w:rsidR="00155B82" w:rsidRPr="00AE3F1B" w:rsidRDefault="00155B82" w:rsidP="00175586">
      <w:pPr>
        <w:spacing w:after="422"/>
        <w:ind w:left="567" w:right="-3" w:hanging="567"/>
        <w:jc w:val="left"/>
        <w:rPr>
          <w:rFonts w:ascii="Garamond" w:hAnsi="Garamond"/>
          <w:sz w:val="24"/>
          <w:szCs w:val="24"/>
        </w:rPr>
      </w:pPr>
    </w:p>
    <w:p w14:paraId="3211235F" w14:textId="77777777" w:rsidR="00D90517" w:rsidRDefault="00D90517" w:rsidP="00175586">
      <w:pPr>
        <w:spacing w:after="422"/>
        <w:ind w:left="567" w:right="-3" w:hanging="567"/>
        <w:jc w:val="left"/>
        <w:rPr>
          <w:rFonts w:ascii="Garamond" w:hAnsi="Garamond"/>
          <w:b/>
          <w:bCs/>
          <w:sz w:val="32"/>
          <w:szCs w:val="32"/>
        </w:rPr>
      </w:pPr>
    </w:p>
    <w:p w14:paraId="5686C987" w14:textId="77777777" w:rsidR="00D90517" w:rsidRDefault="00D90517" w:rsidP="00175586">
      <w:pPr>
        <w:spacing w:after="422"/>
        <w:ind w:left="567" w:right="-3" w:hanging="567"/>
        <w:jc w:val="left"/>
        <w:rPr>
          <w:rFonts w:ascii="Garamond" w:hAnsi="Garamond"/>
          <w:b/>
          <w:bCs/>
          <w:sz w:val="32"/>
          <w:szCs w:val="32"/>
        </w:rPr>
      </w:pPr>
    </w:p>
    <w:p w14:paraId="0BEE2DF7" w14:textId="77777777" w:rsidR="00D90517" w:rsidRDefault="00D90517" w:rsidP="00175586">
      <w:pPr>
        <w:spacing w:after="422"/>
        <w:ind w:left="567" w:right="-3" w:hanging="567"/>
        <w:jc w:val="left"/>
        <w:rPr>
          <w:rFonts w:ascii="Garamond" w:hAnsi="Garamond"/>
          <w:b/>
          <w:bCs/>
          <w:sz w:val="32"/>
          <w:szCs w:val="32"/>
        </w:rPr>
      </w:pPr>
    </w:p>
    <w:p w14:paraId="4B66221D" w14:textId="77777777" w:rsidR="00D90517" w:rsidRDefault="00D90517" w:rsidP="00175586">
      <w:pPr>
        <w:spacing w:after="422"/>
        <w:ind w:left="567" w:right="-3" w:hanging="567"/>
        <w:jc w:val="left"/>
        <w:rPr>
          <w:rFonts w:ascii="Garamond" w:hAnsi="Garamond"/>
          <w:b/>
          <w:bCs/>
          <w:sz w:val="32"/>
          <w:szCs w:val="32"/>
        </w:rPr>
      </w:pPr>
    </w:p>
    <w:p w14:paraId="28379405" w14:textId="77777777" w:rsidR="002A143B" w:rsidRPr="00EF4ECD" w:rsidRDefault="00EF4ECD" w:rsidP="006316A5">
      <w:pPr>
        <w:spacing w:after="422"/>
        <w:ind w:left="567" w:right="-3" w:hanging="567"/>
        <w:jc w:val="center"/>
        <w:rPr>
          <w:rFonts w:ascii="Garamond" w:hAnsi="Garamond"/>
          <w:b/>
          <w:bCs/>
          <w:sz w:val="32"/>
          <w:szCs w:val="32"/>
        </w:rPr>
      </w:pPr>
      <w:r w:rsidRPr="00EF4ECD">
        <w:rPr>
          <w:rFonts w:ascii="Garamond" w:hAnsi="Garamond"/>
          <w:b/>
          <w:bCs/>
          <w:sz w:val="32"/>
          <w:szCs w:val="32"/>
        </w:rPr>
        <w:t>Instrukcja Ruchu i Eksploatacji Sieci Dystrybucyjnej</w:t>
      </w:r>
    </w:p>
    <w:p w14:paraId="7E607BA5" w14:textId="77777777" w:rsidR="006316A5" w:rsidRDefault="006316A5" w:rsidP="00175586">
      <w:pPr>
        <w:spacing w:after="292" w:line="259" w:lineRule="auto"/>
        <w:ind w:left="567" w:right="-3" w:hanging="567"/>
        <w:jc w:val="left"/>
        <w:rPr>
          <w:rFonts w:ascii="Garamond" w:hAnsi="Garamond"/>
          <w:sz w:val="28"/>
          <w:szCs w:val="28"/>
        </w:rPr>
      </w:pPr>
    </w:p>
    <w:p w14:paraId="4951B504" w14:textId="77777777" w:rsidR="006316A5" w:rsidRDefault="006316A5" w:rsidP="00175586">
      <w:pPr>
        <w:spacing w:after="292" w:line="259" w:lineRule="auto"/>
        <w:ind w:left="567" w:right="-3" w:hanging="567"/>
        <w:jc w:val="left"/>
        <w:rPr>
          <w:rFonts w:ascii="Garamond" w:hAnsi="Garamond"/>
          <w:sz w:val="28"/>
          <w:szCs w:val="28"/>
        </w:rPr>
      </w:pPr>
    </w:p>
    <w:p w14:paraId="5C6A97B4" w14:textId="77777777" w:rsidR="006316A5" w:rsidRDefault="006316A5" w:rsidP="00175586">
      <w:pPr>
        <w:spacing w:after="292" w:line="259" w:lineRule="auto"/>
        <w:ind w:left="567" w:right="-3" w:hanging="567"/>
        <w:jc w:val="left"/>
        <w:rPr>
          <w:rFonts w:ascii="Garamond" w:hAnsi="Garamond"/>
          <w:sz w:val="28"/>
          <w:szCs w:val="28"/>
        </w:rPr>
      </w:pPr>
    </w:p>
    <w:p w14:paraId="7736435A" w14:textId="1F012130" w:rsidR="002A143B" w:rsidRPr="00EF4ECD" w:rsidRDefault="006316A5" w:rsidP="006316A5">
      <w:pPr>
        <w:spacing w:after="292" w:line="259" w:lineRule="auto"/>
        <w:ind w:left="567" w:right="-3" w:hanging="567"/>
        <w:jc w:val="center"/>
        <w:rPr>
          <w:rFonts w:ascii="Garamond" w:hAnsi="Garamond"/>
          <w:sz w:val="28"/>
          <w:szCs w:val="28"/>
        </w:rPr>
      </w:pPr>
      <w:r w:rsidRPr="00EF4ECD">
        <w:rPr>
          <w:rFonts w:ascii="Garamond" w:hAnsi="Garamond"/>
          <w:sz w:val="28"/>
          <w:szCs w:val="28"/>
        </w:rPr>
        <w:t>C</w:t>
      </w:r>
      <w:r w:rsidR="00DA12DF" w:rsidRPr="00EF4ECD">
        <w:rPr>
          <w:rFonts w:ascii="Garamond" w:hAnsi="Garamond"/>
          <w:sz w:val="28"/>
          <w:szCs w:val="28"/>
        </w:rPr>
        <w:t>z</w:t>
      </w:r>
      <w:r w:rsidR="00300C40" w:rsidRPr="00EF4ECD">
        <w:rPr>
          <w:rFonts w:ascii="Garamond" w:hAnsi="Garamond"/>
          <w:sz w:val="28"/>
          <w:szCs w:val="28"/>
        </w:rPr>
        <w:t>ę</w:t>
      </w:r>
      <w:r w:rsidR="00DA12DF" w:rsidRPr="00EF4ECD">
        <w:rPr>
          <w:rFonts w:ascii="Garamond" w:hAnsi="Garamond"/>
          <w:sz w:val="28"/>
          <w:szCs w:val="28"/>
        </w:rPr>
        <w:t>ść</w:t>
      </w:r>
      <w:r>
        <w:rPr>
          <w:rFonts w:ascii="Garamond" w:hAnsi="Garamond"/>
          <w:sz w:val="28"/>
          <w:szCs w:val="28"/>
        </w:rPr>
        <w:t xml:space="preserve"> II</w:t>
      </w:r>
      <w:r w:rsidR="00DA12DF" w:rsidRPr="00EF4ECD">
        <w:rPr>
          <w:rFonts w:ascii="Garamond" w:hAnsi="Garamond"/>
          <w:sz w:val="28"/>
          <w:szCs w:val="28"/>
        </w:rPr>
        <w:t>:</w:t>
      </w:r>
    </w:p>
    <w:p w14:paraId="77C2D518" w14:textId="77777777" w:rsidR="002A143B" w:rsidRPr="00EF4ECD" w:rsidRDefault="00155B82" w:rsidP="006316A5">
      <w:pPr>
        <w:spacing w:after="0" w:line="249" w:lineRule="auto"/>
        <w:ind w:left="567" w:right="-3" w:hanging="567"/>
        <w:jc w:val="center"/>
        <w:rPr>
          <w:rFonts w:ascii="Garamond" w:hAnsi="Garamond"/>
          <w:sz w:val="28"/>
          <w:szCs w:val="28"/>
        </w:rPr>
      </w:pPr>
      <w:r w:rsidRPr="00EF4ECD">
        <w:rPr>
          <w:rFonts w:ascii="Garamond" w:hAnsi="Garamond"/>
          <w:sz w:val="28"/>
          <w:szCs w:val="28"/>
        </w:rPr>
        <w:t xml:space="preserve">Bilansowanie Systemu Dystrybucyjnego i Zarządzanie </w:t>
      </w:r>
      <w:r w:rsidRPr="00EF4ECD">
        <w:rPr>
          <w:rFonts w:ascii="Garamond" w:hAnsi="Garamond"/>
          <w:sz w:val="28"/>
          <w:szCs w:val="28"/>
        </w:rPr>
        <w:br/>
        <w:t>Ograniczeniami Systemowymi</w:t>
      </w:r>
    </w:p>
    <w:p w14:paraId="0875EE3C" w14:textId="77777777" w:rsidR="00F44119" w:rsidRPr="00AE3F1B" w:rsidRDefault="00F44119" w:rsidP="006316A5">
      <w:pPr>
        <w:spacing w:after="0" w:line="249" w:lineRule="auto"/>
        <w:ind w:left="567" w:right="-3" w:hanging="567"/>
        <w:jc w:val="center"/>
        <w:rPr>
          <w:rFonts w:ascii="Garamond" w:hAnsi="Garamond"/>
          <w:sz w:val="24"/>
          <w:szCs w:val="24"/>
        </w:rPr>
      </w:pPr>
    </w:p>
    <w:p w14:paraId="2F4138A8" w14:textId="77777777" w:rsidR="00F44119" w:rsidRPr="00AE3F1B" w:rsidRDefault="00F44119" w:rsidP="00175586">
      <w:pPr>
        <w:spacing w:after="0" w:line="249" w:lineRule="auto"/>
        <w:ind w:left="567" w:right="-3" w:hanging="567"/>
        <w:jc w:val="left"/>
        <w:rPr>
          <w:rFonts w:ascii="Garamond" w:hAnsi="Garamond"/>
          <w:sz w:val="24"/>
          <w:szCs w:val="24"/>
        </w:rPr>
      </w:pPr>
    </w:p>
    <w:p w14:paraId="74275C18" w14:textId="77777777" w:rsidR="00F44119" w:rsidRPr="00AE3F1B" w:rsidRDefault="00F44119" w:rsidP="00175586">
      <w:pPr>
        <w:spacing w:after="0" w:line="249" w:lineRule="auto"/>
        <w:ind w:left="567" w:right="-3" w:hanging="567"/>
        <w:jc w:val="left"/>
        <w:rPr>
          <w:rFonts w:ascii="Garamond" w:hAnsi="Garamond"/>
          <w:sz w:val="24"/>
          <w:szCs w:val="24"/>
        </w:rPr>
      </w:pPr>
    </w:p>
    <w:p w14:paraId="25050778" w14:textId="77777777" w:rsidR="00F44119" w:rsidRPr="00AE3F1B" w:rsidRDefault="00F44119" w:rsidP="00175586">
      <w:pPr>
        <w:spacing w:after="0" w:line="249" w:lineRule="auto"/>
        <w:ind w:left="567" w:right="-3" w:hanging="567"/>
        <w:jc w:val="left"/>
        <w:rPr>
          <w:rFonts w:ascii="Garamond" w:hAnsi="Garamond"/>
          <w:sz w:val="24"/>
          <w:szCs w:val="24"/>
        </w:rPr>
      </w:pPr>
    </w:p>
    <w:p w14:paraId="4CFC5F15" w14:textId="77777777" w:rsidR="00F44119" w:rsidRPr="00AE3F1B" w:rsidRDefault="00F44119" w:rsidP="00175586">
      <w:pPr>
        <w:spacing w:after="0" w:line="249" w:lineRule="auto"/>
        <w:ind w:left="567" w:right="-3" w:hanging="567"/>
        <w:jc w:val="left"/>
        <w:rPr>
          <w:rFonts w:ascii="Garamond" w:hAnsi="Garamond"/>
          <w:sz w:val="24"/>
          <w:szCs w:val="24"/>
        </w:rPr>
      </w:pPr>
    </w:p>
    <w:p w14:paraId="08D89654" w14:textId="77777777" w:rsidR="00F44119" w:rsidRPr="00AE3F1B" w:rsidRDefault="00F44119" w:rsidP="00175586">
      <w:pPr>
        <w:spacing w:after="0" w:line="249" w:lineRule="auto"/>
        <w:ind w:left="567" w:right="-3" w:hanging="567"/>
        <w:jc w:val="left"/>
        <w:rPr>
          <w:rFonts w:ascii="Garamond" w:hAnsi="Garamond"/>
          <w:sz w:val="24"/>
          <w:szCs w:val="24"/>
        </w:rPr>
      </w:pPr>
    </w:p>
    <w:p w14:paraId="780BC4FE" w14:textId="77777777" w:rsidR="00F44119" w:rsidRPr="00AE3F1B" w:rsidRDefault="00F44119" w:rsidP="00175586">
      <w:pPr>
        <w:spacing w:after="0" w:line="249" w:lineRule="auto"/>
        <w:ind w:left="567" w:right="-3" w:hanging="567"/>
        <w:jc w:val="left"/>
        <w:rPr>
          <w:rFonts w:ascii="Garamond" w:hAnsi="Garamond"/>
          <w:sz w:val="24"/>
          <w:szCs w:val="24"/>
        </w:rPr>
      </w:pPr>
    </w:p>
    <w:p w14:paraId="7691321E" w14:textId="77777777" w:rsidR="00F44119" w:rsidRPr="00AE3F1B" w:rsidRDefault="00F44119" w:rsidP="00175586">
      <w:pPr>
        <w:spacing w:after="0" w:line="249" w:lineRule="auto"/>
        <w:ind w:left="567" w:right="-3" w:hanging="567"/>
        <w:jc w:val="left"/>
        <w:rPr>
          <w:rFonts w:ascii="Garamond" w:hAnsi="Garamond"/>
          <w:sz w:val="24"/>
          <w:szCs w:val="24"/>
        </w:rPr>
      </w:pPr>
    </w:p>
    <w:p w14:paraId="3B3C8DD4" w14:textId="77777777" w:rsidR="00F44119" w:rsidRPr="00AE3F1B" w:rsidRDefault="00F44119" w:rsidP="00175586">
      <w:pPr>
        <w:spacing w:after="0" w:line="249" w:lineRule="auto"/>
        <w:ind w:left="567" w:right="-3" w:hanging="567"/>
        <w:jc w:val="left"/>
        <w:rPr>
          <w:rFonts w:ascii="Garamond" w:hAnsi="Garamond"/>
          <w:sz w:val="24"/>
          <w:szCs w:val="24"/>
        </w:rPr>
      </w:pPr>
    </w:p>
    <w:p w14:paraId="1D19CB45" w14:textId="77777777" w:rsidR="00F44119" w:rsidRPr="00AE3F1B" w:rsidRDefault="00F44119" w:rsidP="00175586">
      <w:pPr>
        <w:spacing w:after="0" w:line="249" w:lineRule="auto"/>
        <w:ind w:left="567" w:right="-3" w:hanging="567"/>
        <w:jc w:val="left"/>
        <w:rPr>
          <w:rFonts w:ascii="Garamond" w:hAnsi="Garamond"/>
          <w:sz w:val="24"/>
          <w:szCs w:val="24"/>
        </w:rPr>
      </w:pPr>
    </w:p>
    <w:p w14:paraId="0197D3F6" w14:textId="77777777" w:rsidR="00F44119" w:rsidRPr="00AE3F1B" w:rsidRDefault="00F44119" w:rsidP="00175586">
      <w:pPr>
        <w:spacing w:after="0" w:line="249" w:lineRule="auto"/>
        <w:ind w:left="567" w:right="-3" w:hanging="567"/>
        <w:jc w:val="left"/>
        <w:rPr>
          <w:rFonts w:ascii="Garamond" w:hAnsi="Garamond"/>
          <w:sz w:val="24"/>
          <w:szCs w:val="24"/>
        </w:rPr>
      </w:pPr>
    </w:p>
    <w:p w14:paraId="38AB3931" w14:textId="77777777" w:rsidR="00F44119" w:rsidRDefault="00F44119" w:rsidP="00175586">
      <w:pPr>
        <w:spacing w:after="0" w:line="249" w:lineRule="auto"/>
        <w:ind w:left="567" w:right="-3" w:hanging="567"/>
        <w:jc w:val="left"/>
        <w:rPr>
          <w:rFonts w:ascii="Garamond" w:hAnsi="Garamond"/>
          <w:sz w:val="24"/>
          <w:szCs w:val="24"/>
        </w:rPr>
      </w:pPr>
    </w:p>
    <w:p w14:paraId="1BBDE8D1" w14:textId="77777777" w:rsidR="00EF4ECD" w:rsidRDefault="00EF4ECD" w:rsidP="00175586">
      <w:pPr>
        <w:spacing w:after="0" w:line="249" w:lineRule="auto"/>
        <w:ind w:left="567" w:right="-3" w:hanging="567"/>
        <w:jc w:val="left"/>
        <w:rPr>
          <w:rFonts w:ascii="Garamond" w:hAnsi="Garamond"/>
          <w:sz w:val="24"/>
          <w:szCs w:val="24"/>
        </w:rPr>
      </w:pPr>
    </w:p>
    <w:p w14:paraId="5F995AF6" w14:textId="77777777" w:rsidR="00EF4ECD" w:rsidRDefault="00EF4ECD" w:rsidP="00175586">
      <w:pPr>
        <w:spacing w:after="0" w:line="249" w:lineRule="auto"/>
        <w:ind w:left="567" w:right="-3" w:hanging="567"/>
        <w:jc w:val="left"/>
        <w:rPr>
          <w:rFonts w:ascii="Garamond" w:hAnsi="Garamond"/>
          <w:sz w:val="24"/>
          <w:szCs w:val="24"/>
        </w:rPr>
      </w:pPr>
    </w:p>
    <w:p w14:paraId="194382AF" w14:textId="77777777" w:rsidR="00EF4ECD" w:rsidRDefault="00EF4ECD" w:rsidP="00175586">
      <w:pPr>
        <w:spacing w:after="0" w:line="249" w:lineRule="auto"/>
        <w:ind w:left="567" w:right="-3" w:hanging="567"/>
        <w:jc w:val="left"/>
        <w:rPr>
          <w:rFonts w:ascii="Garamond" w:hAnsi="Garamond"/>
          <w:sz w:val="24"/>
          <w:szCs w:val="24"/>
        </w:rPr>
      </w:pPr>
    </w:p>
    <w:p w14:paraId="4DF93BF4" w14:textId="77777777" w:rsidR="00EF4ECD" w:rsidRDefault="00EF4ECD" w:rsidP="00175586">
      <w:pPr>
        <w:spacing w:after="0" w:line="249" w:lineRule="auto"/>
        <w:ind w:left="567" w:right="-3" w:hanging="567"/>
        <w:jc w:val="left"/>
        <w:rPr>
          <w:rFonts w:ascii="Garamond" w:hAnsi="Garamond"/>
          <w:sz w:val="24"/>
          <w:szCs w:val="24"/>
        </w:rPr>
      </w:pPr>
    </w:p>
    <w:p w14:paraId="6D7DEB4F" w14:textId="77777777" w:rsidR="00EF4ECD" w:rsidRDefault="00EF4ECD" w:rsidP="00175586">
      <w:pPr>
        <w:spacing w:after="0" w:line="249" w:lineRule="auto"/>
        <w:ind w:left="567" w:right="-3" w:hanging="567"/>
        <w:jc w:val="left"/>
        <w:rPr>
          <w:rFonts w:ascii="Garamond" w:hAnsi="Garamond"/>
          <w:sz w:val="24"/>
          <w:szCs w:val="24"/>
        </w:rPr>
      </w:pPr>
    </w:p>
    <w:p w14:paraId="12B93694" w14:textId="77777777" w:rsidR="00EF4ECD" w:rsidRDefault="00EF4ECD" w:rsidP="00175586">
      <w:pPr>
        <w:spacing w:after="0" w:line="249" w:lineRule="auto"/>
        <w:ind w:left="567" w:right="-3" w:hanging="567"/>
        <w:jc w:val="left"/>
        <w:rPr>
          <w:rFonts w:ascii="Garamond" w:hAnsi="Garamond"/>
          <w:sz w:val="24"/>
          <w:szCs w:val="24"/>
        </w:rPr>
      </w:pPr>
    </w:p>
    <w:p w14:paraId="666F8F6D" w14:textId="77777777" w:rsidR="00EF4ECD" w:rsidRDefault="00EF4ECD" w:rsidP="00175586">
      <w:pPr>
        <w:spacing w:after="0" w:line="249" w:lineRule="auto"/>
        <w:ind w:left="567" w:right="-3" w:hanging="567"/>
        <w:jc w:val="left"/>
        <w:rPr>
          <w:rFonts w:ascii="Garamond" w:hAnsi="Garamond"/>
          <w:sz w:val="24"/>
          <w:szCs w:val="24"/>
        </w:rPr>
      </w:pPr>
    </w:p>
    <w:p w14:paraId="60DE2342" w14:textId="77777777" w:rsidR="00D90517" w:rsidRDefault="00D90517" w:rsidP="00175586">
      <w:pPr>
        <w:spacing w:after="0" w:line="249" w:lineRule="auto"/>
        <w:ind w:left="567" w:right="-3" w:hanging="567"/>
        <w:jc w:val="left"/>
        <w:rPr>
          <w:rFonts w:ascii="Garamond" w:hAnsi="Garamond"/>
          <w:sz w:val="24"/>
          <w:szCs w:val="24"/>
        </w:rPr>
      </w:pPr>
    </w:p>
    <w:p w14:paraId="44FB92F0" w14:textId="77777777" w:rsidR="00D90517" w:rsidRDefault="00D90517" w:rsidP="00175586">
      <w:pPr>
        <w:spacing w:after="0" w:line="249" w:lineRule="auto"/>
        <w:ind w:left="567" w:right="-3" w:hanging="567"/>
        <w:jc w:val="left"/>
        <w:rPr>
          <w:rFonts w:ascii="Garamond" w:hAnsi="Garamond"/>
          <w:sz w:val="24"/>
          <w:szCs w:val="24"/>
        </w:rPr>
      </w:pPr>
    </w:p>
    <w:p w14:paraId="0240D39D" w14:textId="77777777" w:rsidR="00D90517" w:rsidRDefault="00D90517" w:rsidP="00175586">
      <w:pPr>
        <w:spacing w:after="0" w:line="249" w:lineRule="auto"/>
        <w:ind w:left="567" w:right="-3" w:hanging="567"/>
        <w:jc w:val="left"/>
        <w:rPr>
          <w:rFonts w:ascii="Garamond" w:hAnsi="Garamond"/>
          <w:sz w:val="24"/>
          <w:szCs w:val="24"/>
        </w:rPr>
      </w:pPr>
    </w:p>
    <w:p w14:paraId="0C02DA06" w14:textId="77777777" w:rsidR="00D90517" w:rsidRDefault="00D90517" w:rsidP="00175586">
      <w:pPr>
        <w:spacing w:after="0" w:line="249" w:lineRule="auto"/>
        <w:ind w:left="567" w:right="-3" w:hanging="567"/>
        <w:jc w:val="left"/>
        <w:rPr>
          <w:rFonts w:ascii="Garamond" w:hAnsi="Garamond"/>
          <w:sz w:val="24"/>
          <w:szCs w:val="24"/>
        </w:rPr>
      </w:pPr>
    </w:p>
    <w:p w14:paraId="2B4090DD" w14:textId="77777777" w:rsidR="00B96A56" w:rsidRPr="00D90517" w:rsidRDefault="00EF4ECD">
      <w:pPr>
        <w:numPr>
          <w:ilvl w:val="0"/>
          <w:numId w:val="42"/>
        </w:numPr>
        <w:spacing w:after="112" w:line="248" w:lineRule="auto"/>
        <w:ind w:left="567" w:right="-3" w:hanging="567"/>
        <w:jc w:val="left"/>
        <w:rPr>
          <w:rFonts w:asciiTheme="majorHAnsi" w:hAnsiTheme="majorHAnsi"/>
          <w:sz w:val="24"/>
          <w:szCs w:val="24"/>
        </w:rPr>
      </w:pPr>
      <w:r w:rsidRPr="00D90517">
        <w:rPr>
          <w:rFonts w:asciiTheme="majorHAnsi" w:hAnsiTheme="majorHAnsi"/>
          <w:b/>
          <w:bCs/>
          <w:sz w:val="24"/>
          <w:szCs w:val="24"/>
        </w:rPr>
        <w:t>Postanowienia ogólne</w:t>
      </w:r>
    </w:p>
    <w:p w14:paraId="6702443A" w14:textId="697B4236" w:rsidR="00B96A56" w:rsidRPr="00AE3F1B" w:rsidRDefault="004513D3" w:rsidP="004513D3">
      <w:pPr>
        <w:spacing w:after="15" w:line="248" w:lineRule="auto"/>
        <w:ind w:left="567" w:right="-3" w:hanging="567"/>
        <w:jc w:val="left"/>
        <w:rPr>
          <w:rFonts w:ascii="Garamond" w:hAnsi="Garamond"/>
          <w:sz w:val="24"/>
          <w:szCs w:val="24"/>
        </w:rPr>
      </w:pPr>
      <w:r w:rsidRPr="00D90517">
        <w:rPr>
          <w:rFonts w:asciiTheme="majorHAnsi" w:hAnsiTheme="majorHAnsi"/>
          <w:sz w:val="24"/>
          <w:szCs w:val="24"/>
        </w:rPr>
        <w:t>A.</w:t>
      </w:r>
      <w:r w:rsidR="005B3AD1">
        <w:rPr>
          <w:rFonts w:asciiTheme="majorHAnsi" w:hAnsiTheme="majorHAnsi"/>
          <w:sz w:val="24"/>
          <w:szCs w:val="24"/>
        </w:rPr>
        <w:t>1</w:t>
      </w:r>
      <w:r w:rsidRPr="00D90517">
        <w:rPr>
          <w:rFonts w:asciiTheme="majorHAnsi" w:hAnsiTheme="majorHAnsi"/>
          <w:sz w:val="24"/>
          <w:szCs w:val="24"/>
        </w:rPr>
        <w:t xml:space="preserve">. </w:t>
      </w:r>
      <w:r>
        <w:rPr>
          <w:rFonts w:asciiTheme="majorHAnsi" w:hAnsiTheme="majorHAnsi"/>
          <w:sz w:val="24"/>
          <w:szCs w:val="24"/>
        </w:rPr>
        <w:tab/>
      </w:r>
      <w:r w:rsidR="00B96A56" w:rsidRPr="00D90517">
        <w:rPr>
          <w:rFonts w:asciiTheme="majorHAnsi" w:hAnsiTheme="majorHAnsi"/>
          <w:sz w:val="24"/>
          <w:szCs w:val="24"/>
        </w:rPr>
        <w:t xml:space="preserve">Postanowienia wstępne. Uwarunkowania formalno-prawne. Zakres </w:t>
      </w:r>
      <w:r w:rsidR="0030361A" w:rsidRPr="00D90517">
        <w:rPr>
          <w:rFonts w:asciiTheme="majorHAnsi" w:hAnsiTheme="majorHAnsi"/>
          <w:sz w:val="24"/>
          <w:szCs w:val="24"/>
        </w:rPr>
        <w:t>p</w:t>
      </w:r>
      <w:r w:rsidR="00B96A56" w:rsidRPr="00D90517">
        <w:rPr>
          <w:rFonts w:asciiTheme="majorHAnsi" w:hAnsiTheme="majorHAnsi"/>
          <w:sz w:val="24"/>
          <w:szCs w:val="24"/>
        </w:rPr>
        <w:t xml:space="preserve">rzedmiotowy </w:t>
      </w:r>
      <w:r w:rsidR="00B96A56" w:rsidRPr="00AE3F1B">
        <w:rPr>
          <w:rFonts w:ascii="Garamond" w:hAnsi="Garamond"/>
          <w:sz w:val="24"/>
          <w:szCs w:val="24"/>
        </w:rPr>
        <w:t>i podmiotowy. Ogólne zasady funkcjonowania rynku bilansującego i detalicznego.</w:t>
      </w:r>
    </w:p>
    <w:p w14:paraId="5D004C05" w14:textId="1FB4830A" w:rsidR="00B96A56" w:rsidRPr="00AE3F1B" w:rsidRDefault="00A81305" w:rsidP="00175586">
      <w:pPr>
        <w:spacing w:after="15" w:line="249" w:lineRule="auto"/>
        <w:ind w:left="567" w:right="-3" w:hanging="567"/>
        <w:jc w:val="left"/>
        <w:rPr>
          <w:rFonts w:ascii="Garamond" w:hAnsi="Garamond"/>
          <w:sz w:val="24"/>
          <w:szCs w:val="24"/>
        </w:rPr>
      </w:pPr>
      <w:r>
        <w:rPr>
          <w:rFonts w:ascii="Garamond" w:hAnsi="Garamond"/>
          <w:sz w:val="24"/>
          <w:szCs w:val="24"/>
        </w:rPr>
        <w:t>A</w:t>
      </w:r>
      <w:r w:rsidR="00B96A56" w:rsidRPr="00AE3F1B">
        <w:rPr>
          <w:rFonts w:ascii="Garamond" w:hAnsi="Garamond"/>
          <w:sz w:val="24"/>
          <w:szCs w:val="24"/>
        </w:rPr>
        <w:t>.1.1. Uwarunkowania</w:t>
      </w:r>
      <w:r w:rsidR="006316A5">
        <w:rPr>
          <w:rFonts w:ascii="Garamond" w:hAnsi="Garamond"/>
          <w:sz w:val="24"/>
          <w:szCs w:val="24"/>
        </w:rPr>
        <w:t xml:space="preserve"> </w:t>
      </w:r>
      <w:r w:rsidR="00B96A56" w:rsidRPr="00AE3F1B">
        <w:rPr>
          <w:rFonts w:ascii="Garamond" w:hAnsi="Garamond"/>
          <w:sz w:val="24"/>
          <w:szCs w:val="24"/>
        </w:rPr>
        <w:t>formalno-prawne dla</w:t>
      </w:r>
      <w:r w:rsidR="00B96A56" w:rsidRPr="00AE3F1B">
        <w:rPr>
          <w:rFonts w:ascii="Garamond" w:hAnsi="Garamond"/>
          <w:sz w:val="24"/>
          <w:szCs w:val="24"/>
        </w:rPr>
        <w:tab/>
        <w:t>części</w:t>
      </w:r>
      <w:r w:rsidR="008D15C5">
        <w:rPr>
          <w:rFonts w:ascii="Garamond" w:hAnsi="Garamond"/>
          <w:sz w:val="24"/>
          <w:szCs w:val="24"/>
        </w:rPr>
        <w:t xml:space="preserve"> </w:t>
      </w:r>
      <w:r w:rsidR="008D15C5" w:rsidRPr="008D15C5">
        <w:rPr>
          <w:rFonts w:ascii="Garamond" w:hAnsi="Garamond"/>
          <w:sz w:val="24"/>
          <w:szCs w:val="24"/>
        </w:rPr>
        <w:t>IRiESD</w:t>
      </w:r>
      <w:r w:rsidR="008D15C5">
        <w:rPr>
          <w:rFonts w:ascii="Garamond" w:hAnsi="Garamond"/>
          <w:sz w:val="24"/>
          <w:szCs w:val="24"/>
        </w:rPr>
        <w:t xml:space="preserve"> </w:t>
      </w:r>
      <w:r w:rsidR="00B96A56" w:rsidRPr="00AE3F1B">
        <w:rPr>
          <w:rFonts w:ascii="Garamond" w:hAnsi="Garamond"/>
          <w:sz w:val="24"/>
          <w:szCs w:val="24"/>
        </w:rPr>
        <w:t>-</w:t>
      </w:r>
      <w:r w:rsidR="008D15C5">
        <w:rPr>
          <w:rFonts w:ascii="Garamond" w:hAnsi="Garamond"/>
          <w:sz w:val="24"/>
          <w:szCs w:val="24"/>
        </w:rPr>
        <w:t xml:space="preserve"> </w:t>
      </w:r>
      <w:r w:rsidR="00B96A56" w:rsidRPr="00AE3F1B">
        <w:rPr>
          <w:rFonts w:ascii="Garamond" w:hAnsi="Garamond"/>
          <w:sz w:val="24"/>
          <w:szCs w:val="24"/>
        </w:rPr>
        <w:t xml:space="preserve">Bilansowanie wynikają w szczególności </w:t>
      </w:r>
      <w:r w:rsidR="0030361A" w:rsidRPr="00AE3F1B">
        <w:rPr>
          <w:rFonts w:ascii="Garamond" w:hAnsi="Garamond"/>
          <w:sz w:val="24"/>
          <w:szCs w:val="24"/>
        </w:rPr>
        <w:br/>
      </w:r>
      <w:r w:rsidR="00B96A56" w:rsidRPr="00AE3F1B">
        <w:rPr>
          <w:rFonts w:ascii="Garamond" w:hAnsi="Garamond"/>
          <w:sz w:val="24"/>
          <w:szCs w:val="24"/>
        </w:rPr>
        <w:t>z następujących przepisów i dokumentów:</w:t>
      </w:r>
    </w:p>
    <w:p w14:paraId="6F714BAF" w14:textId="3AA78876" w:rsidR="002A143B" w:rsidRPr="004513D3" w:rsidRDefault="0030361A">
      <w:pPr>
        <w:pStyle w:val="Akapitzlist"/>
        <w:numPr>
          <w:ilvl w:val="0"/>
          <w:numId w:val="150"/>
        </w:numPr>
        <w:spacing w:after="44"/>
        <w:ind w:right="-3"/>
        <w:jc w:val="left"/>
        <w:rPr>
          <w:rFonts w:ascii="Garamond" w:hAnsi="Garamond"/>
          <w:sz w:val="24"/>
          <w:szCs w:val="24"/>
        </w:rPr>
      </w:pPr>
      <w:r w:rsidRPr="004513D3">
        <w:rPr>
          <w:rFonts w:ascii="Garamond" w:hAnsi="Garamond"/>
          <w:sz w:val="24"/>
          <w:szCs w:val="24"/>
        </w:rPr>
        <w:t xml:space="preserve">ustawy z dnia 10 kwietnia 1997 r. Prawo </w:t>
      </w:r>
      <w:r w:rsidR="00051C84" w:rsidRPr="004513D3">
        <w:rPr>
          <w:rFonts w:ascii="Garamond" w:hAnsi="Garamond"/>
          <w:sz w:val="24"/>
          <w:szCs w:val="24"/>
        </w:rPr>
        <w:t>energetyczne</w:t>
      </w:r>
      <w:r w:rsidRPr="004513D3">
        <w:rPr>
          <w:rFonts w:ascii="Garamond" w:hAnsi="Garamond"/>
          <w:sz w:val="24"/>
          <w:szCs w:val="24"/>
        </w:rPr>
        <w:t xml:space="preserve"> (Dz. U. z </w:t>
      </w:r>
      <w:r w:rsidR="0039268C" w:rsidRPr="004513D3">
        <w:rPr>
          <w:rFonts w:ascii="Garamond" w:hAnsi="Garamond"/>
          <w:sz w:val="24"/>
          <w:szCs w:val="24"/>
        </w:rPr>
        <w:t>2024 r.</w:t>
      </w:r>
      <w:r w:rsidRPr="004513D3">
        <w:rPr>
          <w:rFonts w:ascii="Garamond" w:hAnsi="Garamond"/>
          <w:sz w:val="24"/>
          <w:szCs w:val="24"/>
        </w:rPr>
        <w:t xml:space="preserve">, poz. </w:t>
      </w:r>
      <w:r w:rsidR="0039268C" w:rsidRPr="004513D3">
        <w:rPr>
          <w:rFonts w:ascii="Garamond" w:hAnsi="Garamond"/>
          <w:sz w:val="24"/>
          <w:szCs w:val="24"/>
        </w:rPr>
        <w:t xml:space="preserve">266 </w:t>
      </w:r>
      <w:r w:rsidRPr="004513D3">
        <w:rPr>
          <w:rFonts w:ascii="Garamond" w:hAnsi="Garamond"/>
          <w:sz w:val="24"/>
          <w:szCs w:val="24"/>
        </w:rPr>
        <w:t>wraz z późniejszymi zmianami) oraz wydanymi na jej podstawie aktami wykonawczymi,</w:t>
      </w:r>
    </w:p>
    <w:p w14:paraId="6A5487DB" w14:textId="77777777" w:rsidR="004513D3" w:rsidRPr="004513D3" w:rsidRDefault="00F15C7F">
      <w:pPr>
        <w:pStyle w:val="Akapitzlist"/>
        <w:numPr>
          <w:ilvl w:val="0"/>
          <w:numId w:val="150"/>
        </w:numPr>
        <w:spacing w:after="157" w:line="249" w:lineRule="auto"/>
        <w:ind w:right="-3"/>
        <w:jc w:val="left"/>
        <w:rPr>
          <w:rFonts w:ascii="Garamond" w:hAnsi="Garamond"/>
          <w:sz w:val="24"/>
          <w:szCs w:val="24"/>
        </w:rPr>
      </w:pPr>
      <w:r w:rsidRPr="004513D3">
        <w:rPr>
          <w:rFonts w:ascii="Garamond" w:hAnsi="Garamond"/>
          <w:sz w:val="24"/>
          <w:szCs w:val="24"/>
        </w:rPr>
        <w:t xml:space="preserve">ustawy z dnia 20 maja </w:t>
      </w:r>
      <w:r w:rsidR="00051C84" w:rsidRPr="004513D3">
        <w:rPr>
          <w:rFonts w:ascii="Garamond" w:hAnsi="Garamond"/>
          <w:sz w:val="24"/>
          <w:szCs w:val="24"/>
        </w:rPr>
        <w:t>2021 r.</w:t>
      </w:r>
      <w:r w:rsidRPr="004513D3">
        <w:rPr>
          <w:rFonts w:ascii="Garamond" w:hAnsi="Garamond"/>
          <w:sz w:val="24"/>
          <w:szCs w:val="24"/>
        </w:rPr>
        <w:t xml:space="preserve">, o zmianie ustawy – Prawo energetyczne oraz niektórych innych ustaw – zwana dalej „Ustawą OIRE” (Dz. U. </w:t>
      </w:r>
      <w:r w:rsidR="00051C84" w:rsidRPr="004513D3">
        <w:rPr>
          <w:rFonts w:ascii="Garamond" w:hAnsi="Garamond"/>
          <w:sz w:val="24"/>
          <w:szCs w:val="24"/>
        </w:rPr>
        <w:t>2021 r.</w:t>
      </w:r>
      <w:r w:rsidRPr="004513D3">
        <w:rPr>
          <w:rFonts w:ascii="Garamond" w:hAnsi="Garamond"/>
          <w:sz w:val="24"/>
          <w:szCs w:val="24"/>
        </w:rPr>
        <w:t>, poz. 1093</w:t>
      </w:r>
      <w:r w:rsidR="0039268C" w:rsidRPr="004513D3">
        <w:rPr>
          <w:rFonts w:ascii="Garamond" w:hAnsi="Garamond"/>
          <w:sz w:val="24"/>
          <w:szCs w:val="24"/>
        </w:rPr>
        <w:t xml:space="preserve"> z późn. zm.</w:t>
      </w:r>
      <w:r w:rsidRPr="004513D3">
        <w:rPr>
          <w:rFonts w:ascii="Garamond" w:hAnsi="Garamond"/>
          <w:sz w:val="24"/>
          <w:szCs w:val="24"/>
        </w:rPr>
        <w:t>),</w:t>
      </w:r>
    </w:p>
    <w:p w14:paraId="5F8A51A2" w14:textId="6FDF733B" w:rsidR="00F15C7F" w:rsidRPr="004513D3" w:rsidRDefault="00F15C7F">
      <w:pPr>
        <w:pStyle w:val="Akapitzlist"/>
        <w:numPr>
          <w:ilvl w:val="0"/>
          <w:numId w:val="150"/>
        </w:numPr>
        <w:spacing w:after="157" w:line="249" w:lineRule="auto"/>
        <w:ind w:right="-3"/>
        <w:jc w:val="left"/>
        <w:rPr>
          <w:rFonts w:ascii="Garamond" w:hAnsi="Garamond"/>
          <w:sz w:val="24"/>
          <w:szCs w:val="24"/>
        </w:rPr>
      </w:pPr>
      <w:r w:rsidRPr="004513D3">
        <w:rPr>
          <w:rFonts w:ascii="Garamond" w:hAnsi="Garamond"/>
          <w:sz w:val="24"/>
          <w:szCs w:val="24"/>
        </w:rPr>
        <w:t xml:space="preserve">Koncesji Industria Dystrybucja Sp. z o.o. na dystrybucję energii elektrycznej </w:t>
      </w:r>
      <w:r w:rsidRPr="004513D3">
        <w:rPr>
          <w:rFonts w:ascii="Garamond" w:hAnsi="Garamond"/>
          <w:sz w:val="24"/>
          <w:szCs w:val="24"/>
        </w:rPr>
        <w:br/>
        <w:t>nr DEE/459/71879/W/OKA/2024/</w:t>
      </w:r>
      <w:proofErr w:type="spellStart"/>
      <w:r w:rsidRPr="004513D3">
        <w:rPr>
          <w:rFonts w:ascii="Garamond" w:hAnsi="Garamond"/>
          <w:sz w:val="24"/>
          <w:szCs w:val="24"/>
        </w:rPr>
        <w:t>PPu</w:t>
      </w:r>
      <w:proofErr w:type="spellEnd"/>
      <w:r w:rsidRPr="004513D3">
        <w:rPr>
          <w:rFonts w:ascii="Garamond" w:hAnsi="Garamond"/>
          <w:sz w:val="24"/>
          <w:szCs w:val="24"/>
        </w:rPr>
        <w:t xml:space="preserve"> z dnia 24 czerwca </w:t>
      </w:r>
      <w:r w:rsidR="00051C84" w:rsidRPr="004513D3">
        <w:rPr>
          <w:rFonts w:ascii="Garamond" w:hAnsi="Garamond"/>
          <w:sz w:val="24"/>
          <w:szCs w:val="24"/>
        </w:rPr>
        <w:t>2024 r.</w:t>
      </w:r>
    </w:p>
    <w:p w14:paraId="586AA37E" w14:textId="4E89AE23" w:rsidR="00F15C7F" w:rsidRPr="004513D3" w:rsidRDefault="00AE66E3">
      <w:pPr>
        <w:pStyle w:val="Akapitzlist"/>
        <w:numPr>
          <w:ilvl w:val="0"/>
          <w:numId w:val="150"/>
        </w:numPr>
        <w:spacing w:after="2" w:line="249" w:lineRule="auto"/>
        <w:ind w:right="-3"/>
        <w:jc w:val="left"/>
        <w:rPr>
          <w:rFonts w:ascii="Garamond" w:hAnsi="Garamond"/>
          <w:sz w:val="24"/>
          <w:szCs w:val="24"/>
        </w:rPr>
      </w:pPr>
      <w:r w:rsidRPr="004513D3">
        <w:rPr>
          <w:rFonts w:ascii="Garamond" w:hAnsi="Garamond"/>
          <w:sz w:val="24"/>
          <w:szCs w:val="24"/>
        </w:rPr>
        <w:lastRenderedPageBreak/>
        <w:t xml:space="preserve">decyzji Prezesa URE </w:t>
      </w:r>
      <w:r w:rsidR="0039268C" w:rsidRPr="004513D3">
        <w:rPr>
          <w:rFonts w:ascii="Garamond" w:hAnsi="Garamond"/>
          <w:sz w:val="24"/>
          <w:szCs w:val="24"/>
        </w:rPr>
        <w:t>nr DRE.WOSE.4711.</w:t>
      </w:r>
      <w:r w:rsidR="00051C84" w:rsidRPr="004513D3">
        <w:rPr>
          <w:rFonts w:ascii="Garamond" w:hAnsi="Garamond"/>
          <w:sz w:val="24"/>
          <w:szCs w:val="24"/>
        </w:rPr>
        <w:t>18.06.2024.JGz dnia</w:t>
      </w:r>
      <w:r w:rsidR="0039268C" w:rsidRPr="004513D3">
        <w:rPr>
          <w:rFonts w:ascii="Garamond" w:hAnsi="Garamond"/>
          <w:sz w:val="24"/>
          <w:szCs w:val="24"/>
        </w:rPr>
        <w:t xml:space="preserve"> 2 września </w:t>
      </w:r>
      <w:r w:rsidR="00051C84" w:rsidRPr="004513D3">
        <w:rPr>
          <w:rFonts w:ascii="Garamond" w:hAnsi="Garamond"/>
          <w:sz w:val="24"/>
          <w:szCs w:val="24"/>
        </w:rPr>
        <w:t>2024 r.</w:t>
      </w:r>
      <w:r w:rsidR="00EF4ECD" w:rsidRPr="004513D3">
        <w:rPr>
          <w:rFonts w:ascii="Garamond" w:hAnsi="Garamond"/>
          <w:sz w:val="24"/>
          <w:szCs w:val="24"/>
        </w:rPr>
        <w:br/>
      </w:r>
      <w:r w:rsidR="0030361A" w:rsidRPr="004513D3">
        <w:rPr>
          <w:rFonts w:ascii="Garamond" w:hAnsi="Garamond"/>
          <w:sz w:val="24"/>
          <w:szCs w:val="24"/>
        </w:rPr>
        <w:t xml:space="preserve">o wyznaczeniu </w:t>
      </w:r>
      <w:r w:rsidRPr="004513D3">
        <w:rPr>
          <w:rFonts w:ascii="Garamond" w:hAnsi="Garamond"/>
          <w:sz w:val="24"/>
          <w:szCs w:val="24"/>
        </w:rPr>
        <w:t xml:space="preserve">Industrii Dystrybucji Sp. z o.o. </w:t>
      </w:r>
      <w:r w:rsidR="0030361A" w:rsidRPr="004513D3">
        <w:rPr>
          <w:rFonts w:ascii="Garamond" w:hAnsi="Garamond"/>
          <w:sz w:val="24"/>
          <w:szCs w:val="24"/>
        </w:rPr>
        <w:t>Operatorem Systemu</w:t>
      </w:r>
      <w:r w:rsidR="006316A5" w:rsidRPr="004513D3">
        <w:rPr>
          <w:rFonts w:ascii="Garamond" w:hAnsi="Garamond"/>
          <w:sz w:val="24"/>
          <w:szCs w:val="24"/>
        </w:rPr>
        <w:t xml:space="preserve"> </w:t>
      </w:r>
      <w:r w:rsidR="0030361A" w:rsidRPr="004513D3">
        <w:rPr>
          <w:rFonts w:ascii="Garamond" w:hAnsi="Garamond"/>
          <w:sz w:val="24"/>
          <w:szCs w:val="24"/>
        </w:rPr>
        <w:t xml:space="preserve">Dystrybucyjnego </w:t>
      </w:r>
      <w:r w:rsidR="00EF4ECD" w:rsidRPr="004513D3">
        <w:rPr>
          <w:rFonts w:ascii="Garamond" w:hAnsi="Garamond"/>
          <w:sz w:val="24"/>
          <w:szCs w:val="24"/>
        </w:rPr>
        <w:br/>
      </w:r>
      <w:r w:rsidR="0030361A" w:rsidRPr="004513D3">
        <w:rPr>
          <w:rFonts w:ascii="Garamond" w:hAnsi="Garamond"/>
          <w:sz w:val="24"/>
          <w:szCs w:val="24"/>
        </w:rPr>
        <w:t>Elektroenergetycznego</w:t>
      </w:r>
      <w:r w:rsidR="00F15C7F" w:rsidRPr="004513D3">
        <w:rPr>
          <w:rFonts w:ascii="Garamond" w:hAnsi="Garamond"/>
          <w:sz w:val="24"/>
          <w:szCs w:val="24"/>
        </w:rPr>
        <w:t xml:space="preserve">. </w:t>
      </w:r>
    </w:p>
    <w:p w14:paraId="0E0F0B58" w14:textId="6DC3D908" w:rsidR="002A143B" w:rsidRPr="004513D3" w:rsidRDefault="00F15C7F">
      <w:pPr>
        <w:pStyle w:val="Akapitzlist"/>
        <w:numPr>
          <w:ilvl w:val="0"/>
          <w:numId w:val="150"/>
        </w:numPr>
        <w:ind w:right="-3"/>
        <w:jc w:val="left"/>
        <w:rPr>
          <w:rFonts w:ascii="Garamond" w:hAnsi="Garamond"/>
          <w:sz w:val="24"/>
          <w:szCs w:val="24"/>
        </w:rPr>
      </w:pPr>
      <w:r w:rsidRPr="004513D3">
        <w:rPr>
          <w:rFonts w:ascii="Garamond" w:hAnsi="Garamond"/>
          <w:sz w:val="24"/>
          <w:szCs w:val="24"/>
        </w:rPr>
        <w:t>Instrukcji Ruchu i Eksploatacji Sieci Przesyłowej (IRiESP),</w:t>
      </w:r>
    </w:p>
    <w:p w14:paraId="216AEFAA" w14:textId="0F7F4095" w:rsidR="004513D3" w:rsidRPr="004513D3" w:rsidRDefault="00DA12DF">
      <w:pPr>
        <w:pStyle w:val="Akapitzlist"/>
        <w:numPr>
          <w:ilvl w:val="0"/>
          <w:numId w:val="150"/>
        </w:numPr>
        <w:spacing w:after="171" w:line="249" w:lineRule="auto"/>
        <w:ind w:right="-3"/>
        <w:jc w:val="left"/>
        <w:rPr>
          <w:rFonts w:ascii="Garamond" w:hAnsi="Garamond"/>
          <w:sz w:val="24"/>
          <w:szCs w:val="24"/>
        </w:rPr>
      </w:pPr>
      <w:r w:rsidRPr="004513D3">
        <w:rPr>
          <w:rFonts w:ascii="Garamond" w:hAnsi="Garamond"/>
          <w:sz w:val="24"/>
          <w:szCs w:val="24"/>
        </w:rPr>
        <w:t>Instrukcji Ruchu i Eksploatacji Sieci Dystrybucyjnej OSD</w:t>
      </w:r>
      <w:r w:rsidR="004113D4" w:rsidRPr="004513D3">
        <w:rPr>
          <w:rFonts w:ascii="Garamond" w:hAnsi="Garamond"/>
          <w:sz w:val="24"/>
          <w:szCs w:val="24"/>
        </w:rPr>
        <w:t>p</w:t>
      </w:r>
      <w:r w:rsidRPr="004513D3">
        <w:rPr>
          <w:rFonts w:ascii="Garamond" w:hAnsi="Garamond"/>
          <w:sz w:val="24"/>
          <w:szCs w:val="24"/>
        </w:rPr>
        <w:t xml:space="preserve"> nadrzędnego, o którym mowa </w:t>
      </w:r>
      <w:r w:rsidR="00EF4ECD" w:rsidRPr="004513D3">
        <w:rPr>
          <w:rFonts w:ascii="Garamond" w:hAnsi="Garamond"/>
          <w:sz w:val="24"/>
          <w:szCs w:val="24"/>
        </w:rPr>
        <w:br/>
      </w:r>
      <w:r w:rsidRPr="004513D3">
        <w:rPr>
          <w:rFonts w:ascii="Garamond" w:hAnsi="Garamond"/>
          <w:sz w:val="24"/>
          <w:szCs w:val="24"/>
        </w:rPr>
        <w:t>w punkcie 1.1.2 (</w:t>
      </w:r>
      <w:r w:rsidR="00BA6D98" w:rsidRPr="00BA6D98">
        <w:rPr>
          <w:rFonts w:ascii="Garamond" w:hAnsi="Garamond"/>
          <w:sz w:val="24"/>
          <w:szCs w:val="24"/>
        </w:rPr>
        <w:t>IRiESDn</w:t>
      </w:r>
      <w:r w:rsidR="00257369">
        <w:rPr>
          <w:rFonts w:ascii="Garamond" w:hAnsi="Garamond"/>
          <w:sz w:val="24"/>
          <w:szCs w:val="24"/>
        </w:rPr>
        <w:t>)</w:t>
      </w:r>
      <w:r w:rsidRPr="004513D3">
        <w:rPr>
          <w:rFonts w:ascii="Garamond" w:hAnsi="Garamond"/>
          <w:sz w:val="24"/>
          <w:szCs w:val="24"/>
        </w:rPr>
        <w:t>.</w:t>
      </w:r>
    </w:p>
    <w:p w14:paraId="23967310" w14:textId="66E866C5" w:rsidR="004113D4" w:rsidRPr="004513D3" w:rsidRDefault="004113D4">
      <w:pPr>
        <w:pStyle w:val="Akapitzlist"/>
        <w:numPr>
          <w:ilvl w:val="0"/>
          <w:numId w:val="150"/>
        </w:numPr>
        <w:spacing w:after="171" w:line="249" w:lineRule="auto"/>
        <w:ind w:right="-3"/>
        <w:jc w:val="left"/>
        <w:rPr>
          <w:rFonts w:ascii="Garamond" w:hAnsi="Garamond"/>
          <w:sz w:val="24"/>
          <w:szCs w:val="24"/>
        </w:rPr>
      </w:pPr>
      <w:r w:rsidRPr="004513D3">
        <w:rPr>
          <w:rFonts w:ascii="Garamond" w:hAnsi="Garamond"/>
          <w:sz w:val="24"/>
          <w:szCs w:val="24"/>
        </w:rPr>
        <w:t xml:space="preserve">ustawy z dnia 20 lutego 2015 r. o odnawialnych źródłach energii- zwanej dalej </w:t>
      </w:r>
      <w:r w:rsidR="00051C84" w:rsidRPr="004513D3">
        <w:rPr>
          <w:rFonts w:ascii="Garamond" w:hAnsi="Garamond"/>
          <w:sz w:val="24"/>
          <w:szCs w:val="24"/>
        </w:rPr>
        <w:t>„Ustawą</w:t>
      </w:r>
      <w:r w:rsidRPr="004513D3">
        <w:rPr>
          <w:rFonts w:ascii="Garamond" w:hAnsi="Garamond"/>
          <w:sz w:val="24"/>
          <w:szCs w:val="24"/>
        </w:rPr>
        <w:t xml:space="preserve"> OZE” </w:t>
      </w:r>
      <w:r w:rsidR="00051C84" w:rsidRPr="004513D3">
        <w:rPr>
          <w:rFonts w:ascii="Garamond" w:hAnsi="Garamond"/>
          <w:sz w:val="24"/>
          <w:szCs w:val="24"/>
        </w:rPr>
        <w:t>(Dz.U.</w:t>
      </w:r>
      <w:r w:rsidRPr="004513D3">
        <w:rPr>
          <w:rFonts w:ascii="Garamond" w:hAnsi="Garamond"/>
          <w:sz w:val="24"/>
          <w:szCs w:val="24"/>
        </w:rPr>
        <w:t xml:space="preserve"> z </w:t>
      </w:r>
      <w:r w:rsidR="0039268C" w:rsidRPr="004513D3">
        <w:rPr>
          <w:rFonts w:ascii="Garamond" w:hAnsi="Garamond"/>
          <w:sz w:val="24"/>
          <w:szCs w:val="24"/>
        </w:rPr>
        <w:t xml:space="preserve">2024 </w:t>
      </w:r>
      <w:r w:rsidR="00051C84" w:rsidRPr="004513D3">
        <w:rPr>
          <w:rFonts w:ascii="Garamond" w:hAnsi="Garamond"/>
          <w:sz w:val="24"/>
          <w:szCs w:val="24"/>
        </w:rPr>
        <w:t>r., poz.</w:t>
      </w:r>
      <w:r w:rsidR="0039268C" w:rsidRPr="004513D3">
        <w:rPr>
          <w:rFonts w:ascii="Garamond" w:hAnsi="Garamond"/>
          <w:sz w:val="24"/>
          <w:szCs w:val="24"/>
        </w:rPr>
        <w:t xml:space="preserve">361 </w:t>
      </w:r>
      <w:r w:rsidRPr="004513D3">
        <w:rPr>
          <w:rFonts w:ascii="Garamond" w:hAnsi="Garamond"/>
          <w:sz w:val="24"/>
          <w:szCs w:val="24"/>
        </w:rPr>
        <w:t>z późn. zmianami),</w:t>
      </w:r>
    </w:p>
    <w:p w14:paraId="5DC903A7" w14:textId="77777777" w:rsidR="004113D4" w:rsidRPr="004513D3" w:rsidRDefault="004113D4">
      <w:pPr>
        <w:pStyle w:val="Akapitzlist"/>
        <w:numPr>
          <w:ilvl w:val="0"/>
          <w:numId w:val="150"/>
        </w:numPr>
        <w:spacing w:after="171" w:line="249" w:lineRule="auto"/>
        <w:ind w:right="-3"/>
        <w:jc w:val="left"/>
        <w:rPr>
          <w:rFonts w:ascii="Garamond" w:hAnsi="Garamond"/>
          <w:sz w:val="24"/>
          <w:szCs w:val="24"/>
        </w:rPr>
      </w:pPr>
      <w:r w:rsidRPr="004513D3">
        <w:rPr>
          <w:rFonts w:ascii="Garamond" w:hAnsi="Garamond"/>
          <w:sz w:val="24"/>
          <w:szCs w:val="24"/>
        </w:rPr>
        <w:t>Taryfy dla usług dystrybucji energii elektrycznej ID Sp. z o.o.,</w:t>
      </w:r>
    </w:p>
    <w:p w14:paraId="039E0B84" w14:textId="49A6DED2" w:rsidR="004113D4" w:rsidRPr="004513D3" w:rsidRDefault="006E34EA">
      <w:pPr>
        <w:pStyle w:val="Akapitzlist"/>
        <w:numPr>
          <w:ilvl w:val="0"/>
          <w:numId w:val="150"/>
        </w:numPr>
        <w:spacing w:after="171" w:line="249" w:lineRule="auto"/>
        <w:ind w:right="-3"/>
        <w:jc w:val="left"/>
        <w:rPr>
          <w:rFonts w:ascii="Garamond" w:hAnsi="Garamond"/>
          <w:sz w:val="24"/>
          <w:szCs w:val="24"/>
        </w:rPr>
      </w:pPr>
      <w:r>
        <w:rPr>
          <w:rFonts w:ascii="Garamond" w:hAnsi="Garamond"/>
          <w:sz w:val="24"/>
          <w:szCs w:val="24"/>
        </w:rPr>
        <w:t>R</w:t>
      </w:r>
      <w:r w:rsidRPr="00AE3F1B">
        <w:rPr>
          <w:rFonts w:ascii="Garamond" w:hAnsi="Garamond"/>
          <w:sz w:val="24"/>
          <w:szCs w:val="24"/>
        </w:rPr>
        <w:t xml:space="preserve">ozporządzeniu </w:t>
      </w:r>
      <w:r w:rsidR="004113D4" w:rsidRPr="004513D3">
        <w:rPr>
          <w:rFonts w:ascii="Garamond" w:hAnsi="Garamond"/>
          <w:sz w:val="24"/>
          <w:szCs w:val="24"/>
        </w:rPr>
        <w:t xml:space="preserve">Komisji (UE) 2017/2195 z dnia 23 listopada </w:t>
      </w:r>
      <w:r w:rsidR="00051C84" w:rsidRPr="004513D3">
        <w:rPr>
          <w:rFonts w:ascii="Garamond" w:hAnsi="Garamond"/>
          <w:sz w:val="24"/>
          <w:szCs w:val="24"/>
        </w:rPr>
        <w:t>2017 r.</w:t>
      </w:r>
      <w:r w:rsidR="004113D4" w:rsidRPr="004513D3">
        <w:rPr>
          <w:rFonts w:ascii="Garamond" w:hAnsi="Garamond"/>
          <w:sz w:val="24"/>
          <w:szCs w:val="24"/>
        </w:rPr>
        <w:t xml:space="preserve">, ustanawiającym wytyczne dotyczące bilansowania (Dz. Urz. UE L312/6 z 28.11.2017 z póz. </w:t>
      </w:r>
      <w:r w:rsidR="00051C84" w:rsidRPr="004513D3">
        <w:rPr>
          <w:rFonts w:ascii="Garamond" w:hAnsi="Garamond"/>
          <w:sz w:val="24"/>
          <w:szCs w:val="24"/>
        </w:rPr>
        <w:t>zm.) -</w:t>
      </w:r>
      <w:r w:rsidR="004113D4" w:rsidRPr="004513D3">
        <w:rPr>
          <w:rFonts w:ascii="Garamond" w:hAnsi="Garamond"/>
          <w:sz w:val="24"/>
          <w:szCs w:val="24"/>
        </w:rPr>
        <w:t xml:space="preserve"> EB GL,</w:t>
      </w:r>
    </w:p>
    <w:p w14:paraId="612C855E" w14:textId="149A6710" w:rsidR="004113D4" w:rsidRPr="004513D3" w:rsidRDefault="004113D4">
      <w:pPr>
        <w:pStyle w:val="Akapitzlist"/>
        <w:numPr>
          <w:ilvl w:val="0"/>
          <w:numId w:val="150"/>
        </w:numPr>
        <w:spacing w:after="171" w:line="249" w:lineRule="auto"/>
        <w:ind w:right="-3"/>
        <w:jc w:val="left"/>
        <w:rPr>
          <w:rFonts w:ascii="Garamond" w:hAnsi="Garamond"/>
          <w:sz w:val="24"/>
          <w:szCs w:val="24"/>
        </w:rPr>
      </w:pPr>
      <w:r w:rsidRPr="004513D3">
        <w:rPr>
          <w:rFonts w:ascii="Garamond" w:hAnsi="Garamond"/>
          <w:sz w:val="24"/>
          <w:szCs w:val="24"/>
        </w:rPr>
        <w:t>Warunków dotyczących bilansowania (zwanych dalej „WDB”)</w:t>
      </w:r>
      <w:r w:rsidR="004933FF" w:rsidRPr="004513D3">
        <w:rPr>
          <w:rFonts w:ascii="Garamond" w:hAnsi="Garamond"/>
          <w:sz w:val="24"/>
          <w:szCs w:val="24"/>
        </w:rPr>
        <w:t>,</w:t>
      </w:r>
    </w:p>
    <w:p w14:paraId="04054CC1" w14:textId="038C570F" w:rsidR="00080456" w:rsidRPr="004513D3" w:rsidRDefault="00080456">
      <w:pPr>
        <w:pStyle w:val="Akapitzlist"/>
        <w:numPr>
          <w:ilvl w:val="0"/>
          <w:numId w:val="150"/>
        </w:numPr>
        <w:spacing w:after="171" w:line="249" w:lineRule="auto"/>
        <w:ind w:right="-3"/>
        <w:jc w:val="left"/>
        <w:rPr>
          <w:rFonts w:ascii="Garamond" w:hAnsi="Garamond"/>
          <w:sz w:val="24"/>
          <w:szCs w:val="24"/>
        </w:rPr>
      </w:pPr>
      <w:r w:rsidRPr="004513D3">
        <w:rPr>
          <w:rFonts w:ascii="Garamond" w:hAnsi="Garamond"/>
          <w:sz w:val="24"/>
          <w:szCs w:val="24"/>
        </w:rPr>
        <w:t>Ustawy z dnia 11 stycznia 2018 o elektromobilności i paliwach alternatywnych zwanej dalej „Ustawą o elektromobilności” (D</w:t>
      </w:r>
      <w:r w:rsidR="004933FF" w:rsidRPr="004513D3">
        <w:rPr>
          <w:rFonts w:ascii="Garamond" w:hAnsi="Garamond"/>
          <w:sz w:val="24"/>
          <w:szCs w:val="24"/>
        </w:rPr>
        <w:t xml:space="preserve">z. U. </w:t>
      </w:r>
      <w:r w:rsidR="0039268C" w:rsidRPr="004513D3">
        <w:rPr>
          <w:rFonts w:ascii="Garamond" w:hAnsi="Garamond"/>
          <w:sz w:val="24"/>
          <w:szCs w:val="24"/>
        </w:rPr>
        <w:t xml:space="preserve">2024 </w:t>
      </w:r>
      <w:r w:rsidR="004933FF" w:rsidRPr="004513D3">
        <w:rPr>
          <w:rFonts w:ascii="Garamond" w:hAnsi="Garamond"/>
          <w:sz w:val="24"/>
          <w:szCs w:val="24"/>
        </w:rPr>
        <w:t>r., poz.</w:t>
      </w:r>
      <w:r w:rsidR="0039268C" w:rsidRPr="004513D3">
        <w:rPr>
          <w:rFonts w:ascii="Garamond" w:hAnsi="Garamond"/>
          <w:sz w:val="24"/>
          <w:szCs w:val="24"/>
        </w:rPr>
        <w:t>1289</w:t>
      </w:r>
      <w:r w:rsidR="004933FF" w:rsidRPr="004513D3">
        <w:rPr>
          <w:rFonts w:ascii="Garamond" w:hAnsi="Garamond"/>
          <w:sz w:val="24"/>
          <w:szCs w:val="24"/>
        </w:rPr>
        <w:t>),</w:t>
      </w:r>
    </w:p>
    <w:p w14:paraId="5A5E4747" w14:textId="3E90260A" w:rsidR="004933FF" w:rsidRPr="004513D3" w:rsidRDefault="004933FF">
      <w:pPr>
        <w:pStyle w:val="Akapitzlist"/>
        <w:numPr>
          <w:ilvl w:val="0"/>
          <w:numId w:val="150"/>
        </w:numPr>
        <w:spacing w:after="171" w:line="249" w:lineRule="auto"/>
        <w:ind w:right="-3"/>
        <w:jc w:val="left"/>
        <w:rPr>
          <w:rFonts w:ascii="Garamond" w:hAnsi="Garamond"/>
          <w:sz w:val="24"/>
          <w:szCs w:val="24"/>
        </w:rPr>
      </w:pPr>
      <w:r w:rsidRPr="004513D3">
        <w:rPr>
          <w:rFonts w:ascii="Garamond" w:hAnsi="Garamond"/>
          <w:sz w:val="24"/>
          <w:szCs w:val="24"/>
        </w:rPr>
        <w:t xml:space="preserve">Ustawy z dnia 30 maja </w:t>
      </w:r>
      <w:r w:rsidR="00051C84" w:rsidRPr="004513D3">
        <w:rPr>
          <w:rFonts w:ascii="Garamond" w:hAnsi="Garamond"/>
          <w:sz w:val="24"/>
          <w:szCs w:val="24"/>
        </w:rPr>
        <w:t>2014 r.</w:t>
      </w:r>
      <w:r w:rsidRPr="004513D3">
        <w:rPr>
          <w:rFonts w:ascii="Garamond" w:hAnsi="Garamond"/>
          <w:sz w:val="24"/>
          <w:szCs w:val="24"/>
        </w:rPr>
        <w:t xml:space="preserve">, o prawach konsumenta zwanej dalej „Ustawą o prawach </w:t>
      </w:r>
      <w:r w:rsidR="00051C84" w:rsidRPr="004513D3">
        <w:rPr>
          <w:rFonts w:ascii="Garamond" w:hAnsi="Garamond"/>
          <w:sz w:val="24"/>
          <w:szCs w:val="24"/>
        </w:rPr>
        <w:t>konsumenta” (</w:t>
      </w:r>
      <w:r w:rsidRPr="004513D3">
        <w:rPr>
          <w:rFonts w:ascii="Garamond" w:hAnsi="Garamond"/>
          <w:sz w:val="24"/>
          <w:szCs w:val="24"/>
        </w:rPr>
        <w:t xml:space="preserve">Dz. U. </w:t>
      </w:r>
      <w:r w:rsidR="0039268C" w:rsidRPr="004513D3">
        <w:rPr>
          <w:rFonts w:ascii="Garamond" w:hAnsi="Garamond"/>
          <w:sz w:val="24"/>
          <w:szCs w:val="24"/>
        </w:rPr>
        <w:t>2023 r</w:t>
      </w:r>
      <w:r w:rsidRPr="004513D3">
        <w:rPr>
          <w:rFonts w:ascii="Garamond" w:hAnsi="Garamond"/>
          <w:sz w:val="24"/>
          <w:szCs w:val="24"/>
        </w:rPr>
        <w:t xml:space="preserve">., poz. </w:t>
      </w:r>
      <w:r w:rsidR="0039268C" w:rsidRPr="004513D3">
        <w:rPr>
          <w:rFonts w:ascii="Garamond" w:hAnsi="Garamond"/>
          <w:sz w:val="24"/>
          <w:szCs w:val="24"/>
        </w:rPr>
        <w:t xml:space="preserve">2759 </w:t>
      </w:r>
      <w:r w:rsidRPr="004513D3">
        <w:rPr>
          <w:rFonts w:ascii="Garamond" w:hAnsi="Garamond"/>
          <w:sz w:val="24"/>
          <w:szCs w:val="24"/>
        </w:rPr>
        <w:t>z późn.</w:t>
      </w:r>
      <w:r w:rsidR="00051C84" w:rsidRPr="004513D3">
        <w:rPr>
          <w:rFonts w:ascii="Garamond" w:hAnsi="Garamond"/>
          <w:sz w:val="24"/>
          <w:szCs w:val="24"/>
        </w:rPr>
        <w:t>zm.</w:t>
      </w:r>
      <w:r w:rsidRPr="004513D3">
        <w:rPr>
          <w:rFonts w:ascii="Garamond" w:hAnsi="Garamond"/>
          <w:sz w:val="24"/>
          <w:szCs w:val="24"/>
        </w:rPr>
        <w:t>),</w:t>
      </w:r>
    </w:p>
    <w:p w14:paraId="6DE14D5A" w14:textId="2CF3B083" w:rsidR="004933FF" w:rsidRPr="004513D3" w:rsidRDefault="004933FF">
      <w:pPr>
        <w:pStyle w:val="Akapitzlist"/>
        <w:numPr>
          <w:ilvl w:val="0"/>
          <w:numId w:val="150"/>
        </w:numPr>
        <w:spacing w:after="171" w:line="249" w:lineRule="auto"/>
        <w:ind w:right="-3"/>
        <w:jc w:val="left"/>
        <w:rPr>
          <w:rFonts w:ascii="Garamond" w:hAnsi="Garamond"/>
          <w:sz w:val="24"/>
          <w:szCs w:val="24"/>
        </w:rPr>
      </w:pPr>
      <w:r w:rsidRPr="004513D3">
        <w:rPr>
          <w:rFonts w:ascii="Garamond" w:hAnsi="Garamond"/>
          <w:sz w:val="24"/>
          <w:szCs w:val="24"/>
        </w:rPr>
        <w:t xml:space="preserve">Ustawy z dnia 8 grudnia </w:t>
      </w:r>
      <w:r w:rsidR="00051C84" w:rsidRPr="004513D3">
        <w:rPr>
          <w:rFonts w:ascii="Garamond" w:hAnsi="Garamond"/>
          <w:sz w:val="24"/>
          <w:szCs w:val="24"/>
        </w:rPr>
        <w:t>2017 r.</w:t>
      </w:r>
      <w:r w:rsidRPr="004513D3">
        <w:rPr>
          <w:rFonts w:ascii="Garamond" w:hAnsi="Garamond"/>
          <w:sz w:val="24"/>
          <w:szCs w:val="24"/>
        </w:rPr>
        <w:t>, o rynku mocy zwanej dalej „Ustawą o rynku mocy”</w:t>
      </w:r>
      <w:r w:rsidR="00EF4ECD" w:rsidRPr="004513D3">
        <w:rPr>
          <w:rFonts w:ascii="Garamond" w:hAnsi="Garamond"/>
          <w:sz w:val="24"/>
          <w:szCs w:val="24"/>
        </w:rPr>
        <w:br/>
      </w:r>
      <w:r w:rsidRPr="004513D3">
        <w:rPr>
          <w:rFonts w:ascii="Garamond" w:hAnsi="Garamond"/>
          <w:sz w:val="24"/>
          <w:szCs w:val="24"/>
        </w:rPr>
        <w:t xml:space="preserve">(Dz. U. z </w:t>
      </w:r>
      <w:r w:rsidR="0039268C" w:rsidRPr="004513D3">
        <w:rPr>
          <w:rFonts w:ascii="Garamond" w:hAnsi="Garamond"/>
          <w:sz w:val="24"/>
          <w:szCs w:val="24"/>
        </w:rPr>
        <w:t>2023 r</w:t>
      </w:r>
      <w:r w:rsidRPr="004513D3">
        <w:rPr>
          <w:rFonts w:ascii="Garamond" w:hAnsi="Garamond"/>
          <w:sz w:val="24"/>
          <w:szCs w:val="24"/>
        </w:rPr>
        <w:t xml:space="preserve">., poz. </w:t>
      </w:r>
      <w:r w:rsidR="0039268C" w:rsidRPr="004513D3">
        <w:rPr>
          <w:rFonts w:ascii="Garamond" w:hAnsi="Garamond"/>
          <w:sz w:val="24"/>
          <w:szCs w:val="24"/>
        </w:rPr>
        <w:t xml:space="preserve">2131 </w:t>
      </w:r>
      <w:r w:rsidRPr="004513D3">
        <w:rPr>
          <w:rFonts w:ascii="Garamond" w:hAnsi="Garamond"/>
          <w:sz w:val="24"/>
          <w:szCs w:val="24"/>
        </w:rPr>
        <w:t>z późn, zm.).</w:t>
      </w:r>
    </w:p>
    <w:p w14:paraId="6C883D41" w14:textId="07EF2460" w:rsidR="00B96A56" w:rsidRPr="00AE3F1B" w:rsidRDefault="00B96A56" w:rsidP="004513D3">
      <w:pPr>
        <w:spacing w:after="132" w:line="249" w:lineRule="auto"/>
        <w:ind w:left="360" w:right="-3"/>
        <w:jc w:val="left"/>
        <w:rPr>
          <w:rFonts w:ascii="Garamond" w:hAnsi="Garamond"/>
          <w:sz w:val="24"/>
          <w:szCs w:val="24"/>
        </w:rPr>
      </w:pPr>
      <w:r w:rsidRPr="00AE3F1B">
        <w:rPr>
          <w:rFonts w:ascii="Garamond" w:hAnsi="Garamond"/>
          <w:sz w:val="24"/>
          <w:szCs w:val="24"/>
        </w:rPr>
        <w:t xml:space="preserve">Procedury bilansowania systemu dystrybucyjnego i zarządzania ograniczeniami systemowymi </w:t>
      </w:r>
      <w:r w:rsidR="00EF4ECD">
        <w:rPr>
          <w:rFonts w:ascii="Garamond" w:hAnsi="Garamond"/>
          <w:sz w:val="24"/>
          <w:szCs w:val="24"/>
        </w:rPr>
        <w:br/>
      </w:r>
      <w:r w:rsidRPr="00AE3F1B">
        <w:rPr>
          <w:rFonts w:ascii="Garamond" w:hAnsi="Garamond"/>
          <w:sz w:val="24"/>
          <w:szCs w:val="24"/>
        </w:rPr>
        <w:t xml:space="preserve">w sieci dystrybucyjnej określone w Instrukcji Ruchu i Eksploatacji Sieci Dystrybucyjnej w części dotyczącej bilansowania systemu dystrybucyjnego i zarządzania ograniczeniami systemowymi (zwanej dalej </w:t>
      </w:r>
      <w:r w:rsidR="008D15C5" w:rsidRPr="008D15C5">
        <w:rPr>
          <w:rFonts w:ascii="Garamond" w:hAnsi="Garamond"/>
          <w:sz w:val="24"/>
          <w:szCs w:val="24"/>
        </w:rPr>
        <w:t>IRiESD</w:t>
      </w:r>
      <w:r w:rsidR="004513D3" w:rsidRPr="00AE3F1B">
        <w:rPr>
          <w:rFonts w:ascii="Garamond" w:hAnsi="Garamond"/>
          <w:sz w:val="24"/>
          <w:szCs w:val="24"/>
        </w:rPr>
        <w:t>- „</w:t>
      </w:r>
      <w:r w:rsidRPr="00AE3F1B">
        <w:rPr>
          <w:rFonts w:ascii="Garamond" w:hAnsi="Garamond"/>
          <w:sz w:val="24"/>
          <w:szCs w:val="24"/>
        </w:rPr>
        <w:t>Bilansowanie”) obowiązują:</w:t>
      </w:r>
    </w:p>
    <w:p w14:paraId="41A2D37C" w14:textId="77777777" w:rsidR="00B96A56" w:rsidRPr="004513D3" w:rsidRDefault="00B96A56">
      <w:pPr>
        <w:pStyle w:val="Akapitzlist"/>
        <w:numPr>
          <w:ilvl w:val="0"/>
          <w:numId w:val="151"/>
        </w:numPr>
        <w:spacing w:after="15" w:line="249" w:lineRule="auto"/>
        <w:ind w:right="-3"/>
        <w:jc w:val="left"/>
        <w:rPr>
          <w:rFonts w:ascii="Garamond" w:hAnsi="Garamond"/>
          <w:sz w:val="24"/>
          <w:szCs w:val="24"/>
        </w:rPr>
      </w:pPr>
      <w:r w:rsidRPr="004513D3">
        <w:rPr>
          <w:rFonts w:ascii="Garamond" w:hAnsi="Garamond"/>
          <w:sz w:val="24"/>
          <w:szCs w:val="24"/>
        </w:rPr>
        <w:t>Industria Dystrybucja Sp. z o.o. (dalej także OSDn lub ID Sp. z o.o.),</w:t>
      </w:r>
    </w:p>
    <w:p w14:paraId="1E98130A" w14:textId="77777777" w:rsidR="00B96A56" w:rsidRPr="004513D3" w:rsidRDefault="00B96A56">
      <w:pPr>
        <w:pStyle w:val="Akapitzlist"/>
        <w:numPr>
          <w:ilvl w:val="0"/>
          <w:numId w:val="151"/>
        </w:numPr>
        <w:spacing w:after="15" w:line="249" w:lineRule="auto"/>
        <w:ind w:right="-3"/>
        <w:jc w:val="left"/>
        <w:rPr>
          <w:rFonts w:ascii="Garamond" w:hAnsi="Garamond"/>
          <w:sz w:val="24"/>
          <w:szCs w:val="24"/>
        </w:rPr>
      </w:pPr>
      <w:r w:rsidRPr="004513D3">
        <w:rPr>
          <w:rFonts w:ascii="Garamond" w:hAnsi="Garamond"/>
          <w:sz w:val="24"/>
          <w:szCs w:val="24"/>
        </w:rPr>
        <w:t>podmioty przyłączone do sieci dystrybucyjnej ID Sp. z o.o.,</w:t>
      </w:r>
    </w:p>
    <w:p w14:paraId="4B1F3C0D" w14:textId="77777777" w:rsidR="00B96A56" w:rsidRPr="004513D3" w:rsidRDefault="00B96A56">
      <w:pPr>
        <w:pStyle w:val="Akapitzlist"/>
        <w:numPr>
          <w:ilvl w:val="0"/>
          <w:numId w:val="151"/>
        </w:numPr>
        <w:spacing w:after="15" w:line="249" w:lineRule="auto"/>
        <w:ind w:right="-3"/>
        <w:jc w:val="left"/>
        <w:rPr>
          <w:rFonts w:ascii="Garamond" w:hAnsi="Garamond"/>
          <w:sz w:val="24"/>
          <w:szCs w:val="24"/>
        </w:rPr>
      </w:pPr>
      <w:r w:rsidRPr="004513D3">
        <w:rPr>
          <w:rFonts w:ascii="Garamond" w:hAnsi="Garamond"/>
          <w:sz w:val="24"/>
          <w:szCs w:val="24"/>
        </w:rPr>
        <w:t>uczestników rynku bilansującego (URB) pełniących funkcję podmiotu odpowiedzialnego za bilansowanie handlowe (POB) na obszarze ID Sp. z o.o.,</w:t>
      </w:r>
    </w:p>
    <w:p w14:paraId="084F9B43" w14:textId="77777777" w:rsidR="00B96A56" w:rsidRPr="004513D3" w:rsidRDefault="00B96A56">
      <w:pPr>
        <w:pStyle w:val="Akapitzlist"/>
        <w:numPr>
          <w:ilvl w:val="0"/>
          <w:numId w:val="151"/>
        </w:numPr>
        <w:spacing w:after="15" w:line="249" w:lineRule="auto"/>
        <w:ind w:right="-3"/>
        <w:jc w:val="left"/>
        <w:rPr>
          <w:rFonts w:ascii="Garamond" w:hAnsi="Garamond"/>
          <w:sz w:val="24"/>
          <w:szCs w:val="24"/>
        </w:rPr>
      </w:pPr>
      <w:r w:rsidRPr="004513D3">
        <w:rPr>
          <w:rFonts w:ascii="Garamond" w:hAnsi="Garamond"/>
          <w:sz w:val="24"/>
          <w:szCs w:val="24"/>
        </w:rPr>
        <w:t>sprzedawców działających na obszarze OSDn (sprzedawców energii elektrycznej, którzy mają zawarte z ID Sp. z o.o. Generalne Umowy Dystrybucji (GUD), sprzedawców energii elektrycznej, którzy mają zawarte z ID Sp. z o.o. Generalne Umowy Dystrybucji dla usługi kompleksowej (GUD-K),</w:t>
      </w:r>
    </w:p>
    <w:p w14:paraId="71041953" w14:textId="77777777" w:rsidR="00B96A56" w:rsidRPr="004513D3" w:rsidRDefault="00B96A56">
      <w:pPr>
        <w:pStyle w:val="Akapitzlist"/>
        <w:numPr>
          <w:ilvl w:val="0"/>
          <w:numId w:val="151"/>
        </w:numPr>
        <w:spacing w:after="15" w:line="249" w:lineRule="auto"/>
        <w:ind w:right="-3"/>
        <w:jc w:val="left"/>
        <w:rPr>
          <w:rFonts w:ascii="Garamond" w:hAnsi="Garamond"/>
          <w:sz w:val="24"/>
          <w:szCs w:val="24"/>
        </w:rPr>
      </w:pPr>
      <w:r w:rsidRPr="004513D3">
        <w:rPr>
          <w:rFonts w:ascii="Garamond" w:hAnsi="Garamond"/>
          <w:sz w:val="24"/>
          <w:szCs w:val="24"/>
        </w:rPr>
        <w:t>sprzedawców energii elektrycznej pełniących na obszarze OSDn funkcję sprzedawcy</w:t>
      </w:r>
      <w:r w:rsidRPr="004513D3">
        <w:rPr>
          <w:rFonts w:ascii="Garamond" w:hAnsi="Garamond"/>
          <w:sz w:val="24"/>
          <w:szCs w:val="24"/>
        </w:rPr>
        <w:br/>
        <w:t>rezerwowego,</w:t>
      </w:r>
    </w:p>
    <w:p w14:paraId="454C8A00" w14:textId="20B312A2" w:rsidR="00B96A56" w:rsidRPr="004513D3" w:rsidRDefault="00B96A56">
      <w:pPr>
        <w:pStyle w:val="Akapitzlist"/>
        <w:numPr>
          <w:ilvl w:val="0"/>
          <w:numId w:val="151"/>
        </w:numPr>
        <w:spacing w:after="15" w:line="249" w:lineRule="auto"/>
        <w:ind w:right="-3"/>
        <w:jc w:val="left"/>
        <w:rPr>
          <w:rFonts w:ascii="Garamond" w:hAnsi="Garamond"/>
          <w:sz w:val="24"/>
          <w:szCs w:val="24"/>
        </w:rPr>
      </w:pPr>
      <w:r w:rsidRPr="004513D3">
        <w:rPr>
          <w:rFonts w:ascii="Garamond" w:hAnsi="Garamond"/>
          <w:sz w:val="24"/>
          <w:szCs w:val="24"/>
        </w:rPr>
        <w:t xml:space="preserve">Operatorów Handlowych (OH) i Handlowo-Technicznych (OHT) reprezentujących podmioty wymienione w punktach od a) do d) w przypadku, gdy ich działalność operatorska dotyczy sieci dystrybucyjnej ID Sp. </w:t>
      </w:r>
      <w:r w:rsidR="00051C84" w:rsidRPr="004513D3">
        <w:rPr>
          <w:rFonts w:ascii="Garamond" w:hAnsi="Garamond"/>
          <w:sz w:val="24"/>
          <w:szCs w:val="24"/>
        </w:rPr>
        <w:t>z o.o.</w:t>
      </w:r>
    </w:p>
    <w:p w14:paraId="2456FDCA" w14:textId="6B13E6BB" w:rsidR="00B96A56" w:rsidRPr="00AE3F1B" w:rsidRDefault="004513D3" w:rsidP="004513D3">
      <w:pPr>
        <w:spacing w:after="139"/>
        <w:ind w:left="360" w:right="-3" w:hanging="360"/>
        <w:jc w:val="left"/>
        <w:rPr>
          <w:rFonts w:ascii="Garamond" w:hAnsi="Garamond"/>
          <w:sz w:val="24"/>
          <w:szCs w:val="24"/>
        </w:rPr>
      </w:pPr>
      <w:r w:rsidRPr="00AE3F1B">
        <w:rPr>
          <w:rFonts w:ascii="Garamond" w:hAnsi="Garamond"/>
          <w:sz w:val="24"/>
          <w:szCs w:val="24"/>
        </w:rPr>
        <w:t xml:space="preserve">A.1.2. </w:t>
      </w:r>
      <w:r w:rsidR="00051C84" w:rsidRPr="00AE3F1B">
        <w:rPr>
          <w:rFonts w:ascii="Garamond" w:hAnsi="Garamond"/>
          <w:sz w:val="24"/>
          <w:szCs w:val="24"/>
        </w:rPr>
        <w:t>OSDp</w:t>
      </w:r>
      <w:r w:rsidR="00B96A56" w:rsidRPr="00AE3F1B">
        <w:rPr>
          <w:rFonts w:ascii="Garamond" w:hAnsi="Garamond"/>
          <w:sz w:val="24"/>
          <w:szCs w:val="24"/>
        </w:rPr>
        <w:t xml:space="preserve">, za </w:t>
      </w:r>
      <w:r w:rsidR="00051C84" w:rsidRPr="00AE3F1B">
        <w:rPr>
          <w:rFonts w:ascii="Garamond" w:hAnsi="Garamond"/>
          <w:sz w:val="24"/>
          <w:szCs w:val="24"/>
        </w:rPr>
        <w:t>pośrednictwem,</w:t>
      </w:r>
      <w:r w:rsidR="00B96A56" w:rsidRPr="00AE3F1B">
        <w:rPr>
          <w:rFonts w:ascii="Garamond" w:hAnsi="Garamond"/>
          <w:sz w:val="24"/>
          <w:szCs w:val="24"/>
        </w:rPr>
        <w:t xml:space="preserve"> którego </w:t>
      </w:r>
      <w:r w:rsidR="0030361A" w:rsidRPr="00AE3F1B">
        <w:rPr>
          <w:rFonts w:ascii="Garamond" w:hAnsi="Garamond"/>
          <w:sz w:val="24"/>
          <w:szCs w:val="24"/>
        </w:rPr>
        <w:t>ID Sp. z o.o.</w:t>
      </w:r>
      <w:r w:rsidR="00B96A56" w:rsidRPr="00AE3F1B">
        <w:rPr>
          <w:rFonts w:ascii="Garamond" w:hAnsi="Garamond"/>
          <w:sz w:val="24"/>
          <w:szCs w:val="24"/>
        </w:rPr>
        <w:t xml:space="preserve"> współpracuje z operatorem systemu przesyłowego elektroenergetycznego (OSP), jest PGE Dystrybucja S.A. Obowiązki współpracy z OSP dotyczą bilansowania systemu, zarządzania ograniczeniami systemowymi oraz obowiązki określone w ustawie o rynku mocy i są realizowane zgodnie z postanowieniami umów zawartych pomiędzy </w:t>
      </w:r>
      <w:r w:rsidR="0030361A" w:rsidRPr="00AE3F1B">
        <w:rPr>
          <w:rFonts w:ascii="Garamond" w:hAnsi="Garamond"/>
          <w:sz w:val="24"/>
          <w:szCs w:val="24"/>
        </w:rPr>
        <w:t>ID Sp. z o.o.</w:t>
      </w:r>
      <w:r w:rsidR="00B96A56" w:rsidRPr="00AE3F1B">
        <w:rPr>
          <w:rFonts w:ascii="Garamond" w:hAnsi="Garamond"/>
          <w:sz w:val="24"/>
          <w:szCs w:val="24"/>
        </w:rPr>
        <w:t xml:space="preserve"> a PGE Dystrybucja S.A. oraz zapisów </w:t>
      </w:r>
      <w:r w:rsidR="00BA6D98" w:rsidRPr="00BA6D98">
        <w:rPr>
          <w:rFonts w:ascii="Garamond" w:hAnsi="Garamond"/>
          <w:sz w:val="24"/>
          <w:szCs w:val="24"/>
        </w:rPr>
        <w:t>IRiESD</w:t>
      </w:r>
      <w:r w:rsidR="00B96A56" w:rsidRPr="00AE3F1B">
        <w:rPr>
          <w:rFonts w:ascii="Garamond" w:hAnsi="Garamond"/>
          <w:sz w:val="24"/>
          <w:szCs w:val="24"/>
        </w:rPr>
        <w:t>-Bilansowanie.</w:t>
      </w:r>
    </w:p>
    <w:p w14:paraId="3852F56A" w14:textId="4D8ABCE2" w:rsidR="00B96A56" w:rsidRPr="00AE3F1B" w:rsidRDefault="00B96A56" w:rsidP="004513D3">
      <w:pPr>
        <w:spacing w:after="179"/>
        <w:ind w:left="360" w:right="-3"/>
        <w:jc w:val="left"/>
        <w:rPr>
          <w:rFonts w:ascii="Garamond" w:hAnsi="Garamond"/>
          <w:sz w:val="24"/>
          <w:szCs w:val="24"/>
        </w:rPr>
      </w:pPr>
      <w:r w:rsidRPr="00AE3F1B">
        <w:rPr>
          <w:rFonts w:ascii="Garamond" w:hAnsi="Garamond"/>
          <w:sz w:val="24"/>
          <w:szCs w:val="24"/>
        </w:rPr>
        <w:t>Podmiotem odpowiedzialnym za funkcjonowanie Rynku Bilansującego i prowadzenie centralnego mechanizmu bilansowania handlowego jest PSE S.A., który na mocy ustawy Prawo energetyczne oraz posiadanej koncesji realizuje zadania operatora systemu przesyłowego (OSP). Zasady funkcjonowania Rynku Bilansującego określone zostały w opracowanych przez OSP „Warunkach dotyczących bilansowania” (W</w:t>
      </w:r>
      <w:r w:rsidR="00586005">
        <w:rPr>
          <w:rFonts w:ascii="Garamond" w:hAnsi="Garamond"/>
          <w:sz w:val="24"/>
          <w:szCs w:val="24"/>
        </w:rPr>
        <w:t>DB</w:t>
      </w:r>
      <w:r w:rsidRPr="00AE3F1B">
        <w:rPr>
          <w:rFonts w:ascii="Garamond" w:hAnsi="Garamond"/>
          <w:sz w:val="24"/>
          <w:szCs w:val="24"/>
        </w:rPr>
        <w:t>).</w:t>
      </w:r>
    </w:p>
    <w:p w14:paraId="619DC4D7" w14:textId="7E4EB778" w:rsidR="00B96A56" w:rsidRPr="00AE3F1B" w:rsidRDefault="004513D3" w:rsidP="004513D3">
      <w:pPr>
        <w:spacing w:after="158"/>
        <w:ind w:left="567" w:right="-3" w:hanging="567"/>
        <w:jc w:val="left"/>
        <w:rPr>
          <w:rFonts w:ascii="Garamond" w:hAnsi="Garamond"/>
          <w:sz w:val="24"/>
          <w:szCs w:val="24"/>
        </w:rPr>
      </w:pPr>
      <w:r w:rsidRPr="00AE3F1B">
        <w:rPr>
          <w:rFonts w:ascii="Garamond" w:hAnsi="Garamond"/>
          <w:sz w:val="24"/>
          <w:szCs w:val="24"/>
        </w:rPr>
        <w:lastRenderedPageBreak/>
        <w:t>A. 1.3.</w:t>
      </w:r>
      <w:r>
        <w:rPr>
          <w:rFonts w:ascii="Garamond" w:hAnsi="Garamond"/>
          <w:sz w:val="24"/>
          <w:szCs w:val="24"/>
        </w:rPr>
        <w:t xml:space="preserve"> </w:t>
      </w:r>
      <w:r w:rsidR="0030361A" w:rsidRPr="00AE3F1B">
        <w:rPr>
          <w:rFonts w:ascii="Garamond" w:hAnsi="Garamond"/>
          <w:sz w:val="24"/>
          <w:szCs w:val="24"/>
        </w:rPr>
        <w:t>ID Sp. z o.o.</w:t>
      </w:r>
      <w:r w:rsidR="00B96A56" w:rsidRPr="00AE3F1B">
        <w:rPr>
          <w:rFonts w:ascii="Garamond" w:hAnsi="Garamond"/>
          <w:sz w:val="24"/>
          <w:szCs w:val="24"/>
        </w:rPr>
        <w:t xml:space="preserve"> uczestniczy w administrowaniu Rynkiem Bilansującym dla obszaru swojej sieci dystrybucyjnej na zasadach określonych w instrukcji ruchu i eksploatacji sieci dystrybucyjnej </w:t>
      </w:r>
      <w:r w:rsidR="0030361A" w:rsidRPr="00AE3F1B">
        <w:rPr>
          <w:rFonts w:ascii="Garamond" w:hAnsi="Garamond"/>
          <w:sz w:val="24"/>
          <w:szCs w:val="24"/>
        </w:rPr>
        <w:t>ID Sp. z o.o.</w:t>
      </w:r>
      <w:r w:rsidR="00B96A56" w:rsidRPr="00AE3F1B">
        <w:rPr>
          <w:rFonts w:ascii="Garamond" w:hAnsi="Garamond"/>
          <w:sz w:val="24"/>
          <w:szCs w:val="24"/>
        </w:rPr>
        <w:t xml:space="preserve"> lub umowie zawartej z PGE Dystrybucja S.A.</w:t>
      </w:r>
    </w:p>
    <w:p w14:paraId="7C954411" w14:textId="27128027" w:rsidR="00B96A56" w:rsidRPr="00AE3F1B" w:rsidRDefault="004513D3" w:rsidP="004513D3">
      <w:pPr>
        <w:pStyle w:val="Akapitzlist"/>
        <w:spacing w:after="157"/>
        <w:ind w:left="567" w:right="-3" w:hanging="567"/>
        <w:jc w:val="left"/>
        <w:rPr>
          <w:rFonts w:ascii="Garamond" w:hAnsi="Garamond"/>
          <w:sz w:val="24"/>
          <w:szCs w:val="24"/>
        </w:rPr>
      </w:pPr>
      <w:r w:rsidRPr="00AE3F1B">
        <w:rPr>
          <w:rFonts w:ascii="Garamond" w:hAnsi="Garamond"/>
          <w:noProof/>
          <w:sz w:val="24"/>
          <w:szCs w:val="24"/>
        </w:rPr>
        <w:t>A.1.4.</w:t>
      </w:r>
      <w:r>
        <w:rPr>
          <w:rFonts w:ascii="Garamond" w:hAnsi="Garamond"/>
          <w:sz w:val="24"/>
          <w:szCs w:val="24"/>
        </w:rPr>
        <w:t xml:space="preserve"> </w:t>
      </w:r>
      <w:r w:rsidR="0030361A" w:rsidRPr="00AE3F1B">
        <w:rPr>
          <w:rFonts w:ascii="Garamond" w:hAnsi="Garamond"/>
          <w:sz w:val="24"/>
          <w:szCs w:val="24"/>
        </w:rPr>
        <w:t>ID Sp. z o.o.</w:t>
      </w:r>
      <w:r w:rsidR="00B96A56" w:rsidRPr="00AE3F1B">
        <w:rPr>
          <w:rFonts w:ascii="Garamond" w:hAnsi="Garamond"/>
          <w:sz w:val="24"/>
          <w:szCs w:val="24"/>
        </w:rPr>
        <w:t xml:space="preserve"> uczestniczy w administrowaniu rynkiem bilansującym w zakresie obsługi Jednostek Grafikowych (JG), na które składają się Miejsca Dostarczania Energii Rynku Bilansującego (MB) z obszaru zarządzanej przez niego sieci, za pośrednictwem PGE Dystrybucja S.A.</w:t>
      </w:r>
    </w:p>
    <w:p w14:paraId="056149D3" w14:textId="5497842C" w:rsidR="004D0305" w:rsidRPr="00AE3F1B" w:rsidRDefault="004513D3" w:rsidP="004513D3">
      <w:pPr>
        <w:spacing w:after="181" w:line="249" w:lineRule="auto"/>
        <w:ind w:left="567" w:right="-3" w:hanging="567"/>
        <w:jc w:val="left"/>
        <w:rPr>
          <w:rFonts w:ascii="Garamond" w:hAnsi="Garamond"/>
          <w:sz w:val="24"/>
          <w:szCs w:val="24"/>
        </w:rPr>
      </w:pPr>
      <w:r w:rsidRPr="00AE3F1B">
        <w:rPr>
          <w:rFonts w:ascii="Garamond" w:hAnsi="Garamond"/>
          <w:sz w:val="24"/>
          <w:szCs w:val="24"/>
        </w:rPr>
        <w:t>A. 1.5.</w:t>
      </w:r>
      <w:r>
        <w:rPr>
          <w:rFonts w:ascii="Garamond" w:hAnsi="Garamond"/>
          <w:sz w:val="24"/>
          <w:szCs w:val="24"/>
        </w:rPr>
        <w:t xml:space="preserve"> </w:t>
      </w:r>
      <w:r w:rsidR="004D0305" w:rsidRPr="00AE3F1B">
        <w:rPr>
          <w:rFonts w:ascii="Garamond" w:hAnsi="Garamond"/>
          <w:sz w:val="24"/>
          <w:szCs w:val="24"/>
        </w:rPr>
        <w:t xml:space="preserve">Podmiot, którego sieci, urządzenia i instalacje są przyłączone do sieci dystrybucyjnej </w:t>
      </w:r>
      <w:r>
        <w:rPr>
          <w:rFonts w:ascii="Garamond" w:hAnsi="Garamond"/>
          <w:sz w:val="24"/>
          <w:szCs w:val="24"/>
        </w:rPr>
        <w:t xml:space="preserve">               </w:t>
      </w:r>
      <w:r w:rsidR="00CC104B" w:rsidRPr="00AE3F1B">
        <w:rPr>
          <w:rFonts w:ascii="Garamond" w:hAnsi="Garamond"/>
          <w:sz w:val="24"/>
          <w:szCs w:val="24"/>
        </w:rPr>
        <w:t>ID Sp. z o.o</w:t>
      </w:r>
      <w:r w:rsidR="004D0305" w:rsidRPr="00AE3F1B">
        <w:rPr>
          <w:rFonts w:ascii="Garamond" w:hAnsi="Garamond"/>
          <w:sz w:val="24"/>
          <w:szCs w:val="24"/>
        </w:rPr>
        <w:t xml:space="preserve">., który posiada umowę dystrybucyjną z </w:t>
      </w:r>
      <w:r w:rsidR="00CC104B" w:rsidRPr="00AE3F1B">
        <w:rPr>
          <w:rFonts w:ascii="Garamond" w:hAnsi="Garamond"/>
          <w:sz w:val="24"/>
          <w:szCs w:val="24"/>
        </w:rPr>
        <w:t>ID Sp. z o.o.</w:t>
      </w:r>
      <w:r w:rsidR="004D0305" w:rsidRPr="00AE3F1B">
        <w:rPr>
          <w:rFonts w:ascii="Garamond" w:hAnsi="Garamond"/>
          <w:sz w:val="24"/>
          <w:szCs w:val="24"/>
        </w:rPr>
        <w:t xml:space="preserve"> albo umowę kompleksową zawartą ze sprzedawcą, jest Uczestnikiem Rynku Detalicznego (URD).</w:t>
      </w:r>
    </w:p>
    <w:p w14:paraId="0059CAB2" w14:textId="1CD9AEA2" w:rsidR="004D0305" w:rsidRPr="00AE3F1B" w:rsidRDefault="004D0305" w:rsidP="00175586">
      <w:pPr>
        <w:spacing w:after="159" w:line="249" w:lineRule="auto"/>
        <w:ind w:left="567" w:right="-3" w:hanging="567"/>
        <w:jc w:val="left"/>
        <w:rPr>
          <w:rFonts w:ascii="Garamond" w:hAnsi="Garamond"/>
          <w:sz w:val="24"/>
          <w:szCs w:val="24"/>
        </w:rPr>
      </w:pPr>
      <w:r w:rsidRPr="00AE3F1B">
        <w:rPr>
          <w:rFonts w:ascii="Garamond" w:hAnsi="Garamond"/>
          <w:sz w:val="24"/>
          <w:szCs w:val="24"/>
        </w:rPr>
        <w:t xml:space="preserve">A. </w:t>
      </w:r>
      <w:r w:rsidR="00051C84" w:rsidRPr="00AE3F1B">
        <w:rPr>
          <w:rFonts w:ascii="Garamond" w:hAnsi="Garamond"/>
          <w:sz w:val="24"/>
          <w:szCs w:val="24"/>
        </w:rPr>
        <w:t>1.6. URD</w:t>
      </w:r>
      <w:r w:rsidRPr="00AE3F1B">
        <w:rPr>
          <w:rFonts w:ascii="Garamond" w:hAnsi="Garamond"/>
          <w:sz w:val="24"/>
          <w:szCs w:val="24"/>
        </w:rPr>
        <w:t xml:space="preserve"> jest bilansowany handlowo na rynku bilansującym przez Uczestnika Rynku Bilansującego (URB). URB pełni dla URD na rynku energii elektrycznej funkcję podmiotu odpowiedzialnego za bilansowanie handlowe (POB).</w:t>
      </w:r>
    </w:p>
    <w:p w14:paraId="0FC1B422" w14:textId="6F7BA391" w:rsidR="004D0305" w:rsidRPr="00AE3F1B" w:rsidRDefault="004D0305" w:rsidP="00175586">
      <w:pPr>
        <w:tabs>
          <w:tab w:val="center" w:pos="712"/>
          <w:tab w:val="center" w:pos="2662"/>
        </w:tabs>
        <w:spacing w:after="15" w:line="249" w:lineRule="auto"/>
        <w:ind w:left="567" w:right="-3" w:hanging="567"/>
        <w:jc w:val="left"/>
        <w:rPr>
          <w:rFonts w:ascii="Garamond" w:hAnsi="Garamond"/>
          <w:sz w:val="24"/>
          <w:szCs w:val="24"/>
        </w:rPr>
      </w:pPr>
      <w:r w:rsidRPr="00AE3F1B">
        <w:rPr>
          <w:rFonts w:ascii="Garamond" w:hAnsi="Garamond"/>
          <w:sz w:val="24"/>
          <w:szCs w:val="24"/>
        </w:rPr>
        <w:t>A.1.7.</w:t>
      </w:r>
      <w:r w:rsidR="004513D3">
        <w:rPr>
          <w:rFonts w:ascii="Garamond" w:hAnsi="Garamond"/>
          <w:sz w:val="24"/>
          <w:szCs w:val="24"/>
        </w:rPr>
        <w:t xml:space="preserve"> </w:t>
      </w:r>
      <w:r w:rsidRPr="00AE3F1B">
        <w:rPr>
          <w:rFonts w:ascii="Garamond" w:hAnsi="Garamond"/>
          <w:sz w:val="24"/>
          <w:szCs w:val="24"/>
        </w:rPr>
        <w:t>POB jest wskazywany przez:</w:t>
      </w:r>
    </w:p>
    <w:p w14:paraId="152828F0" w14:textId="77777777" w:rsidR="004D0305" w:rsidRPr="004513D3" w:rsidRDefault="004D0305">
      <w:pPr>
        <w:pStyle w:val="Akapitzlist"/>
        <w:numPr>
          <w:ilvl w:val="0"/>
          <w:numId w:val="152"/>
        </w:numPr>
        <w:spacing w:after="15" w:line="249" w:lineRule="auto"/>
        <w:ind w:right="-3"/>
        <w:jc w:val="left"/>
        <w:rPr>
          <w:rFonts w:ascii="Garamond" w:hAnsi="Garamond"/>
          <w:sz w:val="24"/>
          <w:szCs w:val="24"/>
        </w:rPr>
      </w:pPr>
      <w:r w:rsidRPr="004513D3">
        <w:rPr>
          <w:rFonts w:ascii="Garamond" w:hAnsi="Garamond"/>
          <w:sz w:val="24"/>
          <w:szCs w:val="24"/>
        </w:rPr>
        <w:t>sprzedawcę,</w:t>
      </w:r>
    </w:p>
    <w:p w14:paraId="40B743F4" w14:textId="77777777" w:rsidR="004D0305" w:rsidRPr="004513D3" w:rsidRDefault="004D0305">
      <w:pPr>
        <w:pStyle w:val="Akapitzlist"/>
        <w:numPr>
          <w:ilvl w:val="0"/>
          <w:numId w:val="152"/>
        </w:numPr>
        <w:spacing w:after="0" w:line="266" w:lineRule="auto"/>
        <w:ind w:right="-3"/>
        <w:jc w:val="left"/>
        <w:rPr>
          <w:rFonts w:ascii="Garamond" w:hAnsi="Garamond"/>
          <w:sz w:val="24"/>
          <w:szCs w:val="24"/>
        </w:rPr>
      </w:pPr>
      <w:r w:rsidRPr="004513D3">
        <w:rPr>
          <w:rFonts w:ascii="Garamond" w:hAnsi="Garamond"/>
          <w:sz w:val="24"/>
          <w:szCs w:val="24"/>
        </w:rPr>
        <w:t>przedsiębiorstwo zajmujące się wytwarzaniem energii elektrycznej (</w:t>
      </w:r>
      <w:proofErr w:type="spellStart"/>
      <w:r w:rsidRPr="004513D3">
        <w:rPr>
          <w:rFonts w:ascii="Garamond" w:hAnsi="Garamond"/>
          <w:sz w:val="24"/>
          <w:szCs w:val="24"/>
        </w:rPr>
        <w:t>URDw</w:t>
      </w:r>
      <w:proofErr w:type="spellEnd"/>
      <w:r w:rsidRPr="004513D3">
        <w:rPr>
          <w:rFonts w:ascii="Garamond" w:hAnsi="Garamond"/>
          <w:sz w:val="24"/>
          <w:szCs w:val="24"/>
        </w:rPr>
        <w:t>),</w:t>
      </w:r>
    </w:p>
    <w:p w14:paraId="51B6BF96" w14:textId="688AEB17" w:rsidR="004D0305" w:rsidRPr="004513D3" w:rsidRDefault="004D0305">
      <w:pPr>
        <w:pStyle w:val="Akapitzlist"/>
        <w:numPr>
          <w:ilvl w:val="0"/>
          <w:numId w:val="152"/>
        </w:numPr>
        <w:spacing w:after="60" w:line="249" w:lineRule="auto"/>
        <w:ind w:right="-3"/>
        <w:jc w:val="left"/>
        <w:rPr>
          <w:rFonts w:ascii="Garamond" w:hAnsi="Garamond"/>
          <w:sz w:val="24"/>
          <w:szCs w:val="24"/>
        </w:rPr>
      </w:pPr>
      <w:r w:rsidRPr="004513D3">
        <w:rPr>
          <w:rFonts w:ascii="Garamond" w:hAnsi="Garamond"/>
          <w:sz w:val="24"/>
          <w:szCs w:val="24"/>
        </w:rPr>
        <w:t xml:space="preserve">przedsiębiorstwo zajmujące się magazynowaniem energii elektrycznej (URDME), w umowie o świadczenie usług dystrybucji zawartej z OSD. Rozliczeń wynikających z niezbilansowania energii elektrycznej dostarczanej do systemu oraz pobieranej z systemu, dla danego punktu poboru energii (PPE), dokonuje tylko jeden POB. Zmiana POB odbywa się na warunkach i zasadach określonych w niniejszej </w:t>
      </w:r>
      <w:r w:rsidR="00BA6D98" w:rsidRPr="00BA6D98">
        <w:rPr>
          <w:rFonts w:ascii="Garamond" w:hAnsi="Garamond"/>
          <w:sz w:val="24"/>
          <w:szCs w:val="24"/>
        </w:rPr>
        <w:t>IRiESD</w:t>
      </w:r>
      <w:r w:rsidRPr="004513D3">
        <w:rPr>
          <w:rFonts w:ascii="Garamond" w:hAnsi="Garamond"/>
          <w:sz w:val="24"/>
          <w:szCs w:val="24"/>
        </w:rPr>
        <w:t>-Bilansowanie.</w:t>
      </w:r>
    </w:p>
    <w:p w14:paraId="6AE0C8A3" w14:textId="75877470" w:rsidR="004D0305" w:rsidRPr="00AE3F1B" w:rsidRDefault="004513D3" w:rsidP="004513D3">
      <w:pPr>
        <w:spacing w:after="129" w:line="249" w:lineRule="auto"/>
        <w:ind w:left="360" w:right="-3" w:hanging="360"/>
        <w:jc w:val="left"/>
        <w:rPr>
          <w:rFonts w:ascii="Garamond" w:hAnsi="Garamond"/>
          <w:sz w:val="24"/>
          <w:szCs w:val="24"/>
        </w:rPr>
      </w:pPr>
      <w:r w:rsidRPr="00AE3F1B">
        <w:rPr>
          <w:rFonts w:ascii="Garamond" w:hAnsi="Garamond"/>
          <w:sz w:val="24"/>
          <w:szCs w:val="24"/>
        </w:rPr>
        <w:t>A.1.8.</w:t>
      </w:r>
      <w:r>
        <w:rPr>
          <w:rFonts w:ascii="Garamond" w:hAnsi="Garamond"/>
          <w:sz w:val="24"/>
          <w:szCs w:val="24"/>
        </w:rPr>
        <w:t xml:space="preserve"> </w:t>
      </w:r>
      <w:r w:rsidR="00CC104B" w:rsidRPr="00AE3F1B">
        <w:rPr>
          <w:rFonts w:ascii="Garamond" w:hAnsi="Garamond"/>
          <w:sz w:val="24"/>
          <w:szCs w:val="24"/>
        </w:rPr>
        <w:t>ID Sp. z o.o.</w:t>
      </w:r>
      <w:r w:rsidR="004D0305" w:rsidRPr="00AE3F1B">
        <w:rPr>
          <w:rFonts w:ascii="Garamond" w:hAnsi="Garamond"/>
          <w:sz w:val="24"/>
          <w:szCs w:val="24"/>
        </w:rPr>
        <w:t xml:space="preserve"> zapewnia podmiotom przyłączonym do sieci dystrybucyjnej realizację umów sprzedaży energii elektrycznej zawartych przez te podmioty, jeżeli zostaną one zgłoszone do </w:t>
      </w:r>
      <w:r w:rsidR="00CC104B" w:rsidRPr="00AE3F1B">
        <w:rPr>
          <w:rFonts w:ascii="Garamond" w:hAnsi="Garamond"/>
          <w:sz w:val="24"/>
          <w:szCs w:val="24"/>
        </w:rPr>
        <w:t>ID Sp. z o.o.</w:t>
      </w:r>
      <w:r w:rsidR="004D0305" w:rsidRPr="00AE3F1B">
        <w:rPr>
          <w:rFonts w:ascii="Garamond" w:hAnsi="Garamond"/>
          <w:sz w:val="24"/>
          <w:szCs w:val="24"/>
        </w:rPr>
        <w:t xml:space="preserve"> w obowiązującej formie, trybie i terminie oraz pod warunkiem spełnienia przez te podmioty wymagań określonych w </w:t>
      </w:r>
      <w:r w:rsidR="00BA6D98" w:rsidRPr="00BA6D98">
        <w:rPr>
          <w:rFonts w:ascii="Garamond" w:hAnsi="Garamond"/>
          <w:sz w:val="24"/>
          <w:szCs w:val="24"/>
        </w:rPr>
        <w:t>IRiESD</w:t>
      </w:r>
      <w:r w:rsidR="004D0305" w:rsidRPr="00AE3F1B">
        <w:rPr>
          <w:rFonts w:ascii="Garamond" w:hAnsi="Garamond"/>
          <w:sz w:val="24"/>
          <w:szCs w:val="24"/>
        </w:rPr>
        <w:t xml:space="preserve"> i umowach o świadczenie usług dystrybucji energii elektrycznej, w tym także umów sprzedaży rezerwowej zawartych ze sprzedawcą. OSD zamieszcza na swojej stronie internetowej oraz udostępnia do publicznego wglądu w swojej siedzibie:</w:t>
      </w:r>
    </w:p>
    <w:p w14:paraId="4C7E0BAD" w14:textId="77777777" w:rsidR="004D0305" w:rsidRPr="004513D3" w:rsidRDefault="004D0305">
      <w:pPr>
        <w:pStyle w:val="Akapitzlist"/>
        <w:numPr>
          <w:ilvl w:val="0"/>
          <w:numId w:val="153"/>
        </w:numPr>
        <w:spacing w:after="15" w:line="249" w:lineRule="auto"/>
        <w:ind w:right="-3"/>
        <w:jc w:val="left"/>
        <w:rPr>
          <w:rFonts w:ascii="Garamond" w:hAnsi="Garamond"/>
          <w:sz w:val="24"/>
          <w:szCs w:val="24"/>
        </w:rPr>
      </w:pPr>
      <w:r w:rsidRPr="004513D3">
        <w:rPr>
          <w:rFonts w:ascii="Garamond" w:hAnsi="Garamond"/>
          <w:sz w:val="24"/>
          <w:szCs w:val="24"/>
        </w:rPr>
        <w:t>aktualną listę sprzedawców rezerwowych zawierających umowy sprzedaży rezerwowej, wraz z informacją o adresach ich stron internetowych, na których zostały opublikowane oferty sprzedaży rezerwowej,</w:t>
      </w:r>
    </w:p>
    <w:p w14:paraId="1A92CC6F" w14:textId="77777777" w:rsidR="004D0305" w:rsidRPr="004513D3" w:rsidRDefault="004D0305">
      <w:pPr>
        <w:pStyle w:val="Akapitzlist"/>
        <w:numPr>
          <w:ilvl w:val="0"/>
          <w:numId w:val="153"/>
        </w:numPr>
        <w:spacing w:after="40" w:line="249" w:lineRule="auto"/>
        <w:ind w:right="-3"/>
        <w:jc w:val="left"/>
        <w:rPr>
          <w:rFonts w:ascii="Garamond" w:hAnsi="Garamond"/>
          <w:sz w:val="24"/>
          <w:szCs w:val="24"/>
        </w:rPr>
      </w:pPr>
      <w:r w:rsidRPr="004513D3">
        <w:rPr>
          <w:rFonts w:ascii="Garamond" w:hAnsi="Garamond"/>
          <w:sz w:val="24"/>
          <w:szCs w:val="24"/>
        </w:rPr>
        <w:t>aktualną listę sprzedawców rezerwowych zawierających rezerwowe umowy kompleksowe, wraz z informacją o adresach ich stron internetowych, na których zostały opublikowane oferty sprzedaży rezerwowej.</w:t>
      </w:r>
    </w:p>
    <w:p w14:paraId="0CB976F9" w14:textId="77777777" w:rsidR="004D0305" w:rsidRPr="00AE3F1B" w:rsidRDefault="004D0305" w:rsidP="006316A5">
      <w:pPr>
        <w:spacing w:after="218" w:line="249" w:lineRule="auto"/>
        <w:ind w:left="567" w:right="-3"/>
        <w:jc w:val="left"/>
        <w:rPr>
          <w:rFonts w:ascii="Garamond" w:hAnsi="Garamond"/>
          <w:sz w:val="24"/>
          <w:szCs w:val="24"/>
        </w:rPr>
      </w:pPr>
      <w:r w:rsidRPr="00AE3F1B">
        <w:rPr>
          <w:rFonts w:ascii="Garamond" w:hAnsi="Garamond"/>
          <w:sz w:val="24"/>
          <w:szCs w:val="24"/>
        </w:rPr>
        <w:t>Sprzedawcy, o których mowa powyżej, przekazują OSD na zasadach określonych w umowach, o których mowa w pkt. A.2.6., aktualną informację o adresie strony internetowej, na której zostały opublikowane oferty sprzedaży rezerwowej skierowane do URD.</w:t>
      </w:r>
    </w:p>
    <w:p w14:paraId="4215EE39" w14:textId="3469BBAE" w:rsidR="004D0305" w:rsidRPr="00AE3F1B" w:rsidRDefault="004513D3" w:rsidP="004513D3">
      <w:pPr>
        <w:spacing w:after="188" w:line="248" w:lineRule="auto"/>
        <w:ind w:left="567" w:right="-3" w:hanging="567"/>
        <w:jc w:val="left"/>
        <w:rPr>
          <w:rFonts w:ascii="Garamond" w:hAnsi="Garamond"/>
          <w:sz w:val="24"/>
          <w:szCs w:val="24"/>
        </w:rPr>
      </w:pPr>
      <w:r w:rsidRPr="00AE3F1B">
        <w:rPr>
          <w:rFonts w:ascii="Garamond" w:hAnsi="Garamond"/>
          <w:sz w:val="24"/>
          <w:szCs w:val="24"/>
        </w:rPr>
        <w:t>A.1.9.</w:t>
      </w:r>
      <w:r>
        <w:rPr>
          <w:rFonts w:ascii="Garamond" w:hAnsi="Garamond"/>
          <w:sz w:val="24"/>
          <w:szCs w:val="24"/>
        </w:rPr>
        <w:t xml:space="preserve"> </w:t>
      </w:r>
      <w:proofErr w:type="spellStart"/>
      <w:r w:rsidR="004D0305" w:rsidRPr="00AE3F1B">
        <w:rPr>
          <w:rFonts w:ascii="Garamond" w:hAnsi="Garamond"/>
          <w:sz w:val="24"/>
          <w:szCs w:val="24"/>
        </w:rPr>
        <w:t>URDw</w:t>
      </w:r>
      <w:proofErr w:type="spellEnd"/>
      <w:r w:rsidR="004D0305" w:rsidRPr="00AE3F1B">
        <w:rPr>
          <w:rFonts w:ascii="Garamond" w:hAnsi="Garamond"/>
          <w:sz w:val="24"/>
          <w:szCs w:val="24"/>
        </w:rPr>
        <w:t xml:space="preserve">, URDO, URDME oraz sprzedawcy, którzy posiadają zawartą z OSD umowę dystrybucji, mogą zlecić wykonywanie swoich obowiązków wynikających z </w:t>
      </w:r>
      <w:r w:rsidR="00BA6D98" w:rsidRPr="00BA6D98">
        <w:rPr>
          <w:rFonts w:ascii="Garamond" w:hAnsi="Garamond"/>
          <w:sz w:val="24"/>
          <w:szCs w:val="24"/>
        </w:rPr>
        <w:t>IRiESD</w:t>
      </w:r>
      <w:r>
        <w:rPr>
          <w:rFonts w:ascii="Garamond" w:hAnsi="Garamond"/>
          <w:sz w:val="24"/>
          <w:szCs w:val="24"/>
        </w:rPr>
        <w:t xml:space="preserve">. </w:t>
      </w:r>
      <w:r w:rsidR="004D0305" w:rsidRPr="00AE3F1B">
        <w:rPr>
          <w:rFonts w:ascii="Garamond" w:hAnsi="Garamond"/>
          <w:sz w:val="24"/>
          <w:szCs w:val="24"/>
        </w:rPr>
        <w:t xml:space="preserve">Bilansowanie innym podmiotom, o ile nie jest to sprzeczne z przepisami obowiązującego prawa i posiadanymi koncesjami. Podmioty te działają w imieniu i na rzecz </w:t>
      </w:r>
      <w:proofErr w:type="spellStart"/>
      <w:r w:rsidR="004D0305" w:rsidRPr="00AE3F1B">
        <w:rPr>
          <w:rFonts w:ascii="Garamond" w:hAnsi="Garamond"/>
          <w:sz w:val="24"/>
          <w:szCs w:val="24"/>
        </w:rPr>
        <w:t>URDw</w:t>
      </w:r>
      <w:proofErr w:type="spellEnd"/>
      <w:r w:rsidR="004D0305" w:rsidRPr="00AE3F1B">
        <w:rPr>
          <w:rFonts w:ascii="Garamond" w:hAnsi="Garamond"/>
          <w:sz w:val="24"/>
          <w:szCs w:val="24"/>
        </w:rPr>
        <w:t>, URDO, URDME lub sprzedawcy.</w:t>
      </w:r>
    </w:p>
    <w:p w14:paraId="423D3A98" w14:textId="6C3D975C" w:rsidR="004D0305" w:rsidRPr="00AE3F1B" w:rsidRDefault="004513D3" w:rsidP="004513D3">
      <w:pPr>
        <w:spacing w:line="249" w:lineRule="auto"/>
        <w:ind w:left="567" w:right="-3" w:hanging="567"/>
        <w:jc w:val="left"/>
        <w:rPr>
          <w:rFonts w:ascii="Garamond" w:hAnsi="Garamond"/>
          <w:sz w:val="24"/>
          <w:szCs w:val="24"/>
        </w:rPr>
      </w:pPr>
      <w:r w:rsidRPr="00AE3F1B">
        <w:rPr>
          <w:rFonts w:ascii="Garamond" w:hAnsi="Garamond"/>
          <w:sz w:val="24"/>
          <w:szCs w:val="24"/>
        </w:rPr>
        <w:t>A. 1.10. Posiadacz</w:t>
      </w:r>
      <w:r w:rsidR="004D0305" w:rsidRPr="00AE3F1B">
        <w:rPr>
          <w:rFonts w:ascii="Garamond" w:hAnsi="Garamond"/>
          <w:sz w:val="24"/>
          <w:szCs w:val="24"/>
        </w:rPr>
        <w:t xml:space="preserve"> magazynu energii o łącznej mocy zainstalowanej magazynu energii elektrycznej mniejszej lub równej 50 kW jest URDO zarówno w zakresie energii pobranej z sieci </w:t>
      </w:r>
      <w:r w:rsidR="00CC104B" w:rsidRPr="00AE3F1B">
        <w:rPr>
          <w:rFonts w:ascii="Garamond" w:hAnsi="Garamond"/>
          <w:sz w:val="24"/>
          <w:szCs w:val="24"/>
        </w:rPr>
        <w:t>ID Sp. z o.o.</w:t>
      </w:r>
      <w:r w:rsidR="004D0305" w:rsidRPr="00AE3F1B">
        <w:rPr>
          <w:rFonts w:ascii="Garamond" w:hAnsi="Garamond"/>
          <w:sz w:val="24"/>
          <w:szCs w:val="24"/>
        </w:rPr>
        <w:t xml:space="preserve"> jak i w zakresie energii wprowadzonej do sieci </w:t>
      </w:r>
      <w:r w:rsidR="00CC104B" w:rsidRPr="00AE3F1B">
        <w:rPr>
          <w:rFonts w:ascii="Garamond" w:hAnsi="Garamond"/>
          <w:sz w:val="24"/>
          <w:szCs w:val="24"/>
        </w:rPr>
        <w:t>ID Sp. z o.o.</w:t>
      </w:r>
      <w:r w:rsidR="004D0305" w:rsidRPr="00AE3F1B">
        <w:rPr>
          <w:rFonts w:ascii="Garamond" w:hAnsi="Garamond"/>
          <w:sz w:val="24"/>
          <w:szCs w:val="24"/>
        </w:rPr>
        <w:t>, dla danego PPE.</w:t>
      </w:r>
      <w:r>
        <w:rPr>
          <w:rFonts w:ascii="Garamond" w:hAnsi="Garamond"/>
          <w:sz w:val="24"/>
          <w:szCs w:val="24"/>
        </w:rPr>
        <w:t xml:space="preserve"> P</w:t>
      </w:r>
      <w:r w:rsidR="004D0305" w:rsidRPr="00AE3F1B">
        <w:rPr>
          <w:rFonts w:ascii="Garamond" w:hAnsi="Garamond"/>
          <w:sz w:val="24"/>
          <w:szCs w:val="24"/>
        </w:rPr>
        <w:t xml:space="preserve">osiadacz magazynu energii elektrycznej </w:t>
      </w:r>
      <w:r w:rsidRPr="00AE3F1B">
        <w:rPr>
          <w:rFonts w:ascii="Garamond" w:hAnsi="Garamond"/>
          <w:sz w:val="24"/>
          <w:szCs w:val="24"/>
        </w:rPr>
        <w:t>inny</w:t>
      </w:r>
      <w:r w:rsidR="004D0305" w:rsidRPr="00AE3F1B">
        <w:rPr>
          <w:rFonts w:ascii="Garamond" w:hAnsi="Garamond"/>
          <w:sz w:val="24"/>
          <w:szCs w:val="24"/>
        </w:rPr>
        <w:t xml:space="preserve"> niż o którym jest mowa powyżej jest URDME zarówno w </w:t>
      </w:r>
      <w:r w:rsidR="004D0305" w:rsidRPr="00AE3F1B">
        <w:rPr>
          <w:rFonts w:ascii="Garamond" w:hAnsi="Garamond"/>
          <w:sz w:val="24"/>
          <w:szCs w:val="24"/>
        </w:rPr>
        <w:lastRenderedPageBreak/>
        <w:t xml:space="preserve">zakresie energii elektrycznej pobranej z sieci </w:t>
      </w:r>
      <w:r w:rsidR="00CC104B" w:rsidRPr="00AE3F1B">
        <w:rPr>
          <w:rFonts w:ascii="Garamond" w:hAnsi="Garamond"/>
          <w:sz w:val="24"/>
          <w:szCs w:val="24"/>
        </w:rPr>
        <w:t>ID Sp. z o.o.</w:t>
      </w:r>
      <w:r w:rsidR="004D0305" w:rsidRPr="00AE3F1B">
        <w:rPr>
          <w:rFonts w:ascii="Garamond" w:hAnsi="Garamond"/>
          <w:sz w:val="24"/>
          <w:szCs w:val="24"/>
        </w:rPr>
        <w:t xml:space="preserve"> jak i w zakresie energii elektrycznej wprowadzonej do sieci </w:t>
      </w:r>
      <w:r w:rsidR="00CC104B" w:rsidRPr="00AE3F1B">
        <w:rPr>
          <w:rFonts w:ascii="Garamond" w:hAnsi="Garamond"/>
          <w:sz w:val="24"/>
          <w:szCs w:val="24"/>
        </w:rPr>
        <w:t>ID Sp. z o.o.</w:t>
      </w:r>
      <w:r w:rsidR="004D0305" w:rsidRPr="00AE3F1B">
        <w:rPr>
          <w:rFonts w:ascii="Garamond" w:hAnsi="Garamond"/>
          <w:sz w:val="24"/>
          <w:szCs w:val="24"/>
        </w:rPr>
        <w:t>, dla danego PPE.</w:t>
      </w:r>
    </w:p>
    <w:p w14:paraId="41FDBE86" w14:textId="7844FE2A" w:rsidR="004D0305" w:rsidRPr="00AE3F1B" w:rsidRDefault="004513D3" w:rsidP="004513D3">
      <w:pPr>
        <w:spacing w:after="134" w:line="249" w:lineRule="auto"/>
        <w:ind w:left="567" w:right="-3" w:hanging="567"/>
        <w:jc w:val="left"/>
        <w:rPr>
          <w:rFonts w:ascii="Garamond" w:hAnsi="Garamond"/>
          <w:sz w:val="24"/>
          <w:szCs w:val="24"/>
        </w:rPr>
      </w:pPr>
      <w:r w:rsidRPr="00AE3F1B">
        <w:rPr>
          <w:rFonts w:ascii="Garamond" w:hAnsi="Garamond"/>
          <w:sz w:val="24"/>
          <w:szCs w:val="24"/>
        </w:rPr>
        <w:t>A.1.11.</w:t>
      </w:r>
      <w:r>
        <w:rPr>
          <w:rFonts w:ascii="Garamond" w:hAnsi="Garamond"/>
          <w:sz w:val="24"/>
          <w:szCs w:val="24"/>
        </w:rPr>
        <w:t xml:space="preserve"> </w:t>
      </w:r>
      <w:r w:rsidR="004D0305" w:rsidRPr="00AE3F1B">
        <w:rPr>
          <w:rFonts w:ascii="Garamond" w:hAnsi="Garamond"/>
          <w:sz w:val="24"/>
          <w:szCs w:val="24"/>
        </w:rPr>
        <w:t xml:space="preserve">Sprzedawca informuje URD, z którym zawarł umowę sprzedaży lub umowę kompleksową, sprzedawcę rezerwowego oraz </w:t>
      </w:r>
      <w:r w:rsidR="00CC104B" w:rsidRPr="00AE3F1B">
        <w:rPr>
          <w:rFonts w:ascii="Garamond" w:hAnsi="Garamond"/>
          <w:sz w:val="24"/>
          <w:szCs w:val="24"/>
        </w:rPr>
        <w:t>ID Sp. z o.o.</w:t>
      </w:r>
      <w:r w:rsidR="004D0305" w:rsidRPr="00AE3F1B">
        <w:rPr>
          <w:rFonts w:ascii="Garamond" w:hAnsi="Garamond"/>
          <w:sz w:val="24"/>
          <w:szCs w:val="24"/>
        </w:rPr>
        <w:t xml:space="preserve"> o:</w:t>
      </w:r>
    </w:p>
    <w:p w14:paraId="3E82E456" w14:textId="3942FA2C" w:rsidR="004D0305" w:rsidRPr="004513D3" w:rsidRDefault="004D0305">
      <w:pPr>
        <w:pStyle w:val="Akapitzlist"/>
        <w:numPr>
          <w:ilvl w:val="0"/>
          <w:numId w:val="154"/>
        </w:numPr>
        <w:spacing w:after="15" w:line="249" w:lineRule="auto"/>
        <w:ind w:right="-3"/>
        <w:jc w:val="left"/>
        <w:rPr>
          <w:rFonts w:ascii="Garamond" w:hAnsi="Garamond"/>
          <w:sz w:val="24"/>
          <w:szCs w:val="24"/>
        </w:rPr>
      </w:pPr>
      <w:r w:rsidRPr="004513D3">
        <w:rPr>
          <w:rFonts w:ascii="Garamond" w:hAnsi="Garamond"/>
          <w:sz w:val="24"/>
          <w:szCs w:val="24"/>
        </w:rPr>
        <w:t>konieczności zaprzestania sprzedaży energii elektrycznej temu URD,</w:t>
      </w:r>
      <w:r w:rsidR="004513D3">
        <w:rPr>
          <w:rFonts w:ascii="Garamond" w:hAnsi="Garamond"/>
          <w:sz w:val="24"/>
          <w:szCs w:val="24"/>
        </w:rPr>
        <w:t xml:space="preserve"> </w:t>
      </w:r>
      <w:r w:rsidRPr="004513D3">
        <w:rPr>
          <w:rFonts w:ascii="Garamond" w:hAnsi="Garamond"/>
          <w:sz w:val="24"/>
          <w:szCs w:val="24"/>
        </w:rPr>
        <w:t>przewidywanej dacie zaprzestania sprzedaży energii elektrycznej, jeśli jest znana lub możliwa do ustalenia przez tego sprzedawcę,</w:t>
      </w:r>
    </w:p>
    <w:p w14:paraId="3E7E7FEC" w14:textId="59842A46" w:rsidR="004D0305" w:rsidRPr="004513D3" w:rsidRDefault="004D0305">
      <w:pPr>
        <w:pStyle w:val="Akapitzlist"/>
        <w:numPr>
          <w:ilvl w:val="0"/>
          <w:numId w:val="154"/>
        </w:numPr>
        <w:spacing w:after="139" w:line="249" w:lineRule="auto"/>
        <w:ind w:right="-3"/>
        <w:jc w:val="left"/>
        <w:rPr>
          <w:rFonts w:ascii="Garamond" w:hAnsi="Garamond"/>
          <w:sz w:val="24"/>
          <w:szCs w:val="24"/>
        </w:rPr>
      </w:pPr>
      <w:r w:rsidRPr="004513D3">
        <w:rPr>
          <w:rFonts w:ascii="Garamond" w:hAnsi="Garamond"/>
          <w:sz w:val="24"/>
          <w:szCs w:val="24"/>
        </w:rPr>
        <w:t>kodzie PPE,</w:t>
      </w:r>
      <w:r w:rsidR="004513D3">
        <w:rPr>
          <w:rFonts w:ascii="Garamond" w:hAnsi="Garamond"/>
          <w:sz w:val="24"/>
          <w:szCs w:val="24"/>
        </w:rPr>
        <w:t xml:space="preserve"> </w:t>
      </w:r>
      <w:r w:rsidRPr="004513D3">
        <w:rPr>
          <w:rFonts w:ascii="Garamond" w:hAnsi="Garamond"/>
          <w:sz w:val="24"/>
          <w:szCs w:val="24"/>
        </w:rPr>
        <w:t>niezwłocznie, nie później niż w terminie 2 dni od dnia powzięcia przez tego sprzedawcę informacji o braku możliwości dalszego wywiązywania się z umowy sprzedaży lub umowy kompleksowej zawartej z tym URD.</w:t>
      </w:r>
    </w:p>
    <w:p w14:paraId="5AFF3E66" w14:textId="1A6287D4" w:rsidR="004D0305" w:rsidRPr="00AE3F1B" w:rsidRDefault="004D0305" w:rsidP="004513D3">
      <w:pPr>
        <w:spacing w:after="149" w:line="249" w:lineRule="auto"/>
        <w:ind w:left="567" w:right="-3"/>
        <w:jc w:val="left"/>
        <w:rPr>
          <w:rFonts w:ascii="Garamond" w:hAnsi="Garamond"/>
          <w:sz w:val="24"/>
          <w:szCs w:val="24"/>
        </w:rPr>
      </w:pPr>
      <w:r w:rsidRPr="00AE3F1B">
        <w:rPr>
          <w:rFonts w:ascii="Garamond" w:hAnsi="Garamond"/>
          <w:sz w:val="24"/>
          <w:szCs w:val="24"/>
        </w:rPr>
        <w:t>Powyższych zapisów nie stosuje się do URD, o których mowa w art. 6a ust. 3 i art. 6b ustawy Prawo energetyczne.</w:t>
      </w:r>
      <w:r w:rsidR="004513D3">
        <w:rPr>
          <w:rFonts w:ascii="Garamond" w:hAnsi="Garamond"/>
          <w:sz w:val="24"/>
          <w:szCs w:val="24"/>
        </w:rPr>
        <w:t xml:space="preserve"> </w:t>
      </w:r>
      <w:r w:rsidRPr="00AE3F1B">
        <w:rPr>
          <w:rFonts w:ascii="Garamond" w:hAnsi="Garamond"/>
          <w:sz w:val="24"/>
          <w:szCs w:val="24"/>
        </w:rPr>
        <w:t>W przypadku wystąpienia okoliczności wskazanych w lit. a) powyżej wynikających z rozwiązania lub wygaśnięcia umowy sprzedaży lub umowy kompleksowej zawartej przez sprzedawcę z URD.</w:t>
      </w:r>
    </w:p>
    <w:p w14:paraId="0D09BA95" w14:textId="0CEA61B9" w:rsidR="004D0305" w:rsidRPr="00AE3F1B" w:rsidRDefault="004513D3" w:rsidP="004513D3">
      <w:pPr>
        <w:spacing w:after="134" w:line="249" w:lineRule="auto"/>
        <w:ind w:left="567" w:right="-3" w:hanging="567"/>
        <w:jc w:val="left"/>
        <w:rPr>
          <w:rFonts w:ascii="Garamond" w:hAnsi="Garamond"/>
          <w:sz w:val="24"/>
          <w:szCs w:val="24"/>
        </w:rPr>
      </w:pPr>
      <w:r w:rsidRPr="00AE3F1B">
        <w:rPr>
          <w:rFonts w:ascii="Garamond" w:hAnsi="Garamond"/>
          <w:sz w:val="24"/>
          <w:szCs w:val="24"/>
        </w:rPr>
        <w:t>A.1.12.</w:t>
      </w:r>
      <w:r>
        <w:rPr>
          <w:rFonts w:ascii="Garamond" w:hAnsi="Garamond"/>
          <w:sz w:val="24"/>
          <w:szCs w:val="24"/>
        </w:rPr>
        <w:t xml:space="preserve"> </w:t>
      </w:r>
      <w:r w:rsidR="00CC104B" w:rsidRPr="00AE3F1B">
        <w:rPr>
          <w:rFonts w:ascii="Garamond" w:hAnsi="Garamond"/>
          <w:sz w:val="24"/>
          <w:szCs w:val="24"/>
        </w:rPr>
        <w:t>ID Sp. z o.o.</w:t>
      </w:r>
      <w:r w:rsidR="004D0305" w:rsidRPr="00AE3F1B">
        <w:rPr>
          <w:rFonts w:ascii="Garamond" w:hAnsi="Garamond"/>
          <w:sz w:val="24"/>
          <w:szCs w:val="24"/>
        </w:rPr>
        <w:t xml:space="preserve"> po powzięciu informacji o konieczności zaprzestania przez sprzedawcę sprzedaży energii elektrycznej, niezwłocznie informuje właściwego OSDp o konieczności zaprzestania przez OSD świadczenia usług dystrybucji na rzecz tego sprzedawcy, w następujących</w:t>
      </w:r>
      <w:r>
        <w:rPr>
          <w:rFonts w:ascii="Garamond" w:hAnsi="Garamond"/>
          <w:sz w:val="24"/>
          <w:szCs w:val="24"/>
        </w:rPr>
        <w:t xml:space="preserve"> </w:t>
      </w:r>
      <w:r w:rsidR="004D0305" w:rsidRPr="00AE3F1B">
        <w:rPr>
          <w:rFonts w:ascii="Garamond" w:hAnsi="Garamond"/>
          <w:sz w:val="24"/>
          <w:szCs w:val="24"/>
        </w:rPr>
        <w:t>przypadkach:</w:t>
      </w:r>
    </w:p>
    <w:p w14:paraId="49478C58" w14:textId="77777777" w:rsidR="004D0305" w:rsidRPr="004513D3" w:rsidRDefault="004D0305">
      <w:pPr>
        <w:pStyle w:val="Akapitzlist"/>
        <w:numPr>
          <w:ilvl w:val="0"/>
          <w:numId w:val="155"/>
        </w:numPr>
        <w:spacing w:after="15" w:line="249" w:lineRule="auto"/>
        <w:ind w:right="-3"/>
        <w:jc w:val="left"/>
        <w:rPr>
          <w:rFonts w:ascii="Garamond" w:hAnsi="Garamond"/>
          <w:sz w:val="24"/>
          <w:szCs w:val="24"/>
        </w:rPr>
      </w:pPr>
      <w:r w:rsidRPr="004513D3">
        <w:rPr>
          <w:rFonts w:ascii="Garamond" w:hAnsi="Garamond"/>
          <w:sz w:val="24"/>
          <w:szCs w:val="24"/>
        </w:rPr>
        <w:t>utrata POB sprzedawcy,</w:t>
      </w:r>
    </w:p>
    <w:p w14:paraId="58DFD7DF" w14:textId="77777777" w:rsidR="004D0305" w:rsidRPr="004513D3" w:rsidRDefault="004D0305">
      <w:pPr>
        <w:pStyle w:val="Akapitzlist"/>
        <w:numPr>
          <w:ilvl w:val="0"/>
          <w:numId w:val="155"/>
        </w:numPr>
        <w:spacing w:after="142" w:line="249" w:lineRule="auto"/>
        <w:ind w:right="-3"/>
        <w:jc w:val="left"/>
        <w:rPr>
          <w:rFonts w:ascii="Garamond" w:hAnsi="Garamond"/>
          <w:sz w:val="24"/>
          <w:szCs w:val="24"/>
        </w:rPr>
      </w:pPr>
      <w:r w:rsidRPr="004513D3">
        <w:rPr>
          <w:rFonts w:ascii="Garamond" w:hAnsi="Garamond"/>
          <w:sz w:val="24"/>
          <w:szCs w:val="24"/>
        </w:rPr>
        <w:t>wstrzymanie realizacji lub rozwiązanie umów ze sprzedawcą, o których mowa w pkt. A.2.6.</w:t>
      </w:r>
    </w:p>
    <w:p w14:paraId="1E695FEE" w14:textId="22897430" w:rsidR="004D0305" w:rsidRPr="00AE3F1B" w:rsidRDefault="004513D3" w:rsidP="00175586">
      <w:pPr>
        <w:spacing w:after="15" w:line="249" w:lineRule="auto"/>
        <w:ind w:left="567" w:right="-3" w:hanging="567"/>
        <w:jc w:val="left"/>
        <w:rPr>
          <w:rFonts w:ascii="Garamond" w:hAnsi="Garamond"/>
          <w:sz w:val="24"/>
          <w:szCs w:val="24"/>
        </w:rPr>
      </w:pPr>
      <w:r w:rsidRPr="00AE3F1B">
        <w:rPr>
          <w:rFonts w:ascii="Garamond" w:hAnsi="Garamond"/>
          <w:sz w:val="24"/>
          <w:szCs w:val="24"/>
        </w:rPr>
        <w:t>A.1.13. ID</w:t>
      </w:r>
      <w:r w:rsidR="00CC104B" w:rsidRPr="00AE3F1B">
        <w:rPr>
          <w:rFonts w:ascii="Garamond" w:hAnsi="Garamond"/>
          <w:sz w:val="24"/>
          <w:szCs w:val="24"/>
        </w:rPr>
        <w:t xml:space="preserve"> Sp. z o.o.</w:t>
      </w:r>
      <w:r w:rsidR="004D0305" w:rsidRPr="00AE3F1B">
        <w:rPr>
          <w:rFonts w:ascii="Garamond" w:hAnsi="Garamond"/>
          <w:sz w:val="24"/>
          <w:szCs w:val="24"/>
        </w:rPr>
        <w:t xml:space="preserve"> po wystąpieniu zdarzenia, które może skutkować koniecznością zaprzestania przez OSD świadczenia usług dystrybucji na rzecz sprzedawcy, niezwłocznie informuje właściwego OSD</w:t>
      </w:r>
      <w:r>
        <w:rPr>
          <w:rFonts w:ascii="Garamond" w:hAnsi="Garamond"/>
          <w:sz w:val="24"/>
          <w:szCs w:val="24"/>
        </w:rPr>
        <w:t xml:space="preserve"> </w:t>
      </w:r>
      <w:r w:rsidR="004D0305" w:rsidRPr="00AE3F1B">
        <w:rPr>
          <w:rFonts w:ascii="Garamond" w:hAnsi="Garamond"/>
          <w:sz w:val="24"/>
          <w:szCs w:val="24"/>
        </w:rPr>
        <w:t>po tym zdarzeniu, w następujących przypadkach:</w:t>
      </w:r>
    </w:p>
    <w:p w14:paraId="4B91DFBD" w14:textId="77777777" w:rsidR="004D0305" w:rsidRPr="004513D3" w:rsidRDefault="004D0305">
      <w:pPr>
        <w:pStyle w:val="Akapitzlist"/>
        <w:numPr>
          <w:ilvl w:val="0"/>
          <w:numId w:val="156"/>
        </w:numPr>
        <w:spacing w:after="15" w:line="249" w:lineRule="auto"/>
        <w:ind w:right="-3"/>
        <w:jc w:val="left"/>
        <w:rPr>
          <w:rFonts w:ascii="Garamond" w:hAnsi="Garamond"/>
          <w:sz w:val="24"/>
          <w:szCs w:val="24"/>
        </w:rPr>
      </w:pPr>
      <w:r w:rsidRPr="004513D3">
        <w:rPr>
          <w:rFonts w:ascii="Garamond" w:hAnsi="Garamond"/>
          <w:sz w:val="24"/>
          <w:szCs w:val="24"/>
        </w:rPr>
        <w:t>brak gwarancji dotyczących wiarygodności finansowej tego sprzedawcy lub POB wskazanego przez tego sprzedawcę, wynikających z umów zawartych przez OSD z tymi podmiotami,</w:t>
      </w:r>
    </w:p>
    <w:p w14:paraId="36412AEE" w14:textId="77777777" w:rsidR="004D0305" w:rsidRDefault="004D0305">
      <w:pPr>
        <w:pStyle w:val="Akapitzlist"/>
        <w:numPr>
          <w:ilvl w:val="0"/>
          <w:numId w:val="156"/>
        </w:numPr>
        <w:spacing w:after="121" w:line="248" w:lineRule="auto"/>
        <w:ind w:right="-3"/>
        <w:jc w:val="left"/>
        <w:rPr>
          <w:rFonts w:ascii="Garamond" w:hAnsi="Garamond"/>
          <w:sz w:val="24"/>
          <w:szCs w:val="24"/>
        </w:rPr>
      </w:pPr>
      <w:r w:rsidRPr="004513D3">
        <w:rPr>
          <w:rFonts w:ascii="Garamond" w:hAnsi="Garamond"/>
          <w:sz w:val="24"/>
          <w:szCs w:val="24"/>
        </w:rPr>
        <w:t xml:space="preserve">wstrzymanie realizacji lub wypowiedzenie umów ze sprzedawcą, o których mowa </w:t>
      </w:r>
      <w:r w:rsidRPr="004513D3">
        <w:rPr>
          <w:rFonts w:ascii="Garamond" w:hAnsi="Garamond"/>
          <w:sz w:val="24"/>
          <w:szCs w:val="24"/>
        </w:rPr>
        <w:br/>
        <w:t>w pkt. A.2.6.</w:t>
      </w:r>
    </w:p>
    <w:p w14:paraId="512835AA" w14:textId="77777777" w:rsidR="004513D3" w:rsidRDefault="004513D3" w:rsidP="004513D3">
      <w:pPr>
        <w:spacing w:after="121" w:line="248" w:lineRule="auto"/>
        <w:ind w:right="-3"/>
        <w:jc w:val="left"/>
        <w:rPr>
          <w:rFonts w:ascii="Garamond" w:hAnsi="Garamond"/>
          <w:sz w:val="24"/>
          <w:szCs w:val="24"/>
        </w:rPr>
      </w:pPr>
    </w:p>
    <w:p w14:paraId="368377FC" w14:textId="77777777" w:rsidR="004513D3" w:rsidRDefault="004513D3" w:rsidP="004513D3">
      <w:pPr>
        <w:spacing w:after="121" w:line="248" w:lineRule="auto"/>
        <w:ind w:right="-3"/>
        <w:jc w:val="left"/>
        <w:rPr>
          <w:rFonts w:ascii="Garamond" w:hAnsi="Garamond"/>
          <w:sz w:val="24"/>
          <w:szCs w:val="24"/>
        </w:rPr>
      </w:pPr>
    </w:p>
    <w:p w14:paraId="68A8D776" w14:textId="77777777" w:rsidR="004513D3" w:rsidRDefault="004513D3" w:rsidP="004513D3">
      <w:pPr>
        <w:spacing w:after="121" w:line="248" w:lineRule="auto"/>
        <w:ind w:right="-3"/>
        <w:jc w:val="left"/>
        <w:rPr>
          <w:rFonts w:ascii="Garamond" w:hAnsi="Garamond"/>
          <w:sz w:val="24"/>
          <w:szCs w:val="24"/>
        </w:rPr>
      </w:pPr>
    </w:p>
    <w:p w14:paraId="0EC5F42B" w14:textId="77777777" w:rsidR="004513D3" w:rsidRPr="004513D3" w:rsidRDefault="004513D3" w:rsidP="004513D3">
      <w:pPr>
        <w:spacing w:after="121" w:line="248" w:lineRule="auto"/>
        <w:ind w:right="-3"/>
        <w:jc w:val="left"/>
        <w:rPr>
          <w:rFonts w:ascii="Garamond" w:hAnsi="Garamond"/>
          <w:sz w:val="24"/>
          <w:szCs w:val="24"/>
        </w:rPr>
      </w:pPr>
    </w:p>
    <w:p w14:paraId="7D18BB0F" w14:textId="5B34C13A" w:rsidR="00780E15" w:rsidRPr="00D90517" w:rsidRDefault="00780E15">
      <w:pPr>
        <w:numPr>
          <w:ilvl w:val="1"/>
          <w:numId w:val="43"/>
        </w:numPr>
        <w:spacing w:line="248" w:lineRule="auto"/>
        <w:ind w:left="567" w:right="-3" w:hanging="567"/>
        <w:jc w:val="left"/>
        <w:rPr>
          <w:rFonts w:asciiTheme="majorHAnsi" w:hAnsiTheme="majorHAnsi"/>
          <w:sz w:val="24"/>
          <w:szCs w:val="24"/>
        </w:rPr>
      </w:pPr>
      <w:r w:rsidRPr="00D90517">
        <w:rPr>
          <w:rFonts w:asciiTheme="majorHAnsi" w:hAnsiTheme="majorHAnsi"/>
          <w:sz w:val="24"/>
          <w:szCs w:val="24"/>
        </w:rPr>
        <w:t>Warunki formalnoprawne uczestnictwa w procesie bilansowania</w:t>
      </w:r>
    </w:p>
    <w:p w14:paraId="38CD1D0B" w14:textId="25087CE9" w:rsidR="00780E15" w:rsidRPr="00AE3F1B" w:rsidRDefault="004513D3">
      <w:pPr>
        <w:numPr>
          <w:ilvl w:val="2"/>
          <w:numId w:val="43"/>
        </w:numPr>
        <w:spacing w:after="116" w:line="249" w:lineRule="auto"/>
        <w:ind w:left="567" w:right="-3" w:hanging="567"/>
        <w:jc w:val="left"/>
        <w:rPr>
          <w:rFonts w:ascii="Garamond" w:hAnsi="Garamond"/>
          <w:sz w:val="24"/>
          <w:szCs w:val="24"/>
        </w:rPr>
      </w:pPr>
      <w:r w:rsidRPr="00AE3F1B">
        <w:rPr>
          <w:rFonts w:ascii="Garamond" w:hAnsi="Garamond"/>
          <w:sz w:val="24"/>
          <w:szCs w:val="24"/>
        </w:rPr>
        <w:t>ID Sp.</w:t>
      </w:r>
      <w:r w:rsidR="00780E15" w:rsidRPr="00AE3F1B">
        <w:rPr>
          <w:rFonts w:ascii="Garamond" w:hAnsi="Garamond"/>
          <w:sz w:val="24"/>
          <w:szCs w:val="24"/>
        </w:rPr>
        <w:t xml:space="preserve"> z o.o. realizuje zawarte przez URD umowy sprzedaży energii, po:</w:t>
      </w:r>
    </w:p>
    <w:p w14:paraId="2FE00CBC" w14:textId="77777777" w:rsidR="00780E15" w:rsidRPr="004513D3" w:rsidRDefault="00780E15">
      <w:pPr>
        <w:pStyle w:val="Akapitzlist"/>
        <w:numPr>
          <w:ilvl w:val="0"/>
          <w:numId w:val="157"/>
        </w:numPr>
        <w:spacing w:after="15" w:line="249" w:lineRule="auto"/>
        <w:ind w:right="-3"/>
        <w:jc w:val="left"/>
        <w:rPr>
          <w:rFonts w:ascii="Garamond" w:hAnsi="Garamond"/>
          <w:sz w:val="24"/>
          <w:szCs w:val="24"/>
        </w:rPr>
      </w:pPr>
      <w:r w:rsidRPr="004513D3">
        <w:rPr>
          <w:rFonts w:ascii="Garamond" w:hAnsi="Garamond"/>
          <w:sz w:val="24"/>
          <w:szCs w:val="24"/>
        </w:rPr>
        <w:t>uzyskaniu przez URD odpowiednich koncesji - jeżeli jest taki wymóg prawny,</w:t>
      </w:r>
    </w:p>
    <w:p w14:paraId="415544B0" w14:textId="6BDE4CB4" w:rsidR="00780E15" w:rsidRPr="004513D3" w:rsidRDefault="00780E15">
      <w:pPr>
        <w:pStyle w:val="Akapitzlist"/>
        <w:numPr>
          <w:ilvl w:val="0"/>
          <w:numId w:val="157"/>
        </w:numPr>
        <w:spacing w:after="15" w:line="249" w:lineRule="auto"/>
        <w:ind w:right="-3"/>
        <w:jc w:val="left"/>
        <w:rPr>
          <w:rFonts w:ascii="Garamond" w:hAnsi="Garamond"/>
          <w:sz w:val="24"/>
          <w:szCs w:val="24"/>
        </w:rPr>
      </w:pPr>
      <w:r w:rsidRPr="004513D3">
        <w:rPr>
          <w:rFonts w:ascii="Garamond" w:hAnsi="Garamond"/>
          <w:sz w:val="24"/>
          <w:szCs w:val="24"/>
        </w:rPr>
        <w:t xml:space="preserve">zawarciu przez URD umowy dystrybucji z </w:t>
      </w:r>
      <w:r w:rsidR="004513D3" w:rsidRPr="004513D3">
        <w:rPr>
          <w:rFonts w:ascii="Garamond" w:hAnsi="Garamond"/>
          <w:sz w:val="24"/>
          <w:szCs w:val="24"/>
        </w:rPr>
        <w:t>ID Sp.</w:t>
      </w:r>
      <w:r w:rsidRPr="004513D3">
        <w:rPr>
          <w:rFonts w:ascii="Garamond" w:hAnsi="Garamond"/>
          <w:sz w:val="24"/>
          <w:szCs w:val="24"/>
        </w:rPr>
        <w:t xml:space="preserve"> z o.o.,</w:t>
      </w:r>
    </w:p>
    <w:p w14:paraId="7F38FD35" w14:textId="79791D01" w:rsidR="00780E15" w:rsidRPr="004513D3" w:rsidRDefault="00780E15">
      <w:pPr>
        <w:pStyle w:val="Akapitzlist"/>
        <w:numPr>
          <w:ilvl w:val="0"/>
          <w:numId w:val="157"/>
        </w:numPr>
        <w:spacing w:after="15" w:line="249" w:lineRule="auto"/>
        <w:ind w:right="-3"/>
        <w:jc w:val="left"/>
        <w:rPr>
          <w:rFonts w:ascii="Garamond" w:hAnsi="Garamond"/>
          <w:sz w:val="24"/>
          <w:szCs w:val="24"/>
        </w:rPr>
      </w:pPr>
      <w:r w:rsidRPr="004513D3">
        <w:rPr>
          <w:rFonts w:ascii="Garamond" w:hAnsi="Garamond"/>
          <w:sz w:val="24"/>
          <w:szCs w:val="24"/>
        </w:rPr>
        <w:t>zawarciu przez URD typu odbiorca (</w:t>
      </w:r>
      <w:proofErr w:type="spellStart"/>
      <w:r w:rsidRPr="004513D3">
        <w:rPr>
          <w:rFonts w:ascii="Garamond" w:hAnsi="Garamond"/>
          <w:sz w:val="24"/>
          <w:szCs w:val="24"/>
        </w:rPr>
        <w:t>URDo</w:t>
      </w:r>
      <w:proofErr w:type="spellEnd"/>
      <w:r w:rsidRPr="004513D3">
        <w:rPr>
          <w:rFonts w:ascii="Garamond" w:hAnsi="Garamond"/>
          <w:sz w:val="24"/>
          <w:szCs w:val="24"/>
        </w:rPr>
        <w:t>) umowy z wybranym sprzedawcą, posiadającym zawartą</w:t>
      </w:r>
      <w:r w:rsidR="004513D3" w:rsidRPr="004513D3">
        <w:rPr>
          <w:rFonts w:ascii="Garamond" w:hAnsi="Garamond"/>
          <w:sz w:val="24"/>
          <w:szCs w:val="24"/>
        </w:rPr>
        <w:t xml:space="preserve"> </w:t>
      </w:r>
      <w:r w:rsidRPr="004513D3">
        <w:rPr>
          <w:rFonts w:ascii="Garamond" w:hAnsi="Garamond"/>
          <w:sz w:val="24"/>
          <w:szCs w:val="24"/>
        </w:rPr>
        <w:t xml:space="preserve">umowę dystrybucji (zwaną dalej „generalną umową dystrybucji” lub „GUD”) z </w:t>
      </w:r>
      <w:r w:rsidR="004513D3" w:rsidRPr="004513D3">
        <w:rPr>
          <w:rFonts w:ascii="Garamond" w:hAnsi="Garamond"/>
          <w:sz w:val="24"/>
          <w:szCs w:val="24"/>
        </w:rPr>
        <w:t>ID Sp.</w:t>
      </w:r>
      <w:r w:rsidRPr="004513D3">
        <w:rPr>
          <w:rFonts w:ascii="Garamond" w:hAnsi="Garamond"/>
          <w:sz w:val="24"/>
          <w:szCs w:val="24"/>
        </w:rPr>
        <w:t xml:space="preserve"> z o.o.,</w:t>
      </w:r>
    </w:p>
    <w:p w14:paraId="0D0B58C9" w14:textId="569B3A7B" w:rsidR="004513D3" w:rsidRPr="004513D3" w:rsidRDefault="00780E15">
      <w:pPr>
        <w:pStyle w:val="Akapitzlist"/>
        <w:numPr>
          <w:ilvl w:val="0"/>
          <w:numId w:val="157"/>
        </w:numPr>
        <w:spacing w:after="15" w:line="249" w:lineRule="auto"/>
        <w:ind w:right="-3"/>
        <w:jc w:val="left"/>
        <w:rPr>
          <w:rFonts w:ascii="Garamond" w:hAnsi="Garamond"/>
          <w:sz w:val="24"/>
          <w:szCs w:val="24"/>
        </w:rPr>
      </w:pPr>
      <w:r w:rsidRPr="004513D3">
        <w:rPr>
          <w:rFonts w:ascii="Garamond" w:hAnsi="Garamond"/>
          <w:sz w:val="24"/>
          <w:szCs w:val="24"/>
        </w:rPr>
        <w:t>wskazaniu przez URD typu wytwórca (</w:t>
      </w:r>
      <w:proofErr w:type="spellStart"/>
      <w:r w:rsidRPr="004513D3">
        <w:rPr>
          <w:rFonts w:ascii="Garamond" w:hAnsi="Garamond"/>
          <w:sz w:val="24"/>
          <w:szCs w:val="24"/>
        </w:rPr>
        <w:t>URDw</w:t>
      </w:r>
      <w:proofErr w:type="spellEnd"/>
      <w:r w:rsidRPr="004513D3">
        <w:rPr>
          <w:rFonts w:ascii="Garamond" w:hAnsi="Garamond"/>
          <w:sz w:val="24"/>
          <w:szCs w:val="24"/>
        </w:rPr>
        <w:t>) wybranego POB, posiadającym zawartą umowę</w:t>
      </w:r>
      <w:r w:rsidR="004513D3" w:rsidRPr="004513D3">
        <w:rPr>
          <w:rFonts w:ascii="Garamond" w:hAnsi="Garamond"/>
          <w:sz w:val="24"/>
          <w:szCs w:val="24"/>
        </w:rPr>
        <w:t xml:space="preserve"> </w:t>
      </w:r>
      <w:r w:rsidRPr="004513D3">
        <w:rPr>
          <w:rFonts w:ascii="Garamond" w:hAnsi="Garamond"/>
          <w:sz w:val="24"/>
          <w:szCs w:val="24"/>
        </w:rPr>
        <w:t xml:space="preserve">dystrybucji z PGE Dystrybucja S.A. i </w:t>
      </w:r>
      <w:r w:rsidR="004513D3" w:rsidRPr="004513D3">
        <w:rPr>
          <w:rFonts w:ascii="Garamond" w:hAnsi="Garamond"/>
          <w:sz w:val="24"/>
          <w:szCs w:val="24"/>
        </w:rPr>
        <w:t>ID Sp.</w:t>
      </w:r>
      <w:r w:rsidRPr="004513D3">
        <w:rPr>
          <w:rFonts w:ascii="Garamond" w:hAnsi="Garamond"/>
          <w:sz w:val="24"/>
          <w:szCs w:val="24"/>
        </w:rPr>
        <w:t xml:space="preserve"> z o.o.</w:t>
      </w:r>
    </w:p>
    <w:p w14:paraId="48355E99" w14:textId="00C7D38C" w:rsidR="00780E15" w:rsidRPr="004513D3" w:rsidRDefault="00780E15">
      <w:pPr>
        <w:pStyle w:val="Akapitzlist"/>
        <w:numPr>
          <w:ilvl w:val="0"/>
          <w:numId w:val="157"/>
        </w:numPr>
        <w:spacing w:after="15" w:line="249" w:lineRule="auto"/>
        <w:ind w:right="-3"/>
        <w:jc w:val="left"/>
        <w:rPr>
          <w:rFonts w:ascii="Garamond" w:hAnsi="Garamond"/>
          <w:sz w:val="24"/>
          <w:szCs w:val="24"/>
        </w:rPr>
      </w:pPr>
      <w:r w:rsidRPr="004513D3">
        <w:rPr>
          <w:rFonts w:ascii="Garamond" w:hAnsi="Garamond"/>
          <w:sz w:val="24"/>
          <w:szCs w:val="24"/>
        </w:rPr>
        <w:t xml:space="preserve">wskazaniu przez URDME wybranego POB, posiadającego zawartą umowę dystrybucji z </w:t>
      </w:r>
      <w:r w:rsidR="004513D3" w:rsidRPr="004513D3">
        <w:rPr>
          <w:rFonts w:ascii="Garamond" w:hAnsi="Garamond"/>
          <w:sz w:val="24"/>
          <w:szCs w:val="24"/>
        </w:rPr>
        <w:t>ID,</w:t>
      </w:r>
    </w:p>
    <w:p w14:paraId="70A9B5C2" w14:textId="0E6DB690" w:rsidR="004513D3" w:rsidRDefault="00780E15">
      <w:pPr>
        <w:pStyle w:val="Akapitzlist"/>
        <w:numPr>
          <w:ilvl w:val="0"/>
          <w:numId w:val="157"/>
        </w:numPr>
        <w:spacing w:after="0" w:line="249" w:lineRule="auto"/>
        <w:ind w:right="-3"/>
        <w:jc w:val="left"/>
        <w:rPr>
          <w:rFonts w:ascii="Garamond" w:hAnsi="Garamond"/>
          <w:sz w:val="24"/>
          <w:szCs w:val="24"/>
        </w:rPr>
      </w:pPr>
      <w:r w:rsidRPr="004513D3">
        <w:rPr>
          <w:rFonts w:ascii="Garamond" w:hAnsi="Garamond"/>
          <w:sz w:val="24"/>
          <w:szCs w:val="24"/>
        </w:rPr>
        <w:lastRenderedPageBreak/>
        <w:t>zawarciu przez URD typu odbiorca (</w:t>
      </w:r>
      <w:proofErr w:type="spellStart"/>
      <w:r w:rsidRPr="004513D3">
        <w:rPr>
          <w:rFonts w:ascii="Garamond" w:hAnsi="Garamond"/>
          <w:sz w:val="24"/>
          <w:szCs w:val="24"/>
        </w:rPr>
        <w:t>URDo</w:t>
      </w:r>
      <w:proofErr w:type="spellEnd"/>
      <w:r w:rsidRPr="004513D3">
        <w:rPr>
          <w:rFonts w:ascii="Garamond" w:hAnsi="Garamond"/>
          <w:sz w:val="24"/>
          <w:szCs w:val="24"/>
        </w:rPr>
        <w:t>), będącego wytwórcą w mikroinstalacji innym niż</w:t>
      </w:r>
      <w:r w:rsidR="004513D3" w:rsidRPr="004513D3">
        <w:rPr>
          <w:rFonts w:ascii="Garamond" w:hAnsi="Garamond"/>
          <w:sz w:val="24"/>
          <w:szCs w:val="24"/>
        </w:rPr>
        <w:t xml:space="preserve"> </w:t>
      </w:r>
      <w:r w:rsidRPr="004513D3">
        <w:rPr>
          <w:rFonts w:ascii="Garamond" w:hAnsi="Garamond"/>
          <w:sz w:val="24"/>
          <w:szCs w:val="24"/>
        </w:rPr>
        <w:t xml:space="preserve">prosument, umowy dystrybucji z </w:t>
      </w:r>
      <w:r w:rsidR="004513D3" w:rsidRPr="004513D3">
        <w:rPr>
          <w:rFonts w:ascii="Garamond" w:hAnsi="Garamond"/>
          <w:sz w:val="24"/>
          <w:szCs w:val="24"/>
        </w:rPr>
        <w:t>ID Sp.</w:t>
      </w:r>
      <w:r w:rsidRPr="004513D3">
        <w:rPr>
          <w:rFonts w:ascii="Garamond" w:hAnsi="Garamond"/>
          <w:sz w:val="24"/>
          <w:szCs w:val="24"/>
        </w:rPr>
        <w:t xml:space="preserve"> z o.o.</w:t>
      </w:r>
    </w:p>
    <w:p w14:paraId="311852D0" w14:textId="77777777" w:rsidR="004513D3" w:rsidRPr="004513D3" w:rsidRDefault="004513D3" w:rsidP="004513D3">
      <w:pPr>
        <w:pStyle w:val="Akapitzlist"/>
        <w:spacing w:after="0" w:line="249" w:lineRule="auto"/>
        <w:ind w:right="-3"/>
        <w:jc w:val="left"/>
        <w:rPr>
          <w:rFonts w:ascii="Garamond" w:hAnsi="Garamond"/>
          <w:sz w:val="24"/>
          <w:szCs w:val="24"/>
        </w:rPr>
      </w:pPr>
    </w:p>
    <w:p w14:paraId="7F46CD2C" w14:textId="0040F8E2" w:rsidR="00780E15" w:rsidRPr="00AE3F1B" w:rsidRDefault="00780E15">
      <w:pPr>
        <w:pStyle w:val="Akapitzlist"/>
        <w:numPr>
          <w:ilvl w:val="2"/>
          <w:numId w:val="43"/>
        </w:numPr>
        <w:spacing w:after="0" w:line="248" w:lineRule="auto"/>
        <w:ind w:left="567" w:right="-3" w:hanging="567"/>
        <w:jc w:val="left"/>
        <w:rPr>
          <w:rFonts w:ascii="Garamond" w:hAnsi="Garamond"/>
          <w:sz w:val="24"/>
          <w:szCs w:val="24"/>
        </w:rPr>
      </w:pPr>
      <w:r w:rsidRPr="00AE3F1B">
        <w:rPr>
          <w:rFonts w:ascii="Garamond" w:hAnsi="Garamond"/>
          <w:sz w:val="24"/>
          <w:szCs w:val="24"/>
        </w:rPr>
        <w:t>Umowa dystrybucji zawarta pomiędzy URD (</w:t>
      </w:r>
      <w:proofErr w:type="spellStart"/>
      <w:r w:rsidRPr="00AE3F1B">
        <w:rPr>
          <w:rFonts w:ascii="Garamond" w:hAnsi="Garamond"/>
          <w:sz w:val="24"/>
          <w:szCs w:val="24"/>
        </w:rPr>
        <w:t>URDo</w:t>
      </w:r>
      <w:proofErr w:type="spellEnd"/>
      <w:r w:rsidRPr="00AE3F1B">
        <w:rPr>
          <w:rFonts w:ascii="Garamond" w:hAnsi="Garamond"/>
          <w:sz w:val="24"/>
          <w:szCs w:val="24"/>
        </w:rPr>
        <w:t xml:space="preserve">, </w:t>
      </w:r>
      <w:proofErr w:type="spellStart"/>
      <w:r w:rsidRPr="00AE3F1B">
        <w:rPr>
          <w:rFonts w:ascii="Garamond" w:hAnsi="Garamond"/>
          <w:sz w:val="24"/>
          <w:szCs w:val="24"/>
        </w:rPr>
        <w:t>URDw</w:t>
      </w:r>
      <w:proofErr w:type="spellEnd"/>
      <w:r w:rsidRPr="00AE3F1B">
        <w:rPr>
          <w:rFonts w:ascii="Garamond" w:hAnsi="Garamond"/>
          <w:sz w:val="24"/>
          <w:szCs w:val="24"/>
        </w:rPr>
        <w:t xml:space="preserve">, RDME) a </w:t>
      </w:r>
      <w:r w:rsidR="004513D3" w:rsidRPr="00AE3F1B">
        <w:rPr>
          <w:rFonts w:ascii="Garamond" w:hAnsi="Garamond"/>
          <w:sz w:val="24"/>
          <w:szCs w:val="24"/>
        </w:rPr>
        <w:t>ID,</w:t>
      </w:r>
      <w:r w:rsidRPr="00AE3F1B">
        <w:rPr>
          <w:rFonts w:ascii="Garamond" w:hAnsi="Garamond"/>
          <w:sz w:val="24"/>
          <w:szCs w:val="24"/>
        </w:rPr>
        <w:t xml:space="preserve"> spełnia wymagania określone w ustawie Prawo energetyczne i powinna zawierać w szczególności następujące elementy:</w:t>
      </w:r>
    </w:p>
    <w:p w14:paraId="5A3A10F6" w14:textId="5751D262" w:rsidR="00780E15" w:rsidRPr="00C848B5" w:rsidRDefault="00780E15">
      <w:pPr>
        <w:pStyle w:val="Akapitzlist"/>
        <w:numPr>
          <w:ilvl w:val="0"/>
          <w:numId w:val="158"/>
        </w:numPr>
        <w:spacing w:after="74" w:line="249" w:lineRule="auto"/>
        <w:ind w:right="-3"/>
        <w:jc w:val="left"/>
        <w:rPr>
          <w:rFonts w:ascii="Garamond" w:hAnsi="Garamond"/>
          <w:sz w:val="24"/>
          <w:szCs w:val="24"/>
        </w:rPr>
      </w:pPr>
      <w:r w:rsidRPr="00C848B5">
        <w:rPr>
          <w:rFonts w:ascii="Garamond" w:hAnsi="Garamond"/>
          <w:sz w:val="24"/>
          <w:szCs w:val="24"/>
        </w:rPr>
        <w:t>zobowiązanie stron do stosowania w pełnym zakresie postanowień</w:t>
      </w:r>
      <w:r w:rsidR="005B3AD1">
        <w:rPr>
          <w:rFonts w:ascii="Garamond" w:hAnsi="Garamond"/>
          <w:sz w:val="24"/>
          <w:szCs w:val="24"/>
        </w:rPr>
        <w:t xml:space="preserve"> </w:t>
      </w:r>
      <w:r w:rsidR="005B3AD1" w:rsidRPr="005B3AD1">
        <w:rPr>
          <w:rFonts w:ascii="Garamond" w:hAnsi="Garamond"/>
          <w:sz w:val="24"/>
          <w:szCs w:val="24"/>
        </w:rPr>
        <w:t>IRiESD</w:t>
      </w:r>
      <w:r w:rsidRPr="00C848B5">
        <w:rPr>
          <w:rFonts w:ascii="Garamond" w:hAnsi="Garamond"/>
          <w:sz w:val="24"/>
          <w:szCs w:val="24"/>
        </w:rPr>
        <w:t>,</w:t>
      </w:r>
    </w:p>
    <w:p w14:paraId="00A99080" w14:textId="77777777" w:rsidR="00780E15" w:rsidRPr="00C848B5" w:rsidRDefault="00780E15">
      <w:pPr>
        <w:pStyle w:val="Akapitzlist"/>
        <w:numPr>
          <w:ilvl w:val="0"/>
          <w:numId w:val="158"/>
        </w:numPr>
        <w:spacing w:after="51" w:line="249" w:lineRule="auto"/>
        <w:ind w:right="-3"/>
        <w:jc w:val="left"/>
        <w:rPr>
          <w:rFonts w:ascii="Garamond" w:hAnsi="Garamond"/>
          <w:sz w:val="24"/>
          <w:szCs w:val="24"/>
        </w:rPr>
      </w:pPr>
      <w:r w:rsidRPr="00C848B5">
        <w:rPr>
          <w:rFonts w:ascii="Garamond" w:hAnsi="Garamond"/>
          <w:sz w:val="24"/>
          <w:szCs w:val="24"/>
        </w:rPr>
        <w:t>wskazanie POB, a w przypadku URD typu wytwórca (</w:t>
      </w:r>
      <w:proofErr w:type="spellStart"/>
      <w:r w:rsidRPr="00C848B5">
        <w:rPr>
          <w:rFonts w:ascii="Garamond" w:hAnsi="Garamond"/>
          <w:sz w:val="24"/>
          <w:szCs w:val="24"/>
        </w:rPr>
        <w:t>URDw</w:t>
      </w:r>
      <w:proofErr w:type="spellEnd"/>
      <w:r w:rsidRPr="00C848B5">
        <w:rPr>
          <w:rFonts w:ascii="Garamond" w:hAnsi="Garamond"/>
          <w:sz w:val="24"/>
          <w:szCs w:val="24"/>
        </w:rPr>
        <w:t>) również zasad jego zmiany,</w:t>
      </w:r>
    </w:p>
    <w:p w14:paraId="04193DE5" w14:textId="77777777" w:rsidR="00780E15" w:rsidRPr="00C848B5" w:rsidRDefault="00780E15">
      <w:pPr>
        <w:pStyle w:val="Akapitzlist"/>
        <w:numPr>
          <w:ilvl w:val="0"/>
          <w:numId w:val="158"/>
        </w:numPr>
        <w:spacing w:after="66" w:line="249" w:lineRule="auto"/>
        <w:ind w:right="-3"/>
        <w:jc w:val="left"/>
        <w:rPr>
          <w:rFonts w:ascii="Garamond" w:hAnsi="Garamond"/>
          <w:sz w:val="24"/>
          <w:szCs w:val="24"/>
        </w:rPr>
      </w:pPr>
      <w:r w:rsidRPr="00C848B5">
        <w:rPr>
          <w:rFonts w:ascii="Garamond" w:hAnsi="Garamond"/>
          <w:sz w:val="24"/>
          <w:szCs w:val="24"/>
        </w:rPr>
        <w:t>algorytm wyznaczania rzeczywistej ilości energii w Punkcie Dostarczania Energii (PDE).</w:t>
      </w:r>
    </w:p>
    <w:p w14:paraId="576820EE" w14:textId="77777777" w:rsidR="00780E15" w:rsidRPr="00C848B5" w:rsidRDefault="00780E15">
      <w:pPr>
        <w:pStyle w:val="Akapitzlist"/>
        <w:numPr>
          <w:ilvl w:val="0"/>
          <w:numId w:val="158"/>
        </w:numPr>
        <w:spacing w:after="61" w:line="249" w:lineRule="auto"/>
        <w:ind w:right="-3"/>
        <w:jc w:val="left"/>
        <w:rPr>
          <w:rFonts w:ascii="Garamond" w:hAnsi="Garamond"/>
          <w:sz w:val="24"/>
          <w:szCs w:val="24"/>
        </w:rPr>
      </w:pPr>
      <w:r w:rsidRPr="00C848B5">
        <w:rPr>
          <w:rFonts w:ascii="Garamond" w:hAnsi="Garamond"/>
          <w:sz w:val="24"/>
          <w:szCs w:val="24"/>
        </w:rPr>
        <w:t xml:space="preserve">oznaczenie sprzedawcy, który posiada zawartą GUD z OSD dotyczy </w:t>
      </w:r>
      <w:proofErr w:type="spellStart"/>
      <w:r w:rsidRPr="00C848B5">
        <w:rPr>
          <w:rFonts w:ascii="Garamond" w:hAnsi="Garamond"/>
          <w:sz w:val="24"/>
          <w:szCs w:val="24"/>
        </w:rPr>
        <w:t>URDo</w:t>
      </w:r>
      <w:proofErr w:type="spellEnd"/>
      <w:r w:rsidRPr="00C848B5">
        <w:rPr>
          <w:rFonts w:ascii="Garamond" w:hAnsi="Garamond"/>
          <w:sz w:val="24"/>
          <w:szCs w:val="24"/>
        </w:rPr>
        <w:t>,</w:t>
      </w:r>
    </w:p>
    <w:p w14:paraId="50C42C46" w14:textId="77777777" w:rsidR="00780E15" w:rsidRPr="00C848B5" w:rsidRDefault="00780E15">
      <w:pPr>
        <w:pStyle w:val="Akapitzlist"/>
        <w:numPr>
          <w:ilvl w:val="0"/>
          <w:numId w:val="158"/>
        </w:numPr>
        <w:spacing w:after="51" w:line="249" w:lineRule="auto"/>
        <w:ind w:right="-3"/>
        <w:jc w:val="left"/>
        <w:rPr>
          <w:rFonts w:ascii="Garamond" w:hAnsi="Garamond"/>
          <w:sz w:val="24"/>
          <w:szCs w:val="24"/>
        </w:rPr>
      </w:pPr>
      <w:r w:rsidRPr="00C848B5">
        <w:rPr>
          <w:rFonts w:ascii="Garamond" w:hAnsi="Garamond"/>
          <w:sz w:val="24"/>
          <w:szCs w:val="24"/>
        </w:rPr>
        <w:t xml:space="preserve">wskazanie sprzedawcy rezerwowego, który posiada zawartą GUD z OSD umożliwiającą sprzedaż rezerwową - dotyczy </w:t>
      </w:r>
      <w:proofErr w:type="spellStart"/>
      <w:r w:rsidRPr="00C848B5">
        <w:rPr>
          <w:rFonts w:ascii="Garamond" w:hAnsi="Garamond"/>
          <w:sz w:val="24"/>
          <w:szCs w:val="24"/>
        </w:rPr>
        <w:t>URDo</w:t>
      </w:r>
      <w:proofErr w:type="spellEnd"/>
      <w:r w:rsidRPr="00C848B5">
        <w:rPr>
          <w:rFonts w:ascii="Garamond" w:hAnsi="Garamond"/>
          <w:sz w:val="24"/>
          <w:szCs w:val="24"/>
        </w:rPr>
        <w:t>,</w:t>
      </w:r>
    </w:p>
    <w:p w14:paraId="10E363E8" w14:textId="693E7B8A" w:rsidR="00780E15" w:rsidRPr="00C848B5" w:rsidRDefault="00780E15">
      <w:pPr>
        <w:pStyle w:val="Akapitzlist"/>
        <w:numPr>
          <w:ilvl w:val="0"/>
          <w:numId w:val="158"/>
        </w:numPr>
        <w:spacing w:after="42" w:line="249" w:lineRule="auto"/>
        <w:ind w:right="-3"/>
        <w:jc w:val="left"/>
        <w:rPr>
          <w:rFonts w:ascii="Garamond" w:hAnsi="Garamond"/>
          <w:sz w:val="24"/>
          <w:szCs w:val="24"/>
        </w:rPr>
      </w:pPr>
      <w:r w:rsidRPr="00C848B5">
        <w:rPr>
          <w:rFonts w:ascii="Garamond" w:hAnsi="Garamond"/>
          <w:sz w:val="24"/>
          <w:szCs w:val="24"/>
        </w:rPr>
        <w:t xml:space="preserve">określenie, że POB dla </w:t>
      </w:r>
      <w:proofErr w:type="spellStart"/>
      <w:r w:rsidRPr="00C848B5">
        <w:rPr>
          <w:rFonts w:ascii="Garamond" w:hAnsi="Garamond"/>
          <w:sz w:val="24"/>
          <w:szCs w:val="24"/>
        </w:rPr>
        <w:t>URDo</w:t>
      </w:r>
      <w:proofErr w:type="spellEnd"/>
      <w:r w:rsidRPr="00C848B5">
        <w:rPr>
          <w:rFonts w:ascii="Garamond" w:hAnsi="Garamond"/>
          <w:sz w:val="24"/>
          <w:szCs w:val="24"/>
        </w:rPr>
        <w:t xml:space="preserve"> jest podmiot</w:t>
      </w:r>
      <w:r w:rsidR="007904D6">
        <w:rPr>
          <w:rFonts w:ascii="Garamond" w:hAnsi="Garamond"/>
          <w:sz w:val="24"/>
          <w:szCs w:val="24"/>
        </w:rPr>
        <w:t>em</w:t>
      </w:r>
      <w:r w:rsidRPr="00C848B5">
        <w:rPr>
          <w:rFonts w:ascii="Garamond" w:hAnsi="Garamond"/>
          <w:sz w:val="24"/>
          <w:szCs w:val="24"/>
        </w:rPr>
        <w:t xml:space="preserve"> wskazany</w:t>
      </w:r>
      <w:r w:rsidR="007904D6">
        <w:rPr>
          <w:rFonts w:ascii="Garamond" w:hAnsi="Garamond"/>
          <w:sz w:val="24"/>
          <w:szCs w:val="24"/>
        </w:rPr>
        <w:t>m</w:t>
      </w:r>
      <w:r w:rsidRPr="00C848B5">
        <w:rPr>
          <w:rFonts w:ascii="Garamond" w:hAnsi="Garamond"/>
          <w:sz w:val="24"/>
          <w:szCs w:val="24"/>
        </w:rPr>
        <w:t xml:space="preserve"> przez sprzedawcę w GUD, dla którego OSD realizuje umowę sprzedaży - dotyczy </w:t>
      </w:r>
      <w:proofErr w:type="spellStart"/>
      <w:r w:rsidRPr="00C848B5">
        <w:rPr>
          <w:rFonts w:ascii="Garamond" w:hAnsi="Garamond"/>
          <w:sz w:val="24"/>
          <w:szCs w:val="24"/>
        </w:rPr>
        <w:t>URDo</w:t>
      </w:r>
      <w:proofErr w:type="spellEnd"/>
      <w:r w:rsidRPr="00C848B5">
        <w:rPr>
          <w:rFonts w:ascii="Garamond" w:hAnsi="Garamond"/>
          <w:sz w:val="24"/>
          <w:szCs w:val="24"/>
        </w:rPr>
        <w:t>,</w:t>
      </w:r>
    </w:p>
    <w:p w14:paraId="7E7C7306" w14:textId="77777777" w:rsidR="00780E15" w:rsidRPr="00C848B5" w:rsidRDefault="00780E15">
      <w:pPr>
        <w:pStyle w:val="Akapitzlist"/>
        <w:numPr>
          <w:ilvl w:val="0"/>
          <w:numId w:val="158"/>
        </w:numPr>
        <w:spacing w:after="15" w:line="249" w:lineRule="auto"/>
        <w:ind w:right="-3"/>
        <w:jc w:val="left"/>
        <w:rPr>
          <w:rFonts w:ascii="Garamond" w:hAnsi="Garamond"/>
          <w:sz w:val="24"/>
          <w:szCs w:val="24"/>
        </w:rPr>
      </w:pPr>
      <w:r w:rsidRPr="00C848B5">
        <w:rPr>
          <w:rFonts w:ascii="Garamond" w:hAnsi="Garamond"/>
          <w:sz w:val="24"/>
          <w:szCs w:val="24"/>
        </w:rPr>
        <w:t xml:space="preserve">określenie POB i zasad jego zmiany - dotyczy </w:t>
      </w:r>
      <w:proofErr w:type="spellStart"/>
      <w:r w:rsidRPr="00C848B5">
        <w:rPr>
          <w:rFonts w:ascii="Garamond" w:hAnsi="Garamond"/>
          <w:sz w:val="24"/>
          <w:szCs w:val="24"/>
        </w:rPr>
        <w:t>URDw</w:t>
      </w:r>
      <w:proofErr w:type="spellEnd"/>
      <w:r w:rsidRPr="00C848B5">
        <w:rPr>
          <w:rFonts w:ascii="Garamond" w:hAnsi="Garamond"/>
          <w:sz w:val="24"/>
          <w:szCs w:val="24"/>
        </w:rPr>
        <w:t xml:space="preserve"> oraz URDME,</w:t>
      </w:r>
    </w:p>
    <w:p w14:paraId="0755B2C8" w14:textId="77777777" w:rsidR="00780E15" w:rsidRPr="00C848B5" w:rsidRDefault="00780E15">
      <w:pPr>
        <w:pStyle w:val="Akapitzlist"/>
        <w:numPr>
          <w:ilvl w:val="0"/>
          <w:numId w:val="158"/>
        </w:numPr>
        <w:spacing w:after="56" w:line="249" w:lineRule="auto"/>
        <w:ind w:right="-3"/>
        <w:jc w:val="left"/>
        <w:rPr>
          <w:rFonts w:ascii="Garamond" w:hAnsi="Garamond"/>
          <w:sz w:val="24"/>
          <w:szCs w:val="24"/>
        </w:rPr>
      </w:pPr>
      <w:r w:rsidRPr="00C848B5">
        <w:rPr>
          <w:rFonts w:ascii="Garamond" w:hAnsi="Garamond"/>
          <w:sz w:val="24"/>
          <w:szCs w:val="24"/>
        </w:rPr>
        <w:t xml:space="preserve">sposób i zasady rozliczeń z OSD z tytułu niezbilansowania dostaw energii elektrycznej, w przypadku utraty POB - dotyczy </w:t>
      </w:r>
      <w:proofErr w:type="spellStart"/>
      <w:r w:rsidRPr="00C848B5">
        <w:rPr>
          <w:rFonts w:ascii="Garamond" w:hAnsi="Garamond"/>
          <w:sz w:val="24"/>
          <w:szCs w:val="24"/>
        </w:rPr>
        <w:t>URDw</w:t>
      </w:r>
      <w:proofErr w:type="spellEnd"/>
      <w:r w:rsidRPr="00C848B5">
        <w:rPr>
          <w:rFonts w:ascii="Garamond" w:hAnsi="Garamond"/>
          <w:sz w:val="24"/>
          <w:szCs w:val="24"/>
        </w:rPr>
        <w:t xml:space="preserve"> oraz URDME.</w:t>
      </w:r>
    </w:p>
    <w:p w14:paraId="7DB85109" w14:textId="7900E113" w:rsidR="00780E15" w:rsidRPr="00AE3F1B" w:rsidRDefault="00780E15" w:rsidP="006316A5">
      <w:pPr>
        <w:spacing w:after="178" w:line="249" w:lineRule="auto"/>
        <w:ind w:left="567" w:right="-3"/>
        <w:jc w:val="left"/>
        <w:rPr>
          <w:rFonts w:ascii="Garamond" w:hAnsi="Garamond"/>
          <w:sz w:val="24"/>
          <w:szCs w:val="24"/>
        </w:rPr>
      </w:pPr>
      <w:r w:rsidRPr="00AE3F1B">
        <w:rPr>
          <w:rFonts w:ascii="Garamond" w:hAnsi="Garamond"/>
          <w:sz w:val="24"/>
          <w:szCs w:val="24"/>
        </w:rPr>
        <w:t xml:space="preserve">Oznaczenie sprzedawcy i wskazanie sprzedawcy rezerwowego, o których mowa w lit. d) i e), może być realizowane poprzez określenie tych sprzedawców w powiadomieniu OSD o zawartej umowie sprzedaży, które zostało przyjęte do realizacji zgodnie </w:t>
      </w:r>
      <w:r w:rsidR="005B3AD1" w:rsidRPr="00AE3F1B">
        <w:rPr>
          <w:rFonts w:ascii="Garamond" w:hAnsi="Garamond"/>
          <w:sz w:val="24"/>
          <w:szCs w:val="24"/>
        </w:rPr>
        <w:t>z</w:t>
      </w:r>
      <w:r w:rsidR="005B3AD1">
        <w:rPr>
          <w:rFonts w:ascii="Garamond" w:hAnsi="Garamond"/>
          <w:sz w:val="24"/>
          <w:szCs w:val="24"/>
        </w:rPr>
        <w:t xml:space="preserve"> </w:t>
      </w:r>
      <w:r w:rsidR="005B3AD1" w:rsidRPr="005B3AD1">
        <w:rPr>
          <w:rFonts w:ascii="Garamond" w:hAnsi="Garamond"/>
          <w:sz w:val="24"/>
          <w:szCs w:val="24"/>
        </w:rPr>
        <w:t>IRiESD</w:t>
      </w:r>
      <w:r w:rsidR="005B3AD1" w:rsidRPr="00AE3F1B">
        <w:rPr>
          <w:rFonts w:ascii="Garamond" w:hAnsi="Garamond"/>
          <w:sz w:val="24"/>
          <w:szCs w:val="24"/>
        </w:rPr>
        <w:t xml:space="preserve"> Bilansowanie</w:t>
      </w:r>
      <w:r w:rsidRPr="00AE3F1B">
        <w:rPr>
          <w:rFonts w:ascii="Garamond" w:hAnsi="Garamond"/>
          <w:sz w:val="24"/>
          <w:szCs w:val="24"/>
        </w:rPr>
        <w:t>.</w:t>
      </w:r>
    </w:p>
    <w:p w14:paraId="2309B0D2" w14:textId="77777777" w:rsidR="00780E15" w:rsidRPr="00AE3F1B" w:rsidRDefault="00780E15">
      <w:pPr>
        <w:numPr>
          <w:ilvl w:val="2"/>
          <w:numId w:val="43"/>
        </w:numPr>
        <w:spacing w:after="158" w:line="249" w:lineRule="auto"/>
        <w:ind w:left="567" w:right="-3" w:hanging="567"/>
        <w:jc w:val="left"/>
        <w:rPr>
          <w:rFonts w:ascii="Garamond" w:hAnsi="Garamond"/>
          <w:sz w:val="24"/>
          <w:szCs w:val="24"/>
        </w:rPr>
      </w:pPr>
      <w:r w:rsidRPr="00AE3F1B">
        <w:rPr>
          <w:rFonts w:ascii="Garamond" w:hAnsi="Garamond"/>
          <w:sz w:val="24"/>
          <w:szCs w:val="24"/>
        </w:rPr>
        <w:t>Umowa dystrybucji zawierana przez ID Sp. z o.o. z POB spełnia wymagania określone w ustawie Prawo energetyczne art. 5 ust. 2 punkt 2 oraz powinna zawierać co najmniej elementy określone w instrukcji ruchu i eksploatacji sieci dystrybucyjnej PGE Dystrybucja S.A.</w:t>
      </w:r>
    </w:p>
    <w:p w14:paraId="45D12727" w14:textId="31C79030" w:rsidR="00B9015D" w:rsidRPr="00AE3F1B" w:rsidRDefault="00780E15" w:rsidP="006316A5">
      <w:pPr>
        <w:spacing w:after="141" w:line="249" w:lineRule="auto"/>
        <w:ind w:left="567" w:right="-3"/>
        <w:jc w:val="left"/>
        <w:rPr>
          <w:rFonts w:ascii="Garamond" w:hAnsi="Garamond"/>
          <w:sz w:val="24"/>
          <w:szCs w:val="24"/>
        </w:rPr>
      </w:pPr>
      <w:r w:rsidRPr="00AE3F1B">
        <w:rPr>
          <w:rFonts w:ascii="Garamond" w:hAnsi="Garamond"/>
          <w:sz w:val="24"/>
          <w:szCs w:val="24"/>
        </w:rPr>
        <w:t>Jednocześnie POB powinien posiadać zawartą umowę przesyłową z OSP, przydzielone oraz uaktywnione przez OSP MB w sieci PGE Dystrybucja S.A. /</w:t>
      </w:r>
      <w:r w:rsidR="00C848B5" w:rsidRPr="00AE3F1B">
        <w:rPr>
          <w:rFonts w:ascii="Garamond" w:hAnsi="Garamond"/>
          <w:sz w:val="24"/>
          <w:szCs w:val="24"/>
        </w:rPr>
        <w:t>ID Sp.</w:t>
      </w:r>
      <w:r w:rsidRPr="00AE3F1B">
        <w:rPr>
          <w:rFonts w:ascii="Garamond" w:hAnsi="Garamond"/>
          <w:sz w:val="24"/>
          <w:szCs w:val="24"/>
        </w:rPr>
        <w:t xml:space="preserve"> z o.o., zawartą umowę </w:t>
      </w:r>
      <w:r w:rsidRPr="00AE3F1B">
        <w:rPr>
          <w:rFonts w:ascii="Garamond" w:hAnsi="Garamond"/>
          <w:sz w:val="24"/>
          <w:szCs w:val="24"/>
        </w:rPr>
        <w:br/>
        <w:t xml:space="preserve">o świadczenie usług dystrybucji z PGE Dystrybucja S.A. oraz spełniać procedury i warunki zawarte w niniejszej </w:t>
      </w:r>
      <w:r w:rsidR="005B3AD1" w:rsidRPr="005B3AD1">
        <w:rPr>
          <w:rFonts w:ascii="Garamond" w:hAnsi="Garamond"/>
          <w:sz w:val="24"/>
          <w:szCs w:val="24"/>
        </w:rPr>
        <w:t>IRiESD</w:t>
      </w:r>
      <w:r w:rsidRPr="00AE3F1B">
        <w:rPr>
          <w:rFonts w:ascii="Garamond" w:hAnsi="Garamond"/>
          <w:sz w:val="24"/>
          <w:szCs w:val="24"/>
        </w:rPr>
        <w:t>.</w:t>
      </w:r>
    </w:p>
    <w:p w14:paraId="03D7EC39" w14:textId="638CC87A" w:rsidR="00B9015D" w:rsidRPr="00AE3F1B" w:rsidRDefault="00B9015D" w:rsidP="00175586">
      <w:pPr>
        <w:spacing w:after="141" w:line="249" w:lineRule="auto"/>
        <w:ind w:left="567" w:right="-3" w:hanging="567"/>
        <w:jc w:val="left"/>
        <w:rPr>
          <w:rFonts w:ascii="Garamond" w:hAnsi="Garamond"/>
          <w:sz w:val="24"/>
          <w:szCs w:val="24"/>
        </w:rPr>
      </w:pPr>
      <w:r w:rsidRPr="00AE3F1B">
        <w:rPr>
          <w:rFonts w:ascii="Garamond" w:hAnsi="Garamond"/>
          <w:sz w:val="24"/>
          <w:szCs w:val="24"/>
        </w:rPr>
        <w:t>A.2.4. Umowa, o której mowa w pkt. A.2.3. jest rozwiązywana automatycznie ze skutkiem natychmiastowym, w przypadku zawieszenia przez OSP działalności POB na rynku bilansującym, niezależnie od przyczyny.</w:t>
      </w:r>
    </w:p>
    <w:p w14:paraId="0D8DED26" w14:textId="1F6FF4DC" w:rsidR="00B9015D" w:rsidRDefault="00B9015D" w:rsidP="00175586">
      <w:pPr>
        <w:spacing w:after="15" w:line="249" w:lineRule="auto"/>
        <w:ind w:left="567" w:right="-3" w:hanging="567"/>
        <w:jc w:val="left"/>
        <w:rPr>
          <w:rFonts w:ascii="Garamond" w:hAnsi="Garamond"/>
          <w:sz w:val="24"/>
          <w:szCs w:val="24"/>
        </w:rPr>
      </w:pPr>
      <w:r w:rsidRPr="00AE3F1B">
        <w:rPr>
          <w:rFonts w:ascii="Garamond" w:hAnsi="Garamond"/>
          <w:sz w:val="24"/>
          <w:szCs w:val="24"/>
        </w:rPr>
        <w:t>A.2.5.</w:t>
      </w:r>
      <w:r w:rsidR="00C848B5">
        <w:rPr>
          <w:rFonts w:ascii="Garamond" w:hAnsi="Garamond"/>
          <w:sz w:val="24"/>
          <w:szCs w:val="24"/>
        </w:rPr>
        <w:t xml:space="preserve"> </w:t>
      </w:r>
      <w:r w:rsidRPr="00AE3F1B">
        <w:rPr>
          <w:rFonts w:ascii="Garamond" w:hAnsi="Garamond"/>
          <w:sz w:val="24"/>
          <w:szCs w:val="24"/>
        </w:rPr>
        <w:t>Umowa kompleksowa zawarta pomiędzy URD a OSD, powinna spełniać wymagania określone w ustawie Prawo energetyczne art. 5 ust. 3 punkt, tj. zawierać postanowienia umowy sprzedaży i umowy o świadczenie usług dystrybucji.</w:t>
      </w:r>
    </w:p>
    <w:p w14:paraId="605623D6" w14:textId="77777777" w:rsidR="00C848B5" w:rsidRPr="00AE3F1B" w:rsidRDefault="00C848B5" w:rsidP="00175586">
      <w:pPr>
        <w:spacing w:after="15" w:line="249" w:lineRule="auto"/>
        <w:ind w:left="567" w:right="-3" w:hanging="567"/>
        <w:jc w:val="left"/>
        <w:rPr>
          <w:rFonts w:ascii="Garamond" w:hAnsi="Garamond"/>
          <w:sz w:val="24"/>
          <w:szCs w:val="24"/>
        </w:rPr>
      </w:pPr>
    </w:p>
    <w:p w14:paraId="18CF8540" w14:textId="511E5839" w:rsidR="00B9015D" w:rsidRPr="00AE3F1B" w:rsidRDefault="00C848B5" w:rsidP="00175586">
      <w:pPr>
        <w:spacing w:after="15" w:line="249" w:lineRule="auto"/>
        <w:ind w:left="567" w:right="-3" w:hanging="567"/>
        <w:jc w:val="left"/>
        <w:rPr>
          <w:rFonts w:ascii="Garamond" w:hAnsi="Garamond"/>
          <w:sz w:val="24"/>
          <w:szCs w:val="24"/>
        </w:rPr>
      </w:pPr>
      <w:r w:rsidRPr="00AE3F1B">
        <w:rPr>
          <w:rFonts w:ascii="Garamond" w:hAnsi="Garamond"/>
          <w:sz w:val="24"/>
          <w:szCs w:val="24"/>
        </w:rPr>
        <w:t>A.2.6. Generalna</w:t>
      </w:r>
      <w:r w:rsidR="00B9015D" w:rsidRPr="00AE3F1B">
        <w:rPr>
          <w:rFonts w:ascii="Garamond" w:hAnsi="Garamond"/>
          <w:sz w:val="24"/>
          <w:szCs w:val="24"/>
        </w:rPr>
        <w:t xml:space="preserve"> umowa dystrybucji (GUD), zawierana przez </w:t>
      </w:r>
      <w:r w:rsidRPr="00AE3F1B">
        <w:rPr>
          <w:rFonts w:ascii="Garamond" w:hAnsi="Garamond"/>
          <w:sz w:val="24"/>
          <w:szCs w:val="24"/>
        </w:rPr>
        <w:t>ID Sp.</w:t>
      </w:r>
      <w:r w:rsidR="00B9015D" w:rsidRPr="00AE3F1B">
        <w:rPr>
          <w:rFonts w:ascii="Garamond" w:hAnsi="Garamond"/>
          <w:sz w:val="24"/>
          <w:szCs w:val="24"/>
        </w:rPr>
        <w:t xml:space="preserve"> z o.o. ze sprzedawcą, spełnia wymagania określone w ustawie Prawo energetyczne w art. 5 ust. 2 punkt 2 i ust. 2a punkt 3 oraz powinna zawierać co najmniej elementy określone w pkt A.2.6. instrukcji ruchu </w:t>
      </w:r>
      <w:r w:rsidR="00B9015D" w:rsidRPr="00AE3F1B">
        <w:rPr>
          <w:rFonts w:ascii="Garamond" w:hAnsi="Garamond"/>
          <w:sz w:val="24"/>
          <w:szCs w:val="24"/>
        </w:rPr>
        <w:br/>
        <w:t>i eksploatacji sieci dystrybucyjnej PGE Dystrybucja S.A.</w:t>
      </w:r>
    </w:p>
    <w:p w14:paraId="6C37B5CC" w14:textId="1DCA554D" w:rsidR="00B9015D" w:rsidRPr="00AE3F1B" w:rsidRDefault="00B9015D" w:rsidP="00175586">
      <w:pPr>
        <w:spacing w:after="104" w:line="249" w:lineRule="auto"/>
        <w:ind w:left="567" w:right="-3" w:hanging="567"/>
        <w:jc w:val="left"/>
        <w:rPr>
          <w:rFonts w:ascii="Garamond" w:hAnsi="Garamond"/>
          <w:sz w:val="24"/>
          <w:szCs w:val="24"/>
        </w:rPr>
      </w:pPr>
      <w:r w:rsidRPr="00AE3F1B">
        <w:rPr>
          <w:rFonts w:ascii="Garamond" w:hAnsi="Garamond"/>
          <w:sz w:val="24"/>
          <w:szCs w:val="24"/>
        </w:rPr>
        <w:t xml:space="preserve">A.2.7. Generalna umowa dystrybucji reguluje kompleksowo stosunki pomiędzy sprzedawcą </w:t>
      </w:r>
      <w:r w:rsidRPr="00AE3F1B">
        <w:rPr>
          <w:rFonts w:ascii="Garamond" w:hAnsi="Garamond"/>
          <w:sz w:val="24"/>
          <w:szCs w:val="24"/>
        </w:rPr>
        <w:br/>
        <w:t xml:space="preserve">i </w:t>
      </w:r>
      <w:r w:rsidR="00C848B5" w:rsidRPr="00AE3F1B">
        <w:rPr>
          <w:rFonts w:ascii="Garamond" w:hAnsi="Garamond"/>
          <w:sz w:val="24"/>
          <w:szCs w:val="24"/>
        </w:rPr>
        <w:t>ID Sp.</w:t>
      </w:r>
      <w:r w:rsidRPr="00AE3F1B">
        <w:rPr>
          <w:rFonts w:ascii="Garamond" w:hAnsi="Garamond"/>
          <w:sz w:val="24"/>
          <w:szCs w:val="24"/>
        </w:rPr>
        <w:t xml:space="preserve"> z o.o. oraz dotyczy wszystkich URD z obszaru działania </w:t>
      </w:r>
      <w:r w:rsidR="00C848B5" w:rsidRPr="00AE3F1B">
        <w:rPr>
          <w:rFonts w:ascii="Garamond" w:hAnsi="Garamond"/>
          <w:sz w:val="24"/>
          <w:szCs w:val="24"/>
        </w:rPr>
        <w:t>ID Sp.</w:t>
      </w:r>
      <w:r w:rsidRPr="00AE3F1B">
        <w:rPr>
          <w:rFonts w:ascii="Garamond" w:hAnsi="Garamond"/>
          <w:sz w:val="24"/>
          <w:szCs w:val="24"/>
        </w:rPr>
        <w:t xml:space="preserve"> z o.o., którym ten sprzedawca będzie sprzedawać energię elektryczną. Sprzedawca posiadający zawartą </w:t>
      </w:r>
      <w:r w:rsidR="00C848B5">
        <w:rPr>
          <w:rFonts w:ascii="Garamond" w:hAnsi="Garamond"/>
          <w:sz w:val="24"/>
          <w:szCs w:val="24"/>
        </w:rPr>
        <w:t xml:space="preserve">                   </w:t>
      </w:r>
      <w:r w:rsidRPr="00AE3F1B">
        <w:rPr>
          <w:rFonts w:ascii="Garamond" w:hAnsi="Garamond"/>
          <w:sz w:val="24"/>
          <w:szCs w:val="24"/>
        </w:rPr>
        <w:t>z</w:t>
      </w:r>
      <w:r w:rsidR="00C848B5">
        <w:rPr>
          <w:rFonts w:ascii="Garamond" w:hAnsi="Garamond"/>
          <w:sz w:val="24"/>
          <w:szCs w:val="24"/>
        </w:rPr>
        <w:t xml:space="preserve"> </w:t>
      </w:r>
      <w:r w:rsidR="00C848B5" w:rsidRPr="00AE3F1B">
        <w:rPr>
          <w:rFonts w:ascii="Garamond" w:hAnsi="Garamond"/>
          <w:sz w:val="24"/>
          <w:szCs w:val="24"/>
        </w:rPr>
        <w:t>ID Sp.</w:t>
      </w:r>
      <w:r w:rsidRPr="00AE3F1B">
        <w:rPr>
          <w:rFonts w:ascii="Garamond" w:hAnsi="Garamond"/>
          <w:sz w:val="24"/>
          <w:szCs w:val="24"/>
        </w:rPr>
        <w:t xml:space="preserve"> z o.o. generalną umowę dystrybucji może pełnić funkcję sprzedawcy rezerwowego po wskazaniu tego w GUD.</w:t>
      </w:r>
    </w:p>
    <w:p w14:paraId="3046533D" w14:textId="77777777" w:rsidR="00B9015D" w:rsidRPr="00AE3F1B" w:rsidRDefault="00B4584F" w:rsidP="00B4584F">
      <w:pPr>
        <w:spacing w:after="15" w:line="249" w:lineRule="auto"/>
        <w:ind w:left="567" w:right="-3"/>
        <w:jc w:val="left"/>
        <w:rPr>
          <w:rFonts w:ascii="Garamond" w:hAnsi="Garamond"/>
          <w:sz w:val="24"/>
          <w:szCs w:val="24"/>
        </w:rPr>
      </w:pPr>
      <w:r w:rsidRPr="00AE3F1B">
        <w:rPr>
          <w:rFonts w:ascii="Garamond" w:hAnsi="Garamond"/>
          <w:sz w:val="24"/>
          <w:szCs w:val="24"/>
        </w:rPr>
        <w:t xml:space="preserve">W </w:t>
      </w:r>
      <w:r w:rsidR="00B9015D" w:rsidRPr="00AE3F1B">
        <w:rPr>
          <w:rFonts w:ascii="Garamond" w:hAnsi="Garamond"/>
          <w:sz w:val="24"/>
          <w:szCs w:val="24"/>
        </w:rPr>
        <w:t>umowie kompleksowej ze sprzedawcą, URD:</w:t>
      </w:r>
    </w:p>
    <w:p w14:paraId="14F41604" w14:textId="77777777" w:rsidR="00B9015D" w:rsidRPr="00C848B5" w:rsidRDefault="00B9015D">
      <w:pPr>
        <w:pStyle w:val="Akapitzlist"/>
        <w:numPr>
          <w:ilvl w:val="0"/>
          <w:numId w:val="159"/>
        </w:numPr>
        <w:spacing w:after="15" w:line="249" w:lineRule="auto"/>
        <w:ind w:right="-3"/>
        <w:jc w:val="left"/>
        <w:rPr>
          <w:rFonts w:ascii="Garamond" w:hAnsi="Garamond"/>
          <w:sz w:val="24"/>
          <w:szCs w:val="24"/>
        </w:rPr>
      </w:pPr>
      <w:r w:rsidRPr="00C848B5">
        <w:rPr>
          <w:rFonts w:ascii="Garamond" w:hAnsi="Garamond"/>
          <w:sz w:val="24"/>
          <w:szCs w:val="24"/>
        </w:rPr>
        <w:t>wskazuje wybranego przez siebie sprzedawcę rezerwowego z wykazu, innego niż Sprzedawca,</w:t>
      </w:r>
    </w:p>
    <w:p w14:paraId="72FD5C89" w14:textId="77777777" w:rsidR="00D92804" w:rsidRPr="00C848B5" w:rsidRDefault="00D92804">
      <w:pPr>
        <w:pStyle w:val="Akapitzlist"/>
        <w:numPr>
          <w:ilvl w:val="0"/>
          <w:numId w:val="159"/>
        </w:numPr>
        <w:spacing w:after="125" w:line="249" w:lineRule="auto"/>
        <w:ind w:right="-3"/>
        <w:jc w:val="left"/>
        <w:rPr>
          <w:rFonts w:ascii="Garamond" w:hAnsi="Garamond"/>
          <w:sz w:val="24"/>
          <w:szCs w:val="24"/>
        </w:rPr>
      </w:pPr>
      <w:r w:rsidRPr="00C848B5">
        <w:rPr>
          <w:rFonts w:ascii="Garamond" w:hAnsi="Garamond"/>
          <w:sz w:val="24"/>
          <w:szCs w:val="24"/>
        </w:rPr>
        <w:lastRenderedPageBreak/>
        <w:t>upoważnia OSD do zawarcia w jego imieniu i na jego rzecz — w przypadku wygaśnięcia lub zaprzestania wykonywania umowy kompleksowej przez dotychczasowego sprzedawcę — rezerwowej umowy kompleksowej ze wskazanym przez siebie sprzedawcą rezerwowym.</w:t>
      </w:r>
    </w:p>
    <w:p w14:paraId="7CD3DFBD" w14:textId="77777777" w:rsidR="00D92804" w:rsidRPr="00AE3F1B" w:rsidRDefault="00D92804" w:rsidP="006316A5">
      <w:pPr>
        <w:spacing w:after="94" w:line="249" w:lineRule="auto"/>
        <w:ind w:left="567" w:right="-3"/>
        <w:jc w:val="left"/>
        <w:rPr>
          <w:rFonts w:ascii="Garamond" w:hAnsi="Garamond"/>
          <w:sz w:val="24"/>
          <w:szCs w:val="24"/>
        </w:rPr>
      </w:pPr>
      <w:r w:rsidRPr="00AE3F1B">
        <w:rPr>
          <w:rFonts w:ascii="Garamond" w:hAnsi="Garamond"/>
          <w:sz w:val="24"/>
          <w:szCs w:val="24"/>
        </w:rPr>
        <w:t>Upoważnienie udzielone przez URD przy zawieraniu umowy kompleksowej ze sprzedawcą za pomocą środków bezpośredniego porozumiewania się na odległość, uważa się za równoważne w skutkach z upoważnieniem udzielonym w formie pisemnej.</w:t>
      </w:r>
    </w:p>
    <w:p w14:paraId="673B4C1F" w14:textId="77777777" w:rsidR="00D92804" w:rsidRPr="00AE3F1B" w:rsidRDefault="00D92804" w:rsidP="006316A5">
      <w:pPr>
        <w:spacing w:after="15" w:line="249" w:lineRule="auto"/>
        <w:ind w:left="567" w:right="-3"/>
        <w:jc w:val="left"/>
        <w:rPr>
          <w:rFonts w:ascii="Garamond" w:hAnsi="Garamond"/>
          <w:sz w:val="24"/>
          <w:szCs w:val="24"/>
        </w:rPr>
      </w:pPr>
      <w:r w:rsidRPr="00AE3F1B">
        <w:rPr>
          <w:rFonts w:ascii="Garamond" w:hAnsi="Garamond"/>
          <w:sz w:val="24"/>
          <w:szCs w:val="24"/>
        </w:rPr>
        <w:t>Mając na uwadze przepisy ustawy o prawach konsumenta, upoważnienie udzielone przez URD będącego konsumentem lub osobą fizyczną, o której mowa w art. 38a ustawy o prawach konsumenta tj. zawierającą rezerwową umowę kompleksową bezpośrednio związaną z jej działalnością gospodarczą, gdy ta umowa nie posiada dla tej osoby charakteru zawodowego, powinno zawierać dodatkowo:</w:t>
      </w:r>
    </w:p>
    <w:p w14:paraId="68E421D8" w14:textId="77777777" w:rsidR="00D92804" w:rsidRPr="00C848B5" w:rsidRDefault="00D92804">
      <w:pPr>
        <w:pStyle w:val="Akapitzlist"/>
        <w:numPr>
          <w:ilvl w:val="0"/>
          <w:numId w:val="160"/>
        </w:numPr>
        <w:spacing w:after="15" w:line="249" w:lineRule="auto"/>
        <w:ind w:right="-3"/>
        <w:jc w:val="left"/>
        <w:rPr>
          <w:rFonts w:ascii="Garamond" w:hAnsi="Garamond"/>
          <w:sz w:val="24"/>
          <w:szCs w:val="24"/>
        </w:rPr>
      </w:pPr>
      <w:r w:rsidRPr="00C848B5">
        <w:rPr>
          <w:rFonts w:ascii="Garamond" w:hAnsi="Garamond"/>
          <w:sz w:val="24"/>
          <w:szCs w:val="24"/>
        </w:rPr>
        <w:t>oświadczenie tego URD, że został poinformowany o prawie do odstąpienia od rezerwowej umowy kompleksowej w terminie 14 dni od dnia jej zawarcia,</w:t>
      </w:r>
    </w:p>
    <w:p w14:paraId="12F33A7B" w14:textId="77777777" w:rsidR="00D92804" w:rsidRPr="00C848B5" w:rsidRDefault="00D92804">
      <w:pPr>
        <w:pStyle w:val="Akapitzlist"/>
        <w:numPr>
          <w:ilvl w:val="0"/>
          <w:numId w:val="160"/>
        </w:numPr>
        <w:spacing w:after="109" w:line="249" w:lineRule="auto"/>
        <w:ind w:right="-3"/>
        <w:jc w:val="left"/>
        <w:rPr>
          <w:rFonts w:ascii="Garamond" w:hAnsi="Garamond"/>
          <w:sz w:val="24"/>
          <w:szCs w:val="24"/>
        </w:rPr>
      </w:pPr>
      <w:r w:rsidRPr="00C848B5">
        <w:rPr>
          <w:rFonts w:ascii="Garamond" w:hAnsi="Garamond"/>
          <w:sz w:val="24"/>
          <w:szCs w:val="24"/>
        </w:rPr>
        <w:t>upoważnienie dla OSD do żądania w imieniu tego URD, rozpoczęcia świadczenia rezerwowej usługi kompleksowej przed upływem 14-dniowego okresu odstąpienia od rezerwowej umowy kompleksowej zawartej na odległość lub poza lokalem przedsiębiorstwa, liczonego od dnia jej zawarcia.</w:t>
      </w:r>
    </w:p>
    <w:p w14:paraId="18174073" w14:textId="77777777" w:rsidR="00D92804" w:rsidRPr="00AE3F1B" w:rsidRDefault="00D92804" w:rsidP="006316A5">
      <w:pPr>
        <w:spacing w:after="15" w:line="249" w:lineRule="auto"/>
        <w:ind w:left="567" w:right="-3"/>
        <w:jc w:val="left"/>
        <w:rPr>
          <w:rFonts w:ascii="Garamond" w:hAnsi="Garamond"/>
          <w:sz w:val="24"/>
          <w:szCs w:val="24"/>
        </w:rPr>
      </w:pPr>
      <w:r w:rsidRPr="00AE3F1B">
        <w:rPr>
          <w:rFonts w:ascii="Garamond" w:hAnsi="Garamond"/>
          <w:sz w:val="24"/>
          <w:szCs w:val="24"/>
        </w:rPr>
        <w:t>Dokonując powiadomienia o zawarciu umowy kompleksowej sprzedawca wskazuje sprzedawcę rezerwowego, co jest równoznaczne ze złożeniem oświadczenia w przedmiocie dokonania przez URD wyboru sprzedawcy rezerwowego. Oświadczenie to jest równoznaczne z dysponowaniem przez sprzedawcę upoważnieniem udzielonym przez tego URD dla OSD spełniającym wymogi, o których mowa powyżej.</w:t>
      </w:r>
    </w:p>
    <w:p w14:paraId="4F10455B" w14:textId="77777777" w:rsidR="00D92804" w:rsidRPr="00AE3F1B" w:rsidRDefault="00D92804" w:rsidP="006316A5">
      <w:pPr>
        <w:spacing w:after="152" w:line="249" w:lineRule="auto"/>
        <w:ind w:left="567" w:right="-3"/>
        <w:jc w:val="left"/>
        <w:rPr>
          <w:rFonts w:ascii="Garamond" w:hAnsi="Garamond"/>
          <w:sz w:val="24"/>
          <w:szCs w:val="24"/>
        </w:rPr>
      </w:pPr>
      <w:r w:rsidRPr="00AE3F1B">
        <w:rPr>
          <w:rFonts w:ascii="Garamond" w:hAnsi="Garamond"/>
          <w:sz w:val="24"/>
          <w:szCs w:val="24"/>
        </w:rPr>
        <w:t>Sprzedawca, który nie dysponuje upoważnieniem, o którym mowa powyżej, nie może dokonać powiadomienia o zawarciu umowy kompleksowej. Sprzedawca na każde uzasadnione żądanie OSD, jest zobowiązany do przekazania OSD oświadczenia o zawarciu w treści umowy kompleksowej upoważnienia dla OSD do zawarcia — w imieniu i na rzecz URD — rezerwowej umowy kompleksowej ze wskazanym przez tego URD sprzedawcą rezerwowym, nie później niż w terminie 7 dni kalendarzowych od otrzymania żądania.</w:t>
      </w:r>
    </w:p>
    <w:p w14:paraId="3E419C22" w14:textId="77777777" w:rsidR="00D92804" w:rsidRPr="00AE3F1B" w:rsidRDefault="00D92804" w:rsidP="00175586">
      <w:pPr>
        <w:spacing w:after="181" w:line="249" w:lineRule="auto"/>
        <w:ind w:left="567" w:right="-3" w:hanging="567"/>
        <w:jc w:val="left"/>
        <w:rPr>
          <w:rFonts w:ascii="Garamond" w:hAnsi="Garamond"/>
          <w:sz w:val="24"/>
          <w:szCs w:val="24"/>
        </w:rPr>
      </w:pPr>
      <w:r w:rsidRPr="00AE3F1B">
        <w:rPr>
          <w:rFonts w:ascii="Garamond" w:hAnsi="Garamond"/>
          <w:sz w:val="24"/>
          <w:szCs w:val="24"/>
        </w:rPr>
        <w:t>A.2.8. Umowa, o której mowa w pkt. A.2.7. jest rozwiązywana automatycznie ze skutkiem natychmiastowym w przypadku utraty przez sprzedawcę POB świadczącego na jego rzecz usługę bilansowania handlowego na rynku bilansującym. Od momentu rozwiązania ww. umowy, sprzedaż energii elektrycznej do URD typu odbiorca jest realizowana przez sprzedawcę rezerwowego, wskazanego przez tego URD.</w:t>
      </w:r>
    </w:p>
    <w:p w14:paraId="760FA9A7" w14:textId="32754699" w:rsidR="00D92804" w:rsidRPr="00AE3F1B" w:rsidRDefault="00D92804" w:rsidP="00175586">
      <w:pPr>
        <w:spacing w:after="143" w:line="249" w:lineRule="auto"/>
        <w:ind w:left="567" w:right="-3" w:hanging="567"/>
        <w:jc w:val="left"/>
        <w:rPr>
          <w:rFonts w:ascii="Garamond" w:hAnsi="Garamond"/>
          <w:sz w:val="24"/>
          <w:szCs w:val="24"/>
        </w:rPr>
      </w:pPr>
      <w:r w:rsidRPr="00AE3F1B">
        <w:rPr>
          <w:rFonts w:ascii="Garamond" w:hAnsi="Garamond"/>
          <w:sz w:val="24"/>
          <w:szCs w:val="24"/>
        </w:rPr>
        <w:t>A.2.9.</w:t>
      </w:r>
      <w:r w:rsidR="00C848B5">
        <w:rPr>
          <w:rFonts w:ascii="Garamond" w:hAnsi="Garamond"/>
          <w:sz w:val="24"/>
          <w:szCs w:val="24"/>
        </w:rPr>
        <w:t xml:space="preserve"> </w:t>
      </w:r>
      <w:r w:rsidRPr="00AE3F1B">
        <w:rPr>
          <w:rFonts w:ascii="Garamond" w:hAnsi="Garamond"/>
          <w:sz w:val="24"/>
          <w:szCs w:val="24"/>
        </w:rPr>
        <w:t xml:space="preserve">Warunki i zakres współpracy OSD z OOSŁ, w tym w zakresie przekazywania danych na potrzeby rozliczeń na RB, określa umowa zawarta pomiędzy OSD a OOSŁ, o której mowa </w:t>
      </w:r>
      <w:r w:rsidR="00C848B5">
        <w:rPr>
          <w:rFonts w:ascii="Garamond" w:hAnsi="Garamond"/>
          <w:sz w:val="24"/>
          <w:szCs w:val="24"/>
        </w:rPr>
        <w:t xml:space="preserve">       </w:t>
      </w:r>
      <w:r w:rsidRPr="00AE3F1B">
        <w:rPr>
          <w:rFonts w:ascii="Garamond" w:hAnsi="Garamond"/>
          <w:sz w:val="24"/>
          <w:szCs w:val="24"/>
        </w:rPr>
        <w:t>w pkt A.2.2.</w:t>
      </w:r>
    </w:p>
    <w:p w14:paraId="51EC5BAF" w14:textId="77777777" w:rsidR="00D92804" w:rsidRPr="00D90517" w:rsidRDefault="00D92804">
      <w:pPr>
        <w:numPr>
          <w:ilvl w:val="1"/>
          <w:numId w:val="44"/>
        </w:numPr>
        <w:spacing w:after="174" w:line="248" w:lineRule="auto"/>
        <w:ind w:left="567" w:right="-3" w:hanging="567"/>
        <w:jc w:val="left"/>
        <w:rPr>
          <w:rFonts w:asciiTheme="majorHAnsi" w:hAnsiTheme="majorHAnsi"/>
          <w:sz w:val="24"/>
          <w:szCs w:val="24"/>
        </w:rPr>
      </w:pPr>
      <w:r w:rsidRPr="00D90517">
        <w:rPr>
          <w:rFonts w:asciiTheme="majorHAnsi" w:hAnsiTheme="majorHAnsi"/>
          <w:sz w:val="24"/>
          <w:szCs w:val="24"/>
        </w:rPr>
        <w:t>Zasady konfiguracji podmiotowej i obiektowej rynku detalicznego oraz nadawania kodów identyfikacyjnych</w:t>
      </w:r>
    </w:p>
    <w:p w14:paraId="1E21D838" w14:textId="77777777" w:rsidR="00C848B5" w:rsidRDefault="004E7C91" w:rsidP="00175586">
      <w:pPr>
        <w:spacing w:after="160" w:line="249" w:lineRule="auto"/>
        <w:ind w:left="567" w:right="-3" w:hanging="567"/>
        <w:jc w:val="left"/>
        <w:rPr>
          <w:rFonts w:ascii="Garamond" w:hAnsi="Garamond"/>
          <w:sz w:val="24"/>
          <w:szCs w:val="24"/>
        </w:rPr>
      </w:pPr>
      <w:r w:rsidRPr="00AE3F1B">
        <w:rPr>
          <w:rFonts w:ascii="Garamond" w:hAnsi="Garamond"/>
          <w:sz w:val="24"/>
          <w:szCs w:val="24"/>
        </w:rPr>
        <w:t xml:space="preserve">A.3.1. W ramach obowiązków związanych z administrowaniem rynkiem detalicznym </w:t>
      </w:r>
      <w:r w:rsidR="00C848B5" w:rsidRPr="00AE3F1B">
        <w:rPr>
          <w:rFonts w:ascii="Garamond" w:hAnsi="Garamond"/>
          <w:sz w:val="24"/>
          <w:szCs w:val="24"/>
        </w:rPr>
        <w:t>ID Sp.</w:t>
      </w:r>
      <w:r w:rsidRPr="00AE3F1B">
        <w:rPr>
          <w:rFonts w:ascii="Garamond" w:hAnsi="Garamond"/>
          <w:sz w:val="24"/>
          <w:szCs w:val="24"/>
        </w:rPr>
        <w:t xml:space="preserve"> z o.o.   </w:t>
      </w:r>
      <w:r w:rsidR="006A6C01" w:rsidRPr="00AE3F1B">
        <w:rPr>
          <w:rFonts w:ascii="Garamond" w:hAnsi="Garamond"/>
          <w:sz w:val="24"/>
          <w:szCs w:val="24"/>
        </w:rPr>
        <w:br/>
      </w:r>
      <w:r w:rsidRPr="00AE3F1B">
        <w:rPr>
          <w:rFonts w:ascii="Garamond" w:hAnsi="Garamond"/>
          <w:sz w:val="24"/>
          <w:szCs w:val="24"/>
        </w:rPr>
        <w:t>realizuje następujące zadania:</w:t>
      </w:r>
    </w:p>
    <w:p w14:paraId="738637B1" w14:textId="726D97D1" w:rsidR="004E7C91" w:rsidRPr="00C848B5" w:rsidRDefault="004E7C91">
      <w:pPr>
        <w:pStyle w:val="Akapitzlist"/>
        <w:numPr>
          <w:ilvl w:val="0"/>
          <w:numId w:val="161"/>
        </w:numPr>
        <w:spacing w:after="160" w:line="249" w:lineRule="auto"/>
        <w:ind w:right="-3"/>
        <w:jc w:val="left"/>
        <w:rPr>
          <w:rFonts w:ascii="Garamond" w:hAnsi="Garamond"/>
          <w:sz w:val="24"/>
          <w:szCs w:val="24"/>
        </w:rPr>
      </w:pPr>
      <w:r w:rsidRPr="00C848B5">
        <w:rPr>
          <w:rFonts w:ascii="Garamond" w:hAnsi="Garamond"/>
          <w:sz w:val="24"/>
          <w:szCs w:val="24"/>
        </w:rPr>
        <w:t>przyporządkowuje do POB określone MB służące do reprezentowania na rynku</w:t>
      </w:r>
      <w:r w:rsidR="00C848B5" w:rsidRPr="00C848B5">
        <w:rPr>
          <w:rFonts w:ascii="Garamond" w:hAnsi="Garamond"/>
          <w:sz w:val="24"/>
          <w:szCs w:val="24"/>
        </w:rPr>
        <w:t xml:space="preserve"> </w:t>
      </w:r>
      <w:r w:rsidRPr="00C848B5">
        <w:rPr>
          <w:rFonts w:ascii="Garamond" w:hAnsi="Garamond"/>
          <w:sz w:val="24"/>
          <w:szCs w:val="24"/>
        </w:rPr>
        <w:t>bilansującym ilości</w:t>
      </w:r>
      <w:r w:rsidR="00C848B5" w:rsidRPr="00C848B5">
        <w:rPr>
          <w:rFonts w:ascii="Garamond" w:hAnsi="Garamond"/>
          <w:sz w:val="24"/>
          <w:szCs w:val="24"/>
        </w:rPr>
        <w:t xml:space="preserve"> </w:t>
      </w:r>
      <w:r w:rsidRPr="00C848B5">
        <w:rPr>
          <w:rFonts w:ascii="Garamond" w:hAnsi="Garamond"/>
          <w:sz w:val="24"/>
          <w:szCs w:val="24"/>
        </w:rPr>
        <w:t>dostarczanej energii elektrycznej na podstawie danych konfiguracyjnych przekazanych przez PGE Dystrybucja S.A. oraz umów przesyłowych i dystrybucji,</w:t>
      </w:r>
    </w:p>
    <w:p w14:paraId="7F136973" w14:textId="293E5BB1" w:rsidR="004E7C91" w:rsidRPr="00C848B5" w:rsidRDefault="004E7C91">
      <w:pPr>
        <w:pStyle w:val="Akapitzlist"/>
        <w:numPr>
          <w:ilvl w:val="0"/>
          <w:numId w:val="161"/>
        </w:numPr>
        <w:spacing w:after="137" w:line="249" w:lineRule="auto"/>
        <w:ind w:right="-3"/>
        <w:jc w:val="left"/>
        <w:rPr>
          <w:rFonts w:ascii="Garamond" w:hAnsi="Garamond"/>
          <w:sz w:val="24"/>
          <w:szCs w:val="24"/>
        </w:rPr>
      </w:pPr>
      <w:r w:rsidRPr="00C848B5">
        <w:rPr>
          <w:rFonts w:ascii="Garamond" w:hAnsi="Garamond"/>
          <w:sz w:val="24"/>
          <w:szCs w:val="24"/>
        </w:rPr>
        <w:lastRenderedPageBreak/>
        <w:t xml:space="preserve">przyporządkowuje sprzedawców, </w:t>
      </w:r>
      <w:proofErr w:type="spellStart"/>
      <w:r w:rsidRPr="00C848B5">
        <w:rPr>
          <w:rFonts w:ascii="Garamond" w:hAnsi="Garamond"/>
          <w:sz w:val="24"/>
          <w:szCs w:val="24"/>
        </w:rPr>
        <w:t>URDw</w:t>
      </w:r>
      <w:proofErr w:type="spellEnd"/>
      <w:r w:rsidRPr="00C848B5">
        <w:rPr>
          <w:rFonts w:ascii="Garamond" w:hAnsi="Garamond"/>
          <w:sz w:val="24"/>
          <w:szCs w:val="24"/>
        </w:rPr>
        <w:t xml:space="preserve"> oraz URDME do poszczególnych MB, przydzielonych POB, jako podmiotowi prowadzącemu bilansowanie handlowe na RB, na podstawie GUD, GUD-k oraz umów dystrybucji,</w:t>
      </w:r>
    </w:p>
    <w:p w14:paraId="26C14D33" w14:textId="77777777" w:rsidR="004E7C91" w:rsidRPr="00C848B5" w:rsidRDefault="004E7C91">
      <w:pPr>
        <w:pStyle w:val="Akapitzlist"/>
        <w:numPr>
          <w:ilvl w:val="0"/>
          <w:numId w:val="161"/>
        </w:numPr>
        <w:spacing w:after="148" w:line="249" w:lineRule="auto"/>
        <w:ind w:right="-3"/>
        <w:jc w:val="left"/>
        <w:rPr>
          <w:rFonts w:ascii="Garamond" w:hAnsi="Garamond"/>
          <w:sz w:val="24"/>
          <w:szCs w:val="24"/>
        </w:rPr>
      </w:pPr>
      <w:r w:rsidRPr="00C848B5">
        <w:rPr>
          <w:rFonts w:ascii="Garamond" w:hAnsi="Garamond"/>
          <w:sz w:val="24"/>
          <w:szCs w:val="24"/>
        </w:rPr>
        <w:t>przyporządkowuje URD do poszczególnych MDD przydzielonych sprzedawcom realizującym umowy sprzedaży energii w sieci dystrybucyjnej na podstawie generalnych umów dystrybucji,</w:t>
      </w:r>
    </w:p>
    <w:p w14:paraId="60BB7112" w14:textId="77777777" w:rsidR="004E7C91" w:rsidRPr="00C848B5" w:rsidRDefault="004E7C91">
      <w:pPr>
        <w:pStyle w:val="Akapitzlist"/>
        <w:numPr>
          <w:ilvl w:val="0"/>
          <w:numId w:val="161"/>
        </w:numPr>
        <w:spacing w:after="113" w:line="249" w:lineRule="auto"/>
        <w:ind w:right="-3"/>
        <w:jc w:val="left"/>
        <w:rPr>
          <w:rFonts w:ascii="Garamond" w:hAnsi="Garamond"/>
          <w:sz w:val="24"/>
          <w:szCs w:val="24"/>
        </w:rPr>
      </w:pPr>
      <w:r w:rsidRPr="00C848B5">
        <w:rPr>
          <w:rFonts w:ascii="Garamond" w:hAnsi="Garamond"/>
          <w:sz w:val="24"/>
          <w:szCs w:val="24"/>
        </w:rPr>
        <w:t xml:space="preserve">realizuje procedurę zmiany POB przez sprzedawcę, </w:t>
      </w:r>
      <w:proofErr w:type="spellStart"/>
      <w:r w:rsidRPr="00C848B5">
        <w:rPr>
          <w:rFonts w:ascii="Garamond" w:hAnsi="Garamond"/>
          <w:sz w:val="24"/>
          <w:szCs w:val="24"/>
        </w:rPr>
        <w:t>URDw</w:t>
      </w:r>
      <w:proofErr w:type="spellEnd"/>
      <w:r w:rsidRPr="00C848B5">
        <w:rPr>
          <w:rFonts w:ascii="Garamond" w:hAnsi="Garamond"/>
          <w:sz w:val="24"/>
          <w:szCs w:val="24"/>
        </w:rPr>
        <w:t xml:space="preserve"> lub URDME.</w:t>
      </w:r>
    </w:p>
    <w:p w14:paraId="11EDADB0" w14:textId="77777777" w:rsidR="004E7C91" w:rsidRPr="00C848B5" w:rsidRDefault="004E7C91">
      <w:pPr>
        <w:pStyle w:val="Akapitzlist"/>
        <w:numPr>
          <w:ilvl w:val="0"/>
          <w:numId w:val="161"/>
        </w:numPr>
        <w:spacing w:after="162" w:line="249" w:lineRule="auto"/>
        <w:ind w:right="-3"/>
        <w:jc w:val="left"/>
        <w:rPr>
          <w:rFonts w:ascii="Garamond" w:hAnsi="Garamond"/>
          <w:sz w:val="24"/>
          <w:szCs w:val="24"/>
        </w:rPr>
      </w:pPr>
      <w:r w:rsidRPr="00C848B5">
        <w:rPr>
          <w:rFonts w:ascii="Garamond" w:hAnsi="Garamond"/>
          <w:sz w:val="24"/>
          <w:szCs w:val="24"/>
        </w:rPr>
        <w:t>realizuje reklamacje zgodnie z punktem E.</w:t>
      </w:r>
    </w:p>
    <w:p w14:paraId="662CECDC" w14:textId="20A75115" w:rsidR="004E7C91" w:rsidRPr="00AE3F1B" w:rsidRDefault="006A6C01" w:rsidP="00175586">
      <w:pPr>
        <w:spacing w:after="191" w:line="249" w:lineRule="auto"/>
        <w:ind w:left="567" w:right="-3" w:hanging="567"/>
        <w:jc w:val="left"/>
        <w:rPr>
          <w:rFonts w:ascii="Garamond" w:hAnsi="Garamond"/>
          <w:sz w:val="24"/>
          <w:szCs w:val="24"/>
        </w:rPr>
      </w:pPr>
      <w:r w:rsidRPr="00AE3F1B">
        <w:rPr>
          <w:rFonts w:ascii="Garamond" w:hAnsi="Garamond"/>
          <w:sz w:val="24"/>
          <w:szCs w:val="24"/>
        </w:rPr>
        <w:t>A.</w:t>
      </w:r>
      <w:r w:rsidR="004E7C91" w:rsidRPr="00AE3F1B">
        <w:rPr>
          <w:rFonts w:ascii="Garamond" w:hAnsi="Garamond"/>
          <w:sz w:val="24"/>
          <w:szCs w:val="24"/>
        </w:rPr>
        <w:t xml:space="preserve">3.2. </w:t>
      </w:r>
      <w:r w:rsidR="00C848B5" w:rsidRPr="00AE3F1B">
        <w:rPr>
          <w:rFonts w:ascii="Garamond" w:hAnsi="Garamond"/>
          <w:sz w:val="24"/>
          <w:szCs w:val="24"/>
        </w:rPr>
        <w:t>ID Sp.</w:t>
      </w:r>
      <w:r w:rsidR="004E7C91" w:rsidRPr="00AE3F1B">
        <w:rPr>
          <w:rFonts w:ascii="Garamond" w:hAnsi="Garamond"/>
          <w:sz w:val="24"/>
          <w:szCs w:val="24"/>
        </w:rPr>
        <w:t xml:space="preserve"> z o.o. nadaje kody identyfikacyjne podmiotom, których urządzenia są przyłączone do jego sieci dystrybucyjnej i nie są objęte obszarem rynku bilansującego. Zasady nadawania kodów PPE:</w:t>
      </w:r>
    </w:p>
    <w:p w14:paraId="6487AF67" w14:textId="77777777" w:rsidR="004E7C91" w:rsidRPr="00C848B5" w:rsidRDefault="004E7C91">
      <w:pPr>
        <w:pStyle w:val="Akapitzlist"/>
        <w:numPr>
          <w:ilvl w:val="0"/>
          <w:numId w:val="162"/>
        </w:numPr>
        <w:spacing w:after="46" w:line="249" w:lineRule="auto"/>
        <w:ind w:right="-3"/>
        <w:jc w:val="left"/>
        <w:rPr>
          <w:rFonts w:ascii="Garamond" w:hAnsi="Garamond"/>
          <w:sz w:val="24"/>
          <w:szCs w:val="24"/>
        </w:rPr>
      </w:pPr>
      <w:r w:rsidRPr="00C848B5">
        <w:rPr>
          <w:rFonts w:ascii="Garamond" w:hAnsi="Garamond"/>
          <w:sz w:val="24"/>
          <w:szCs w:val="24"/>
        </w:rPr>
        <w:t>wszystkie punkty poboru energii otrzymują kod PPE,</w:t>
      </w:r>
    </w:p>
    <w:p w14:paraId="4460E972" w14:textId="06E0F3E5" w:rsidR="004E7C91" w:rsidRPr="00C848B5" w:rsidRDefault="004E7C91">
      <w:pPr>
        <w:pStyle w:val="Akapitzlist"/>
        <w:numPr>
          <w:ilvl w:val="0"/>
          <w:numId w:val="162"/>
        </w:numPr>
        <w:spacing w:after="57" w:line="249" w:lineRule="auto"/>
        <w:ind w:right="-3"/>
        <w:jc w:val="left"/>
        <w:rPr>
          <w:rFonts w:ascii="Garamond" w:hAnsi="Garamond"/>
          <w:sz w:val="24"/>
          <w:szCs w:val="24"/>
        </w:rPr>
      </w:pPr>
      <w:r w:rsidRPr="00C848B5">
        <w:rPr>
          <w:rFonts w:ascii="Garamond" w:hAnsi="Garamond"/>
          <w:sz w:val="24"/>
          <w:szCs w:val="24"/>
        </w:rPr>
        <w:t xml:space="preserve">kod PPE jest nadawany przez OSD po zgłoszeniu gotowości przyłącza/instalacji do przyłączenia do sieci OSD, a przed zawarciem przez URD </w:t>
      </w:r>
      <w:r w:rsidR="00C848B5" w:rsidRPr="00C848B5">
        <w:rPr>
          <w:rFonts w:ascii="Garamond" w:hAnsi="Garamond"/>
          <w:sz w:val="24"/>
          <w:szCs w:val="24"/>
        </w:rPr>
        <w:t>umowy,</w:t>
      </w:r>
      <w:r w:rsidRPr="00C848B5">
        <w:rPr>
          <w:rFonts w:ascii="Garamond" w:hAnsi="Garamond"/>
          <w:sz w:val="24"/>
          <w:szCs w:val="24"/>
        </w:rPr>
        <w:t xml:space="preserve"> na postawie której ma być dostarczana energia elektryczna do PPE,</w:t>
      </w:r>
    </w:p>
    <w:p w14:paraId="54E88AE3" w14:textId="77777777" w:rsidR="004E7C91" w:rsidRPr="00C848B5" w:rsidRDefault="004E7C91">
      <w:pPr>
        <w:pStyle w:val="Akapitzlist"/>
        <w:numPr>
          <w:ilvl w:val="0"/>
          <w:numId w:val="162"/>
        </w:numPr>
        <w:spacing w:after="63" w:line="249" w:lineRule="auto"/>
        <w:ind w:right="-3"/>
        <w:jc w:val="left"/>
        <w:rPr>
          <w:rFonts w:ascii="Garamond" w:hAnsi="Garamond"/>
          <w:sz w:val="24"/>
          <w:szCs w:val="24"/>
        </w:rPr>
      </w:pPr>
      <w:r w:rsidRPr="00C848B5">
        <w:rPr>
          <w:rFonts w:ascii="Garamond" w:hAnsi="Garamond"/>
          <w:sz w:val="24"/>
          <w:szCs w:val="24"/>
        </w:rPr>
        <w:t>kod PPE nadany zostaje dla każdego punktu na obszarze działania OSD, w którym następuje:</w:t>
      </w:r>
    </w:p>
    <w:p w14:paraId="78250373" w14:textId="2BE61194" w:rsidR="004E7C91" w:rsidRPr="00C848B5" w:rsidRDefault="004E7C91">
      <w:pPr>
        <w:pStyle w:val="Akapitzlist"/>
        <w:numPr>
          <w:ilvl w:val="0"/>
          <w:numId w:val="163"/>
        </w:numPr>
        <w:spacing w:after="15" w:line="249" w:lineRule="auto"/>
        <w:ind w:right="-3"/>
        <w:jc w:val="left"/>
        <w:rPr>
          <w:rFonts w:ascii="Garamond" w:hAnsi="Garamond"/>
          <w:sz w:val="24"/>
          <w:szCs w:val="24"/>
        </w:rPr>
      </w:pPr>
      <w:r w:rsidRPr="00C848B5">
        <w:rPr>
          <w:rFonts w:ascii="Garamond" w:hAnsi="Garamond"/>
          <w:sz w:val="24"/>
          <w:szCs w:val="24"/>
        </w:rPr>
        <w:t xml:space="preserve">„pobieranie”, „wprowadzanie” lub „pobieranie i wprowadzanie” produktu energetycznego (energii, usług dystrybucyjnych, mocy, itp.) do lub z sieci OSD przez URDO, </w:t>
      </w:r>
      <w:proofErr w:type="spellStart"/>
      <w:r w:rsidRPr="00C848B5">
        <w:rPr>
          <w:rFonts w:ascii="Garamond" w:hAnsi="Garamond"/>
          <w:sz w:val="24"/>
          <w:szCs w:val="24"/>
        </w:rPr>
        <w:t>URDw</w:t>
      </w:r>
      <w:proofErr w:type="spellEnd"/>
      <w:r w:rsidRPr="00C848B5">
        <w:rPr>
          <w:rFonts w:ascii="Garamond" w:hAnsi="Garamond"/>
          <w:sz w:val="24"/>
          <w:szCs w:val="24"/>
        </w:rPr>
        <w:t xml:space="preserve"> lub URDME oraz</w:t>
      </w:r>
    </w:p>
    <w:p w14:paraId="3F023C94" w14:textId="4BBB898E" w:rsidR="004E7C91" w:rsidRPr="00C848B5" w:rsidRDefault="004E7C91">
      <w:pPr>
        <w:pStyle w:val="Akapitzlist"/>
        <w:numPr>
          <w:ilvl w:val="0"/>
          <w:numId w:val="163"/>
        </w:numPr>
        <w:spacing w:after="62" w:line="249" w:lineRule="auto"/>
        <w:ind w:right="-3"/>
        <w:jc w:val="left"/>
        <w:rPr>
          <w:rFonts w:ascii="Garamond" w:hAnsi="Garamond"/>
          <w:sz w:val="24"/>
          <w:szCs w:val="24"/>
        </w:rPr>
      </w:pPr>
      <w:r w:rsidRPr="00C848B5">
        <w:rPr>
          <w:rFonts w:ascii="Garamond" w:hAnsi="Garamond"/>
          <w:sz w:val="24"/>
          <w:szCs w:val="24"/>
        </w:rPr>
        <w:t>pomiar tej wielkości przez układ pomiarowo-rozliczeniowy lub jej wyznaczanie na potrzeby rozliczeń,</w:t>
      </w:r>
    </w:p>
    <w:p w14:paraId="53DABF86" w14:textId="7E21DE2B" w:rsidR="004E7C91" w:rsidRPr="00C848B5" w:rsidRDefault="004E7C91">
      <w:pPr>
        <w:pStyle w:val="Akapitzlist"/>
        <w:numPr>
          <w:ilvl w:val="0"/>
          <w:numId w:val="162"/>
        </w:numPr>
        <w:spacing w:after="114" w:line="249" w:lineRule="auto"/>
        <w:ind w:right="-3"/>
        <w:jc w:val="left"/>
        <w:rPr>
          <w:rFonts w:ascii="Garamond" w:hAnsi="Garamond"/>
          <w:sz w:val="24"/>
          <w:szCs w:val="24"/>
        </w:rPr>
      </w:pPr>
      <w:r w:rsidRPr="00C848B5">
        <w:rPr>
          <w:rFonts w:ascii="Garamond" w:hAnsi="Garamond"/>
          <w:sz w:val="24"/>
          <w:szCs w:val="24"/>
        </w:rPr>
        <w:t xml:space="preserve">dla punktów w sieci lub instalacji wewnętrznej URD </w:t>
      </w:r>
      <w:r w:rsidR="00C848B5" w:rsidRPr="00C848B5">
        <w:rPr>
          <w:rFonts w:ascii="Garamond" w:hAnsi="Garamond"/>
          <w:sz w:val="24"/>
          <w:szCs w:val="24"/>
        </w:rPr>
        <w:t>ID nie</w:t>
      </w:r>
      <w:r w:rsidRPr="00C848B5">
        <w:rPr>
          <w:rFonts w:ascii="Garamond" w:hAnsi="Garamond"/>
          <w:sz w:val="24"/>
          <w:szCs w:val="24"/>
        </w:rPr>
        <w:t xml:space="preserve"> nadaje odrębnego kodu PPE, dla tych punktów mogą być nadane kody FPP, które są podrzędne do kodów PPE,</w:t>
      </w:r>
    </w:p>
    <w:p w14:paraId="09F255A5" w14:textId="77777777" w:rsidR="004E7C91" w:rsidRPr="00C848B5" w:rsidRDefault="004E7C91">
      <w:pPr>
        <w:pStyle w:val="Akapitzlist"/>
        <w:numPr>
          <w:ilvl w:val="0"/>
          <w:numId w:val="162"/>
        </w:numPr>
        <w:spacing w:after="15" w:line="249" w:lineRule="auto"/>
        <w:ind w:right="-3"/>
        <w:jc w:val="left"/>
        <w:rPr>
          <w:rFonts w:ascii="Garamond" w:hAnsi="Garamond"/>
          <w:sz w:val="24"/>
          <w:szCs w:val="24"/>
        </w:rPr>
      </w:pPr>
      <w:r w:rsidRPr="00C848B5">
        <w:rPr>
          <w:rFonts w:ascii="Garamond" w:hAnsi="Garamond"/>
          <w:sz w:val="24"/>
          <w:szCs w:val="24"/>
        </w:rPr>
        <w:t>likwidacja kodu PPE następuje tylko w przypadku fizycznej likwidacji przyłącza lub przyłączonego obiektu. Likwidacja kodu PPE oznacza zmianę fizycznego statusu PPE na „odłączony”, a tym samym nie ma powtórnego nadawania tych samych kodów PPE,</w:t>
      </w:r>
    </w:p>
    <w:p w14:paraId="30CC45E0" w14:textId="77777777" w:rsidR="004E7C91" w:rsidRPr="00C848B5" w:rsidRDefault="004E7C91">
      <w:pPr>
        <w:pStyle w:val="Akapitzlist"/>
        <w:numPr>
          <w:ilvl w:val="0"/>
          <w:numId w:val="162"/>
        </w:numPr>
        <w:spacing w:after="15" w:line="249" w:lineRule="auto"/>
        <w:ind w:right="-3"/>
        <w:jc w:val="left"/>
        <w:rPr>
          <w:rFonts w:ascii="Garamond" w:hAnsi="Garamond"/>
          <w:sz w:val="24"/>
          <w:szCs w:val="24"/>
        </w:rPr>
      </w:pPr>
      <w:r w:rsidRPr="00C848B5">
        <w:rPr>
          <w:rFonts w:ascii="Garamond" w:hAnsi="Garamond"/>
          <w:sz w:val="24"/>
          <w:szCs w:val="24"/>
        </w:rPr>
        <w:t>zmiany własnościowe obiektu, zmiana adresu (np. nazwy ulicy), nadanie adresu dla punktu identyfikowanego np. nr działki, zmiana parametrów technicznych PPE (np. zmiana mocy przyłączeniowej), itp. nie powodują zmiany kodu PPE,</w:t>
      </w:r>
    </w:p>
    <w:p w14:paraId="27A17F4A" w14:textId="77777777" w:rsidR="004E7C91" w:rsidRPr="00C848B5" w:rsidRDefault="004E7C91">
      <w:pPr>
        <w:pStyle w:val="Akapitzlist"/>
        <w:numPr>
          <w:ilvl w:val="0"/>
          <w:numId w:val="162"/>
        </w:numPr>
        <w:spacing w:after="15" w:line="249" w:lineRule="auto"/>
        <w:ind w:right="-3"/>
        <w:jc w:val="left"/>
        <w:rPr>
          <w:rFonts w:ascii="Garamond" w:hAnsi="Garamond"/>
          <w:sz w:val="24"/>
          <w:szCs w:val="24"/>
        </w:rPr>
      </w:pPr>
      <w:r w:rsidRPr="00C848B5">
        <w:rPr>
          <w:rFonts w:ascii="Garamond" w:hAnsi="Garamond"/>
          <w:sz w:val="24"/>
          <w:szCs w:val="24"/>
        </w:rPr>
        <w:t>zmiana typu umowy sieciowej (umowa kompleksowa, umowa o świadczenie usług dystrybucji) lub jej przeniesienie do innego systemu informatycznego nie powodują zmiany kodu PPE,</w:t>
      </w:r>
    </w:p>
    <w:p w14:paraId="799CF659" w14:textId="1E8D5083" w:rsidR="004E7C91" w:rsidRDefault="004E7C91">
      <w:pPr>
        <w:pStyle w:val="Akapitzlist"/>
        <w:numPr>
          <w:ilvl w:val="0"/>
          <w:numId w:val="162"/>
        </w:numPr>
        <w:spacing w:after="200" w:line="249" w:lineRule="auto"/>
        <w:ind w:right="-3"/>
        <w:jc w:val="left"/>
        <w:rPr>
          <w:rFonts w:ascii="Garamond" w:hAnsi="Garamond"/>
          <w:sz w:val="24"/>
          <w:szCs w:val="24"/>
        </w:rPr>
      </w:pPr>
      <w:r w:rsidRPr="00C848B5">
        <w:rPr>
          <w:rFonts w:ascii="Garamond" w:hAnsi="Garamond"/>
          <w:sz w:val="24"/>
          <w:szCs w:val="24"/>
        </w:rPr>
        <w:t>dla punktu w sieci, w którym występuje pobieranie i wprowadzanie, nadaje się jeden kod PPE.</w:t>
      </w:r>
    </w:p>
    <w:p w14:paraId="1E1F263C" w14:textId="77777777" w:rsidR="00C848B5" w:rsidRDefault="00C848B5" w:rsidP="00C848B5">
      <w:pPr>
        <w:spacing w:after="200" w:line="249" w:lineRule="auto"/>
        <w:ind w:right="-3"/>
        <w:jc w:val="left"/>
        <w:rPr>
          <w:rFonts w:ascii="Garamond" w:hAnsi="Garamond"/>
          <w:sz w:val="24"/>
          <w:szCs w:val="24"/>
        </w:rPr>
      </w:pPr>
    </w:p>
    <w:p w14:paraId="5457ECF7" w14:textId="77777777" w:rsidR="00C848B5" w:rsidRPr="00C848B5" w:rsidRDefault="00C848B5" w:rsidP="00C848B5">
      <w:pPr>
        <w:spacing w:after="200" w:line="249" w:lineRule="auto"/>
        <w:ind w:right="-3"/>
        <w:jc w:val="left"/>
        <w:rPr>
          <w:rFonts w:ascii="Garamond" w:hAnsi="Garamond"/>
          <w:sz w:val="24"/>
          <w:szCs w:val="24"/>
        </w:rPr>
      </w:pPr>
    </w:p>
    <w:p w14:paraId="15A3A494" w14:textId="3A8DBA1F" w:rsidR="004E7C91" w:rsidRPr="00AE3F1B" w:rsidRDefault="004E7C91" w:rsidP="00175586">
      <w:pPr>
        <w:spacing w:after="15" w:line="249" w:lineRule="auto"/>
        <w:ind w:left="567" w:right="-3" w:hanging="567"/>
        <w:jc w:val="left"/>
        <w:rPr>
          <w:rFonts w:ascii="Garamond" w:hAnsi="Garamond"/>
          <w:sz w:val="24"/>
          <w:szCs w:val="24"/>
        </w:rPr>
      </w:pPr>
      <w:r w:rsidRPr="00AE3F1B">
        <w:rPr>
          <w:rFonts w:ascii="Garamond" w:hAnsi="Garamond"/>
          <w:sz w:val="24"/>
          <w:szCs w:val="24"/>
        </w:rPr>
        <w:t xml:space="preserve">A.3.3. </w:t>
      </w:r>
      <w:r w:rsidR="00C848B5" w:rsidRPr="00AE3F1B">
        <w:rPr>
          <w:rFonts w:ascii="Garamond" w:hAnsi="Garamond"/>
          <w:sz w:val="24"/>
          <w:szCs w:val="24"/>
        </w:rPr>
        <w:t>ID Sp.</w:t>
      </w:r>
      <w:r w:rsidRPr="00AE3F1B">
        <w:rPr>
          <w:rFonts w:ascii="Garamond" w:hAnsi="Garamond"/>
          <w:sz w:val="24"/>
          <w:szCs w:val="24"/>
        </w:rPr>
        <w:t xml:space="preserve"> z o.o. nadaje kody identyfikacyjne Sprzedawcom realizującym umowy sprzedaży energii w sieci </w:t>
      </w:r>
      <w:r w:rsidR="00C848B5" w:rsidRPr="00AE3F1B">
        <w:rPr>
          <w:rFonts w:ascii="Garamond" w:hAnsi="Garamond"/>
          <w:sz w:val="24"/>
          <w:szCs w:val="24"/>
        </w:rPr>
        <w:t>ID Sp.</w:t>
      </w:r>
      <w:r w:rsidRPr="00AE3F1B">
        <w:rPr>
          <w:rFonts w:ascii="Garamond" w:hAnsi="Garamond"/>
          <w:sz w:val="24"/>
          <w:szCs w:val="24"/>
        </w:rPr>
        <w:t xml:space="preserve"> z o.o. oraz URD przyłączonym do sieci dystrybucyjnej zarządzanej przez </w:t>
      </w:r>
      <w:r w:rsidR="00276C20">
        <w:rPr>
          <w:rFonts w:ascii="Garamond" w:hAnsi="Garamond"/>
          <w:sz w:val="24"/>
          <w:szCs w:val="24"/>
        </w:rPr>
        <w:br/>
      </w:r>
      <w:r w:rsidR="00C848B5" w:rsidRPr="00AE3F1B">
        <w:rPr>
          <w:rFonts w:ascii="Garamond" w:hAnsi="Garamond"/>
          <w:sz w:val="24"/>
          <w:szCs w:val="24"/>
        </w:rPr>
        <w:t>ID Sp.</w:t>
      </w:r>
      <w:r w:rsidRPr="00AE3F1B">
        <w:rPr>
          <w:rFonts w:ascii="Garamond" w:hAnsi="Garamond"/>
          <w:sz w:val="24"/>
          <w:szCs w:val="24"/>
        </w:rPr>
        <w:t xml:space="preserve"> z o.o. Kody te zawierają czteroliterowe oznaczenie podmiotu, oznaczenie Operatora Systemu Dystrybucyjnego, literę charakteryzującą podmiot oraz numer podmiotu i mają następującą postać:</w:t>
      </w:r>
    </w:p>
    <w:p w14:paraId="41ED7923" w14:textId="61088F84" w:rsidR="004E7C91" w:rsidRPr="00C848B5" w:rsidRDefault="004E7C91">
      <w:pPr>
        <w:pStyle w:val="Akapitzlist"/>
        <w:numPr>
          <w:ilvl w:val="0"/>
          <w:numId w:val="164"/>
        </w:numPr>
        <w:spacing w:after="137" w:line="249" w:lineRule="auto"/>
        <w:ind w:right="-3"/>
        <w:jc w:val="left"/>
        <w:rPr>
          <w:rFonts w:ascii="Garamond" w:hAnsi="Garamond"/>
          <w:sz w:val="24"/>
          <w:szCs w:val="24"/>
        </w:rPr>
      </w:pPr>
      <w:r w:rsidRPr="00C848B5">
        <w:rPr>
          <w:rFonts w:ascii="Garamond" w:hAnsi="Garamond"/>
          <w:sz w:val="24"/>
          <w:szCs w:val="24"/>
        </w:rPr>
        <w:t xml:space="preserve">URD typu wytwórca - </w:t>
      </w:r>
      <w:proofErr w:type="spellStart"/>
      <w:r w:rsidRPr="00C848B5">
        <w:rPr>
          <w:rFonts w:ascii="Garamond" w:hAnsi="Garamond"/>
          <w:sz w:val="24"/>
          <w:szCs w:val="24"/>
        </w:rPr>
        <w:t>AAAA_Kod</w:t>
      </w:r>
      <w:proofErr w:type="spellEnd"/>
      <w:r w:rsidRPr="00C848B5">
        <w:rPr>
          <w:rFonts w:ascii="Garamond" w:hAnsi="Garamond"/>
          <w:sz w:val="24"/>
          <w:szCs w:val="24"/>
        </w:rPr>
        <w:t xml:space="preserve"> </w:t>
      </w:r>
      <w:r w:rsidR="00C848B5" w:rsidRPr="00C848B5">
        <w:rPr>
          <w:rFonts w:ascii="Garamond" w:hAnsi="Garamond"/>
          <w:sz w:val="24"/>
          <w:szCs w:val="24"/>
        </w:rPr>
        <w:t>ID Sp.</w:t>
      </w:r>
      <w:r w:rsidRPr="00C848B5">
        <w:rPr>
          <w:rFonts w:ascii="Garamond" w:hAnsi="Garamond"/>
          <w:sz w:val="24"/>
          <w:szCs w:val="24"/>
        </w:rPr>
        <w:t xml:space="preserve"> z </w:t>
      </w:r>
      <w:proofErr w:type="spellStart"/>
      <w:r w:rsidR="006A6C01" w:rsidRPr="00C848B5">
        <w:rPr>
          <w:rFonts w:ascii="Garamond" w:hAnsi="Garamond"/>
          <w:sz w:val="24"/>
          <w:szCs w:val="24"/>
        </w:rPr>
        <w:t>o</w:t>
      </w:r>
      <w:r w:rsidRPr="00C848B5">
        <w:rPr>
          <w:rFonts w:ascii="Garamond" w:hAnsi="Garamond"/>
          <w:sz w:val="24"/>
          <w:szCs w:val="24"/>
        </w:rPr>
        <w:t>.</w:t>
      </w:r>
      <w:r w:rsidR="006A6C01" w:rsidRPr="00C848B5">
        <w:rPr>
          <w:rFonts w:ascii="Garamond" w:hAnsi="Garamond"/>
          <w:sz w:val="24"/>
          <w:szCs w:val="24"/>
        </w:rPr>
        <w:t>o</w:t>
      </w:r>
      <w:r w:rsidRPr="00C848B5">
        <w:rPr>
          <w:rFonts w:ascii="Garamond" w:hAnsi="Garamond"/>
          <w:sz w:val="24"/>
          <w:szCs w:val="24"/>
        </w:rPr>
        <w:t>._W_XXXX</w:t>
      </w:r>
      <w:proofErr w:type="spellEnd"/>
      <w:r w:rsidRPr="00C848B5">
        <w:rPr>
          <w:rFonts w:ascii="Garamond" w:hAnsi="Garamond"/>
          <w:sz w:val="24"/>
          <w:szCs w:val="24"/>
        </w:rPr>
        <w:t>, gdzie:</w:t>
      </w:r>
    </w:p>
    <w:p w14:paraId="4E4D1678" w14:textId="72DFCE16" w:rsidR="00A6588D" w:rsidRPr="00AE3F1B" w:rsidRDefault="00C848B5" w:rsidP="00276C20">
      <w:pPr>
        <w:spacing w:after="126" w:line="256" w:lineRule="auto"/>
        <w:ind w:left="993" w:right="-3" w:hanging="426"/>
        <w:jc w:val="left"/>
        <w:rPr>
          <w:rFonts w:ascii="Garamond" w:hAnsi="Garamond"/>
          <w:sz w:val="24"/>
          <w:szCs w:val="24"/>
        </w:rPr>
      </w:pPr>
      <w:r w:rsidRPr="00AE3F1B">
        <w:rPr>
          <w:rFonts w:ascii="Garamond" w:hAnsi="Garamond"/>
          <w:sz w:val="24"/>
          <w:szCs w:val="24"/>
        </w:rPr>
        <w:t>… (</w:t>
      </w:r>
      <w:r w:rsidR="00A6588D" w:rsidRPr="00AE3F1B">
        <w:rPr>
          <w:rFonts w:ascii="Garamond" w:hAnsi="Garamond"/>
          <w:sz w:val="24"/>
          <w:szCs w:val="24"/>
        </w:rPr>
        <w:t xml:space="preserve">oznaczenie literowe </w:t>
      </w:r>
      <w:r w:rsidRPr="00AE3F1B">
        <w:rPr>
          <w:rFonts w:ascii="Garamond" w:hAnsi="Garamond"/>
          <w:sz w:val="24"/>
          <w:szCs w:val="24"/>
        </w:rPr>
        <w:t>podmiotu) ...</w:t>
      </w:r>
      <w:r w:rsidR="00A6588D" w:rsidRPr="00AE3F1B">
        <w:rPr>
          <w:rFonts w:ascii="Garamond" w:hAnsi="Garamond"/>
          <w:sz w:val="24"/>
          <w:szCs w:val="24"/>
        </w:rPr>
        <w:t>_</w:t>
      </w:r>
      <w:r w:rsidRPr="00AE3F1B">
        <w:rPr>
          <w:rFonts w:ascii="Garamond" w:hAnsi="Garamond"/>
          <w:sz w:val="24"/>
          <w:szCs w:val="24"/>
        </w:rPr>
        <w:t>... (</w:t>
      </w:r>
      <w:r w:rsidR="00A6588D" w:rsidRPr="00AE3F1B">
        <w:rPr>
          <w:rFonts w:ascii="Garamond" w:hAnsi="Garamond"/>
          <w:sz w:val="24"/>
          <w:szCs w:val="24"/>
        </w:rPr>
        <w:t xml:space="preserve">oznaczenie kodowe </w:t>
      </w:r>
      <w:r w:rsidRPr="00AE3F1B">
        <w:rPr>
          <w:rFonts w:ascii="Garamond" w:hAnsi="Garamond"/>
          <w:sz w:val="24"/>
          <w:szCs w:val="24"/>
        </w:rPr>
        <w:t>ID Sp.</w:t>
      </w:r>
      <w:r w:rsidR="00A6588D" w:rsidRPr="00AE3F1B">
        <w:rPr>
          <w:rFonts w:ascii="Garamond" w:hAnsi="Garamond"/>
          <w:sz w:val="24"/>
          <w:szCs w:val="24"/>
        </w:rPr>
        <w:t xml:space="preserve"> z o.o.) </w:t>
      </w:r>
      <w:r w:rsidR="00A6588D" w:rsidRPr="00AE3F1B">
        <w:rPr>
          <w:rFonts w:ascii="Garamond" w:hAnsi="Garamond"/>
          <w:noProof/>
          <w:sz w:val="24"/>
          <w:szCs w:val="24"/>
          <w:lang w:eastAsia="pl-PL"/>
        </w:rPr>
        <w:drawing>
          <wp:inline distT="0" distB="0" distL="0" distR="0" wp14:anchorId="31C39D07" wp14:editId="386BD6A8">
            <wp:extent cx="95941" cy="22842"/>
            <wp:effectExtent l="0" t="0" r="0" b="0"/>
            <wp:docPr id="283108" name="Picture 283108"/>
            <wp:cNvGraphicFramePr/>
            <a:graphic xmlns:a="http://schemas.openxmlformats.org/drawingml/2006/main">
              <a:graphicData uri="http://schemas.openxmlformats.org/drawingml/2006/picture">
                <pic:pic xmlns:pic="http://schemas.openxmlformats.org/drawingml/2006/picture">
                  <pic:nvPicPr>
                    <pic:cNvPr id="283108" name="Picture 283108"/>
                    <pic:cNvPicPr/>
                  </pic:nvPicPr>
                  <pic:blipFill>
                    <a:blip r:embed="rId15"/>
                    <a:stretch>
                      <a:fillRect/>
                    </a:stretch>
                  </pic:blipFill>
                  <pic:spPr>
                    <a:xfrm>
                      <a:off x="0" y="0"/>
                      <a:ext cx="95941" cy="22842"/>
                    </a:xfrm>
                    <a:prstGeom prst="rect">
                      <a:avLst/>
                    </a:prstGeom>
                  </pic:spPr>
                </pic:pic>
              </a:graphicData>
            </a:graphic>
          </wp:inline>
        </w:drawing>
      </w:r>
      <w:r w:rsidR="00A6588D" w:rsidRPr="00AE3F1B">
        <w:rPr>
          <w:rFonts w:ascii="Garamond" w:hAnsi="Garamond"/>
          <w:sz w:val="24"/>
          <w:szCs w:val="24"/>
        </w:rPr>
        <w:t>_W_</w:t>
      </w:r>
      <w:r w:rsidRPr="00AE3F1B">
        <w:rPr>
          <w:rFonts w:ascii="Garamond" w:hAnsi="Garamond"/>
          <w:sz w:val="24"/>
          <w:szCs w:val="24"/>
        </w:rPr>
        <w:t>... (</w:t>
      </w:r>
      <w:r w:rsidR="00A6588D" w:rsidRPr="00AE3F1B">
        <w:rPr>
          <w:rFonts w:ascii="Garamond" w:hAnsi="Garamond"/>
          <w:sz w:val="24"/>
          <w:szCs w:val="24"/>
        </w:rPr>
        <w:t>numer podmiotu) ...</w:t>
      </w:r>
    </w:p>
    <w:p w14:paraId="7E63E2DD" w14:textId="36BB14EA" w:rsidR="00A6588D" w:rsidRPr="00C848B5" w:rsidRDefault="00A6588D">
      <w:pPr>
        <w:pStyle w:val="Akapitzlist"/>
        <w:numPr>
          <w:ilvl w:val="0"/>
          <w:numId w:val="164"/>
        </w:numPr>
        <w:spacing w:after="15" w:line="249" w:lineRule="auto"/>
        <w:ind w:right="-3"/>
        <w:jc w:val="left"/>
        <w:rPr>
          <w:rFonts w:ascii="Garamond" w:hAnsi="Garamond"/>
          <w:sz w:val="24"/>
          <w:szCs w:val="24"/>
        </w:rPr>
      </w:pPr>
      <w:r w:rsidRPr="00C848B5">
        <w:rPr>
          <w:rFonts w:ascii="Garamond" w:hAnsi="Garamond"/>
          <w:sz w:val="24"/>
          <w:szCs w:val="24"/>
        </w:rPr>
        <w:t xml:space="preserve">URD typu odbiorca — </w:t>
      </w:r>
      <w:proofErr w:type="spellStart"/>
      <w:r w:rsidRPr="00C848B5">
        <w:rPr>
          <w:rFonts w:ascii="Garamond" w:hAnsi="Garamond"/>
          <w:sz w:val="24"/>
          <w:szCs w:val="24"/>
        </w:rPr>
        <w:t>AAAA_Kod</w:t>
      </w:r>
      <w:proofErr w:type="spellEnd"/>
      <w:r w:rsidRPr="00C848B5">
        <w:rPr>
          <w:rFonts w:ascii="Garamond" w:hAnsi="Garamond"/>
          <w:sz w:val="24"/>
          <w:szCs w:val="24"/>
        </w:rPr>
        <w:t xml:space="preserve"> </w:t>
      </w:r>
      <w:r w:rsidR="00C848B5" w:rsidRPr="00C848B5">
        <w:rPr>
          <w:rFonts w:ascii="Garamond" w:hAnsi="Garamond"/>
          <w:sz w:val="24"/>
          <w:szCs w:val="24"/>
        </w:rPr>
        <w:t>ID Sp.</w:t>
      </w:r>
      <w:r w:rsidRPr="00C848B5">
        <w:rPr>
          <w:rFonts w:ascii="Garamond" w:hAnsi="Garamond"/>
          <w:sz w:val="24"/>
          <w:szCs w:val="24"/>
        </w:rPr>
        <w:t xml:space="preserve"> z o.o. _O_XXXX, gdzie:</w:t>
      </w:r>
    </w:p>
    <w:p w14:paraId="5903405B" w14:textId="1FCA5759" w:rsidR="00A6588D" w:rsidRPr="00AE3F1B" w:rsidRDefault="00D12613" w:rsidP="00276C20">
      <w:pPr>
        <w:spacing w:after="165" w:line="256" w:lineRule="auto"/>
        <w:ind w:left="993" w:right="-3" w:hanging="426"/>
        <w:jc w:val="left"/>
        <w:rPr>
          <w:rFonts w:ascii="Garamond" w:hAnsi="Garamond"/>
          <w:sz w:val="24"/>
          <w:szCs w:val="24"/>
        </w:rPr>
      </w:pPr>
      <w:r w:rsidRPr="00AE3F1B">
        <w:rPr>
          <w:rFonts w:ascii="Garamond" w:hAnsi="Garamond"/>
          <w:sz w:val="24"/>
          <w:szCs w:val="24"/>
        </w:rPr>
        <w:t>... (</w:t>
      </w:r>
      <w:r w:rsidR="00A6588D" w:rsidRPr="00AE3F1B">
        <w:rPr>
          <w:rFonts w:ascii="Garamond" w:hAnsi="Garamond"/>
          <w:sz w:val="24"/>
          <w:szCs w:val="24"/>
        </w:rPr>
        <w:t xml:space="preserve">oznaczenie literowe </w:t>
      </w:r>
      <w:r w:rsidR="00C848B5" w:rsidRPr="00AE3F1B">
        <w:rPr>
          <w:rFonts w:ascii="Garamond" w:hAnsi="Garamond"/>
          <w:sz w:val="24"/>
          <w:szCs w:val="24"/>
        </w:rPr>
        <w:t>podmiotu) ...</w:t>
      </w:r>
      <w:r w:rsidR="00A6588D" w:rsidRPr="00AE3F1B">
        <w:rPr>
          <w:rFonts w:ascii="Garamond" w:hAnsi="Garamond"/>
          <w:sz w:val="24"/>
          <w:szCs w:val="24"/>
        </w:rPr>
        <w:t>_</w:t>
      </w:r>
      <w:r w:rsidR="00C848B5" w:rsidRPr="00AE3F1B">
        <w:rPr>
          <w:rFonts w:ascii="Garamond" w:hAnsi="Garamond"/>
          <w:sz w:val="24"/>
          <w:szCs w:val="24"/>
        </w:rPr>
        <w:t>... (</w:t>
      </w:r>
      <w:r w:rsidR="00A6588D" w:rsidRPr="00AE3F1B">
        <w:rPr>
          <w:rFonts w:ascii="Garamond" w:hAnsi="Garamond"/>
          <w:sz w:val="24"/>
          <w:szCs w:val="24"/>
        </w:rPr>
        <w:t xml:space="preserve">oznaczenie kodowe </w:t>
      </w:r>
      <w:r w:rsidR="00C848B5" w:rsidRPr="00AE3F1B">
        <w:rPr>
          <w:rFonts w:ascii="Garamond" w:hAnsi="Garamond"/>
          <w:sz w:val="24"/>
          <w:szCs w:val="24"/>
        </w:rPr>
        <w:t>ID Sp.</w:t>
      </w:r>
      <w:r w:rsidR="00A6588D" w:rsidRPr="00AE3F1B">
        <w:rPr>
          <w:rFonts w:ascii="Garamond" w:hAnsi="Garamond"/>
          <w:sz w:val="24"/>
          <w:szCs w:val="24"/>
        </w:rPr>
        <w:t xml:space="preserve"> z o.o.) </w:t>
      </w:r>
      <w:r w:rsidR="00A6588D" w:rsidRPr="00AE3F1B">
        <w:rPr>
          <w:rFonts w:ascii="Garamond" w:hAnsi="Garamond"/>
          <w:noProof/>
          <w:sz w:val="24"/>
          <w:szCs w:val="24"/>
          <w:lang w:eastAsia="pl-PL"/>
        </w:rPr>
        <w:drawing>
          <wp:inline distT="0" distB="0" distL="0" distR="0" wp14:anchorId="1C16BEF4" wp14:editId="2FA85AE7">
            <wp:extent cx="95941" cy="18273"/>
            <wp:effectExtent l="0" t="0" r="0" b="0"/>
            <wp:docPr id="283112" name="Picture 283112"/>
            <wp:cNvGraphicFramePr/>
            <a:graphic xmlns:a="http://schemas.openxmlformats.org/drawingml/2006/main">
              <a:graphicData uri="http://schemas.openxmlformats.org/drawingml/2006/picture">
                <pic:pic xmlns:pic="http://schemas.openxmlformats.org/drawingml/2006/picture">
                  <pic:nvPicPr>
                    <pic:cNvPr id="283112" name="Picture 283112"/>
                    <pic:cNvPicPr/>
                  </pic:nvPicPr>
                  <pic:blipFill>
                    <a:blip r:embed="rId16"/>
                    <a:stretch>
                      <a:fillRect/>
                    </a:stretch>
                  </pic:blipFill>
                  <pic:spPr>
                    <a:xfrm>
                      <a:off x="0" y="0"/>
                      <a:ext cx="95941" cy="18273"/>
                    </a:xfrm>
                    <a:prstGeom prst="rect">
                      <a:avLst/>
                    </a:prstGeom>
                  </pic:spPr>
                </pic:pic>
              </a:graphicData>
            </a:graphic>
          </wp:inline>
        </w:drawing>
      </w:r>
      <w:r w:rsidR="00A6588D" w:rsidRPr="00AE3F1B">
        <w:rPr>
          <w:rFonts w:ascii="Garamond" w:hAnsi="Garamond"/>
          <w:sz w:val="24"/>
          <w:szCs w:val="24"/>
        </w:rPr>
        <w:t>_O_</w:t>
      </w:r>
      <w:r w:rsidR="00C848B5" w:rsidRPr="00AE3F1B">
        <w:rPr>
          <w:rFonts w:ascii="Garamond" w:hAnsi="Garamond"/>
          <w:sz w:val="24"/>
          <w:szCs w:val="24"/>
        </w:rPr>
        <w:t>... (</w:t>
      </w:r>
      <w:r w:rsidR="00A6588D" w:rsidRPr="00AE3F1B">
        <w:rPr>
          <w:rFonts w:ascii="Garamond" w:hAnsi="Garamond"/>
          <w:sz w:val="24"/>
          <w:szCs w:val="24"/>
        </w:rPr>
        <w:t xml:space="preserve">numer </w:t>
      </w:r>
      <w:r w:rsidR="00C848B5" w:rsidRPr="00AE3F1B">
        <w:rPr>
          <w:rFonts w:ascii="Garamond" w:hAnsi="Garamond"/>
          <w:sz w:val="24"/>
          <w:szCs w:val="24"/>
        </w:rPr>
        <w:t>podmiotu) ...</w:t>
      </w:r>
      <w:r w:rsidR="00A6588D" w:rsidRPr="00AE3F1B">
        <w:rPr>
          <w:rFonts w:ascii="Garamond" w:hAnsi="Garamond"/>
          <w:sz w:val="24"/>
          <w:szCs w:val="24"/>
        </w:rPr>
        <w:t>,</w:t>
      </w:r>
    </w:p>
    <w:p w14:paraId="6CC8B780" w14:textId="46A23B59" w:rsidR="00A6588D" w:rsidRPr="00C848B5" w:rsidRDefault="00A6588D">
      <w:pPr>
        <w:pStyle w:val="Akapitzlist"/>
        <w:numPr>
          <w:ilvl w:val="0"/>
          <w:numId w:val="164"/>
        </w:numPr>
        <w:spacing w:after="15" w:line="249" w:lineRule="auto"/>
        <w:ind w:right="-3"/>
        <w:jc w:val="left"/>
        <w:rPr>
          <w:rFonts w:ascii="Garamond" w:hAnsi="Garamond"/>
          <w:sz w:val="24"/>
          <w:szCs w:val="24"/>
        </w:rPr>
      </w:pPr>
      <w:r w:rsidRPr="00C848B5">
        <w:rPr>
          <w:rFonts w:ascii="Garamond" w:hAnsi="Garamond"/>
          <w:sz w:val="24"/>
          <w:szCs w:val="24"/>
        </w:rPr>
        <w:lastRenderedPageBreak/>
        <w:t xml:space="preserve">Sprzedawca - </w:t>
      </w:r>
      <w:proofErr w:type="spellStart"/>
      <w:r w:rsidRPr="00C848B5">
        <w:rPr>
          <w:rFonts w:ascii="Garamond" w:hAnsi="Garamond"/>
          <w:sz w:val="24"/>
          <w:szCs w:val="24"/>
        </w:rPr>
        <w:t>AAAA_Kod</w:t>
      </w:r>
      <w:proofErr w:type="spellEnd"/>
      <w:r w:rsidRPr="00C848B5">
        <w:rPr>
          <w:rFonts w:ascii="Garamond" w:hAnsi="Garamond"/>
          <w:sz w:val="24"/>
          <w:szCs w:val="24"/>
        </w:rPr>
        <w:t xml:space="preserve"> </w:t>
      </w:r>
      <w:r w:rsidR="00C848B5" w:rsidRPr="00C848B5">
        <w:rPr>
          <w:rFonts w:ascii="Garamond" w:hAnsi="Garamond"/>
          <w:sz w:val="24"/>
          <w:szCs w:val="24"/>
        </w:rPr>
        <w:t>ID Sp.</w:t>
      </w:r>
      <w:r w:rsidRPr="00C848B5">
        <w:rPr>
          <w:rFonts w:ascii="Garamond" w:hAnsi="Garamond"/>
          <w:sz w:val="24"/>
          <w:szCs w:val="24"/>
        </w:rPr>
        <w:t xml:space="preserve"> z o.o. _P_XXXX, gdzie:</w:t>
      </w:r>
    </w:p>
    <w:p w14:paraId="6B349E89" w14:textId="74F23455" w:rsidR="00A6588D" w:rsidRPr="00AE3F1B" w:rsidRDefault="00C848B5" w:rsidP="00276C20">
      <w:pPr>
        <w:spacing w:after="165" w:line="256" w:lineRule="auto"/>
        <w:ind w:left="993" w:right="-3" w:hanging="426"/>
        <w:jc w:val="left"/>
        <w:rPr>
          <w:rFonts w:ascii="Garamond" w:hAnsi="Garamond"/>
          <w:sz w:val="24"/>
          <w:szCs w:val="24"/>
        </w:rPr>
      </w:pPr>
      <w:r w:rsidRPr="00AE3F1B">
        <w:rPr>
          <w:rFonts w:ascii="Garamond" w:hAnsi="Garamond"/>
          <w:sz w:val="24"/>
          <w:szCs w:val="24"/>
        </w:rPr>
        <w:t>... (</w:t>
      </w:r>
      <w:r w:rsidR="00A6588D" w:rsidRPr="00AE3F1B">
        <w:rPr>
          <w:rFonts w:ascii="Garamond" w:hAnsi="Garamond"/>
          <w:sz w:val="24"/>
          <w:szCs w:val="24"/>
        </w:rPr>
        <w:t xml:space="preserve">oznaczenie literowe </w:t>
      </w:r>
      <w:r w:rsidRPr="00AE3F1B">
        <w:rPr>
          <w:rFonts w:ascii="Garamond" w:hAnsi="Garamond"/>
          <w:sz w:val="24"/>
          <w:szCs w:val="24"/>
        </w:rPr>
        <w:t>podmiotu) ...</w:t>
      </w:r>
      <w:r w:rsidR="00A6588D" w:rsidRPr="00AE3F1B">
        <w:rPr>
          <w:rFonts w:ascii="Garamond" w:hAnsi="Garamond"/>
          <w:sz w:val="24"/>
          <w:szCs w:val="24"/>
        </w:rPr>
        <w:t>_</w:t>
      </w:r>
      <w:r w:rsidRPr="00AE3F1B">
        <w:rPr>
          <w:rFonts w:ascii="Garamond" w:hAnsi="Garamond"/>
          <w:sz w:val="24"/>
          <w:szCs w:val="24"/>
        </w:rPr>
        <w:t>... (</w:t>
      </w:r>
      <w:r w:rsidR="00A6588D" w:rsidRPr="00AE3F1B">
        <w:rPr>
          <w:rFonts w:ascii="Garamond" w:hAnsi="Garamond"/>
          <w:sz w:val="24"/>
          <w:szCs w:val="24"/>
        </w:rPr>
        <w:t xml:space="preserve">oznaczenie kodowe </w:t>
      </w:r>
      <w:r w:rsidRPr="00AE3F1B">
        <w:rPr>
          <w:rFonts w:ascii="Garamond" w:hAnsi="Garamond"/>
          <w:sz w:val="24"/>
          <w:szCs w:val="24"/>
        </w:rPr>
        <w:t>ID Sp.</w:t>
      </w:r>
      <w:r w:rsidR="00A6588D" w:rsidRPr="00AE3F1B">
        <w:rPr>
          <w:rFonts w:ascii="Garamond" w:hAnsi="Garamond"/>
          <w:sz w:val="24"/>
          <w:szCs w:val="24"/>
        </w:rPr>
        <w:t xml:space="preserve"> z o.o.) </w:t>
      </w:r>
      <w:r w:rsidR="00A6588D" w:rsidRPr="00AE3F1B">
        <w:rPr>
          <w:rFonts w:ascii="Garamond" w:hAnsi="Garamond"/>
          <w:noProof/>
          <w:sz w:val="24"/>
          <w:szCs w:val="24"/>
          <w:lang w:eastAsia="pl-PL"/>
        </w:rPr>
        <w:drawing>
          <wp:inline distT="0" distB="0" distL="0" distR="0" wp14:anchorId="68B41599" wp14:editId="5FAD8BEF">
            <wp:extent cx="95941" cy="22842"/>
            <wp:effectExtent l="0" t="0" r="0" b="0"/>
            <wp:docPr id="283114" name="Picture 283114"/>
            <wp:cNvGraphicFramePr/>
            <a:graphic xmlns:a="http://schemas.openxmlformats.org/drawingml/2006/main">
              <a:graphicData uri="http://schemas.openxmlformats.org/drawingml/2006/picture">
                <pic:pic xmlns:pic="http://schemas.openxmlformats.org/drawingml/2006/picture">
                  <pic:nvPicPr>
                    <pic:cNvPr id="283114" name="Picture 283114"/>
                    <pic:cNvPicPr/>
                  </pic:nvPicPr>
                  <pic:blipFill>
                    <a:blip r:embed="rId17"/>
                    <a:stretch>
                      <a:fillRect/>
                    </a:stretch>
                  </pic:blipFill>
                  <pic:spPr>
                    <a:xfrm>
                      <a:off x="0" y="0"/>
                      <a:ext cx="95941" cy="22842"/>
                    </a:xfrm>
                    <a:prstGeom prst="rect">
                      <a:avLst/>
                    </a:prstGeom>
                  </pic:spPr>
                </pic:pic>
              </a:graphicData>
            </a:graphic>
          </wp:inline>
        </w:drawing>
      </w:r>
      <w:r w:rsidR="00A6588D" w:rsidRPr="00AE3F1B">
        <w:rPr>
          <w:rFonts w:ascii="Garamond" w:hAnsi="Garamond"/>
          <w:sz w:val="24"/>
          <w:szCs w:val="24"/>
        </w:rPr>
        <w:t>_P_</w:t>
      </w:r>
      <w:r w:rsidRPr="00AE3F1B">
        <w:rPr>
          <w:rFonts w:ascii="Garamond" w:hAnsi="Garamond"/>
          <w:sz w:val="24"/>
          <w:szCs w:val="24"/>
        </w:rPr>
        <w:t>... (</w:t>
      </w:r>
      <w:r w:rsidR="00A6588D" w:rsidRPr="00AE3F1B">
        <w:rPr>
          <w:rFonts w:ascii="Garamond" w:hAnsi="Garamond"/>
          <w:sz w:val="24"/>
          <w:szCs w:val="24"/>
        </w:rPr>
        <w:t xml:space="preserve">numer </w:t>
      </w:r>
      <w:r w:rsidRPr="00AE3F1B">
        <w:rPr>
          <w:rFonts w:ascii="Garamond" w:hAnsi="Garamond"/>
          <w:sz w:val="24"/>
          <w:szCs w:val="24"/>
        </w:rPr>
        <w:t>podmiotu) ...</w:t>
      </w:r>
      <w:r w:rsidR="00A6588D" w:rsidRPr="00AE3F1B">
        <w:rPr>
          <w:rFonts w:ascii="Garamond" w:hAnsi="Garamond"/>
          <w:sz w:val="24"/>
          <w:szCs w:val="24"/>
        </w:rPr>
        <w:t>,</w:t>
      </w:r>
    </w:p>
    <w:p w14:paraId="5CB2E37B" w14:textId="3CF5A475" w:rsidR="00A6588D" w:rsidRPr="00AE3F1B" w:rsidRDefault="00C848B5" w:rsidP="00C848B5">
      <w:pPr>
        <w:spacing w:after="117" w:line="249" w:lineRule="auto"/>
        <w:ind w:left="567" w:right="-3"/>
        <w:jc w:val="left"/>
        <w:rPr>
          <w:rFonts w:ascii="Garamond" w:hAnsi="Garamond"/>
          <w:sz w:val="24"/>
          <w:szCs w:val="24"/>
        </w:rPr>
      </w:pPr>
      <w:r w:rsidRPr="00AE3F1B">
        <w:rPr>
          <w:rFonts w:ascii="Garamond" w:hAnsi="Garamond"/>
          <w:sz w:val="24"/>
          <w:szCs w:val="24"/>
        </w:rPr>
        <w:t>ID Sp.</w:t>
      </w:r>
      <w:r w:rsidR="00A6588D" w:rsidRPr="00AE3F1B">
        <w:rPr>
          <w:rFonts w:ascii="Garamond" w:hAnsi="Garamond"/>
          <w:sz w:val="24"/>
          <w:szCs w:val="24"/>
        </w:rPr>
        <w:t xml:space="preserve"> z o.o. może przyporządkować kody identyfikacyjne sprzedawcom realizującym umowy sprzedaży energii w sieci </w:t>
      </w:r>
      <w:r w:rsidRPr="00AE3F1B">
        <w:rPr>
          <w:rFonts w:ascii="Garamond" w:hAnsi="Garamond"/>
          <w:sz w:val="24"/>
          <w:szCs w:val="24"/>
        </w:rPr>
        <w:t>ID Sp.</w:t>
      </w:r>
      <w:r w:rsidR="00A6588D" w:rsidRPr="00AE3F1B">
        <w:rPr>
          <w:rFonts w:ascii="Garamond" w:hAnsi="Garamond"/>
          <w:sz w:val="24"/>
          <w:szCs w:val="24"/>
        </w:rPr>
        <w:t xml:space="preserve"> z o.o., które zostały im nadane przez PGE Dystrybucja S.A.</w:t>
      </w:r>
    </w:p>
    <w:p w14:paraId="55CDCD4F" w14:textId="41AA00E8" w:rsidR="00A6588D" w:rsidRPr="00AE3F1B" w:rsidRDefault="00C848B5" w:rsidP="00175586">
      <w:pPr>
        <w:spacing w:after="59" w:line="249" w:lineRule="auto"/>
        <w:ind w:left="567" w:right="-3" w:hanging="567"/>
        <w:jc w:val="left"/>
        <w:rPr>
          <w:rFonts w:ascii="Garamond" w:hAnsi="Garamond"/>
          <w:sz w:val="24"/>
          <w:szCs w:val="24"/>
        </w:rPr>
      </w:pPr>
      <w:r w:rsidRPr="00AE3F1B">
        <w:rPr>
          <w:rFonts w:ascii="Garamond" w:hAnsi="Garamond"/>
          <w:noProof/>
          <w:sz w:val="24"/>
          <w:szCs w:val="24"/>
        </w:rPr>
        <w:t>A.3.4.</w:t>
      </w:r>
      <w:r w:rsidRPr="00AE3F1B">
        <w:rPr>
          <w:rFonts w:ascii="Garamond" w:hAnsi="Garamond"/>
          <w:sz w:val="24"/>
          <w:szCs w:val="24"/>
        </w:rPr>
        <w:t xml:space="preserve"> Oznaczenia</w:t>
      </w:r>
      <w:r w:rsidR="00A6588D" w:rsidRPr="00AE3F1B">
        <w:rPr>
          <w:rFonts w:ascii="Garamond" w:hAnsi="Garamond"/>
          <w:sz w:val="24"/>
          <w:szCs w:val="24"/>
        </w:rPr>
        <w:t xml:space="preserve"> kodowe </w:t>
      </w:r>
      <w:r w:rsidRPr="00AE3F1B">
        <w:rPr>
          <w:rFonts w:ascii="Garamond" w:hAnsi="Garamond"/>
          <w:sz w:val="24"/>
          <w:szCs w:val="24"/>
        </w:rPr>
        <w:t>ID Sp.</w:t>
      </w:r>
      <w:r w:rsidR="00A6588D" w:rsidRPr="00AE3F1B">
        <w:rPr>
          <w:rFonts w:ascii="Garamond" w:hAnsi="Garamond"/>
          <w:sz w:val="24"/>
          <w:szCs w:val="24"/>
        </w:rPr>
        <w:t xml:space="preserve"> z o.o. są zgodne z nadanym przez OSP czteroliterowym oznaczeniem kodu PGE Dystrybucja S.A., za pośrednictwem którego </w:t>
      </w:r>
      <w:r w:rsidRPr="00AE3F1B">
        <w:rPr>
          <w:rFonts w:ascii="Garamond" w:hAnsi="Garamond"/>
          <w:sz w:val="24"/>
          <w:szCs w:val="24"/>
        </w:rPr>
        <w:t>ID Sp.</w:t>
      </w:r>
      <w:r w:rsidR="00A6588D" w:rsidRPr="00AE3F1B">
        <w:rPr>
          <w:rFonts w:ascii="Garamond" w:hAnsi="Garamond"/>
          <w:sz w:val="24"/>
          <w:szCs w:val="24"/>
        </w:rPr>
        <w:t xml:space="preserve"> z o.o. współpracuje z operatorem systemu przesyłowego, wynikającym z zawartej pomiędzy PGE Dystrybucja S.A. i OSP umowy przesyłowej.</w:t>
      </w:r>
    </w:p>
    <w:p w14:paraId="534A318E" w14:textId="1D827A7B" w:rsidR="00A6588D" w:rsidRPr="00AE3F1B" w:rsidRDefault="00A6588D">
      <w:pPr>
        <w:numPr>
          <w:ilvl w:val="2"/>
          <w:numId w:val="46"/>
        </w:numPr>
        <w:spacing w:after="217" w:line="249" w:lineRule="auto"/>
        <w:ind w:left="567" w:right="-3" w:hanging="567"/>
        <w:jc w:val="left"/>
        <w:rPr>
          <w:rFonts w:ascii="Garamond" w:hAnsi="Garamond"/>
          <w:sz w:val="24"/>
          <w:szCs w:val="24"/>
        </w:rPr>
      </w:pPr>
      <w:r w:rsidRPr="00AE3F1B">
        <w:rPr>
          <w:rFonts w:ascii="Garamond" w:hAnsi="Garamond"/>
          <w:sz w:val="24"/>
          <w:szCs w:val="24"/>
        </w:rPr>
        <w:t xml:space="preserve">Sprzedawca jest zobowiązany do potwierdzenia </w:t>
      </w:r>
      <w:r w:rsidR="00C848B5" w:rsidRPr="00AE3F1B">
        <w:rPr>
          <w:rFonts w:ascii="Garamond" w:hAnsi="Garamond"/>
          <w:sz w:val="24"/>
          <w:szCs w:val="24"/>
        </w:rPr>
        <w:t>ID Sp.</w:t>
      </w:r>
      <w:r w:rsidRPr="00AE3F1B">
        <w:rPr>
          <w:rFonts w:ascii="Garamond" w:hAnsi="Garamond"/>
          <w:sz w:val="24"/>
          <w:szCs w:val="24"/>
        </w:rPr>
        <w:t xml:space="preserve"> z o.o. faktu rejestracji (posiadania kodu identyfikacyjnego) przed pierwszym zgłoszeniem do niego umowy sprzedaży energii elektrycznej.</w:t>
      </w:r>
    </w:p>
    <w:p w14:paraId="605BF6F7" w14:textId="4FF345B2" w:rsidR="00A6588D" w:rsidRPr="00AE3F1B" w:rsidRDefault="00A6588D">
      <w:pPr>
        <w:numPr>
          <w:ilvl w:val="2"/>
          <w:numId w:val="46"/>
        </w:numPr>
        <w:spacing w:after="180" w:line="249" w:lineRule="auto"/>
        <w:ind w:left="567" w:right="-3" w:hanging="567"/>
        <w:jc w:val="left"/>
        <w:rPr>
          <w:rFonts w:ascii="Garamond" w:hAnsi="Garamond"/>
          <w:sz w:val="24"/>
          <w:szCs w:val="24"/>
        </w:rPr>
      </w:pPr>
      <w:r w:rsidRPr="00AE3F1B">
        <w:rPr>
          <w:rFonts w:ascii="Garamond" w:hAnsi="Garamond"/>
          <w:sz w:val="24"/>
          <w:szCs w:val="24"/>
        </w:rPr>
        <w:t xml:space="preserve">Nadanie kodów identyfikacyjnych oraz potwierdzenie faktu rejestracji odbywa się poprzez zawarcie umowy dystrybucji lub generalnej umowy dystrybucji pomiędzy podmiotem oraz </w:t>
      </w:r>
      <w:r w:rsidR="00C848B5">
        <w:rPr>
          <w:rFonts w:ascii="Garamond" w:hAnsi="Garamond"/>
          <w:sz w:val="24"/>
          <w:szCs w:val="24"/>
        </w:rPr>
        <w:t xml:space="preserve">       </w:t>
      </w:r>
      <w:r w:rsidR="00C848B5" w:rsidRPr="00AE3F1B">
        <w:rPr>
          <w:rFonts w:ascii="Garamond" w:hAnsi="Garamond"/>
          <w:sz w:val="24"/>
          <w:szCs w:val="24"/>
        </w:rPr>
        <w:t>ID Sp.</w:t>
      </w:r>
      <w:r w:rsidRPr="00AE3F1B">
        <w:rPr>
          <w:rFonts w:ascii="Garamond" w:hAnsi="Garamond"/>
          <w:sz w:val="24"/>
          <w:szCs w:val="24"/>
        </w:rPr>
        <w:t xml:space="preserve"> </w:t>
      </w:r>
      <w:r w:rsidR="00C848B5" w:rsidRPr="00AE3F1B">
        <w:rPr>
          <w:rFonts w:ascii="Garamond" w:hAnsi="Garamond"/>
          <w:sz w:val="24"/>
          <w:szCs w:val="24"/>
        </w:rPr>
        <w:t>z o.o.</w:t>
      </w:r>
      <w:r w:rsidRPr="00AE3F1B">
        <w:rPr>
          <w:rFonts w:ascii="Garamond" w:hAnsi="Garamond"/>
          <w:sz w:val="24"/>
          <w:szCs w:val="24"/>
        </w:rPr>
        <w:t xml:space="preserve"> Umowy te zawierają niezbędne elementy, o których mowa w </w:t>
      </w:r>
      <w:r w:rsidR="00BA6D98" w:rsidRPr="00BA6D98">
        <w:rPr>
          <w:rFonts w:ascii="Garamond" w:hAnsi="Garamond"/>
          <w:sz w:val="24"/>
          <w:szCs w:val="24"/>
        </w:rPr>
        <w:t>IRiESD</w:t>
      </w:r>
      <w:r w:rsidRPr="00AE3F1B">
        <w:rPr>
          <w:rFonts w:ascii="Garamond" w:hAnsi="Garamond"/>
          <w:sz w:val="24"/>
          <w:szCs w:val="24"/>
        </w:rPr>
        <w:t xml:space="preserve"> Bilansowanie.</w:t>
      </w:r>
    </w:p>
    <w:p w14:paraId="431E4E87" w14:textId="16CD744C" w:rsidR="00A6588D" w:rsidRPr="00AE3F1B" w:rsidRDefault="00A6588D" w:rsidP="00175586">
      <w:pPr>
        <w:spacing w:after="151" w:line="266" w:lineRule="auto"/>
        <w:ind w:left="567" w:right="-3" w:hanging="567"/>
        <w:jc w:val="left"/>
        <w:rPr>
          <w:rFonts w:ascii="Garamond" w:hAnsi="Garamond"/>
          <w:sz w:val="24"/>
          <w:szCs w:val="24"/>
        </w:rPr>
      </w:pPr>
      <w:r w:rsidRPr="00AE3F1B">
        <w:rPr>
          <w:rFonts w:ascii="Garamond" w:hAnsi="Garamond"/>
          <w:sz w:val="24"/>
          <w:szCs w:val="24"/>
        </w:rPr>
        <w:t xml:space="preserve">A.3.7. </w:t>
      </w:r>
      <w:r w:rsidR="00C848B5" w:rsidRPr="00AE3F1B">
        <w:rPr>
          <w:rFonts w:ascii="Garamond" w:hAnsi="Garamond"/>
          <w:sz w:val="24"/>
          <w:szCs w:val="24"/>
        </w:rPr>
        <w:t>ID Sp.</w:t>
      </w:r>
      <w:r w:rsidRPr="00AE3F1B">
        <w:rPr>
          <w:rFonts w:ascii="Garamond" w:hAnsi="Garamond"/>
          <w:sz w:val="24"/>
          <w:szCs w:val="24"/>
        </w:rPr>
        <w:t xml:space="preserve"> z o.o. nadaje kody identyfikacyjne obiektom rynku detalicznego wykorzystywany</w:t>
      </w:r>
      <w:r w:rsidR="00C848B5">
        <w:rPr>
          <w:rFonts w:ascii="Garamond" w:hAnsi="Garamond"/>
          <w:sz w:val="24"/>
          <w:szCs w:val="24"/>
        </w:rPr>
        <w:t xml:space="preserve"> </w:t>
      </w:r>
      <w:r w:rsidR="00D12613">
        <w:rPr>
          <w:rFonts w:ascii="Garamond" w:hAnsi="Garamond"/>
          <w:sz w:val="24"/>
          <w:szCs w:val="24"/>
        </w:rPr>
        <w:t xml:space="preserve">w </w:t>
      </w:r>
      <w:r w:rsidR="00D12613" w:rsidRPr="00AE3F1B">
        <w:rPr>
          <w:rFonts w:ascii="Garamond" w:hAnsi="Garamond"/>
          <w:sz w:val="24"/>
          <w:szCs w:val="24"/>
        </w:rPr>
        <w:t>procesie wyznaczania</w:t>
      </w:r>
      <w:r w:rsidRPr="00AE3F1B">
        <w:rPr>
          <w:rFonts w:ascii="Garamond" w:hAnsi="Garamond"/>
          <w:sz w:val="24"/>
          <w:szCs w:val="24"/>
        </w:rPr>
        <w:t xml:space="preserve"> danych pomiarowo- rozliczeniowych.</w:t>
      </w:r>
    </w:p>
    <w:p w14:paraId="7CB760FD" w14:textId="77777777" w:rsidR="00A6588D" w:rsidRPr="00AE3F1B" w:rsidRDefault="00A6588D">
      <w:pPr>
        <w:numPr>
          <w:ilvl w:val="2"/>
          <w:numId w:val="47"/>
        </w:numPr>
        <w:spacing w:after="118" w:line="249" w:lineRule="auto"/>
        <w:ind w:left="567" w:right="-3" w:hanging="567"/>
        <w:jc w:val="left"/>
        <w:rPr>
          <w:rFonts w:ascii="Garamond" w:hAnsi="Garamond"/>
          <w:sz w:val="24"/>
          <w:szCs w:val="24"/>
        </w:rPr>
      </w:pPr>
      <w:r w:rsidRPr="00AE3F1B">
        <w:rPr>
          <w:rFonts w:ascii="Garamond" w:hAnsi="Garamond"/>
          <w:sz w:val="24"/>
          <w:szCs w:val="24"/>
        </w:rPr>
        <w:t>Kody Miejsc Dostarczania Energii Rynku Detalicznego (MDD) mają następującą postać: MDD AAAA _XX_XXXX_XX (19znaków), gdzie:</w:t>
      </w:r>
    </w:p>
    <w:p w14:paraId="2210C2D9" w14:textId="5A61D728" w:rsidR="00A6588D" w:rsidRPr="00AE3F1B" w:rsidRDefault="00A6588D" w:rsidP="00D12613">
      <w:pPr>
        <w:spacing w:after="189" w:line="249" w:lineRule="auto"/>
        <w:ind w:left="567" w:right="-3"/>
        <w:jc w:val="left"/>
        <w:rPr>
          <w:rFonts w:ascii="Garamond" w:hAnsi="Garamond"/>
          <w:sz w:val="24"/>
          <w:szCs w:val="24"/>
        </w:rPr>
      </w:pPr>
      <w:r w:rsidRPr="00AE3F1B">
        <w:rPr>
          <w:rFonts w:ascii="Garamond" w:hAnsi="Garamond"/>
          <w:sz w:val="24"/>
          <w:szCs w:val="24"/>
        </w:rPr>
        <w:t xml:space="preserve">(rodzaj </w:t>
      </w:r>
      <w:r w:rsidR="00D12613" w:rsidRPr="00AE3F1B">
        <w:rPr>
          <w:rFonts w:ascii="Garamond" w:hAnsi="Garamond"/>
          <w:sz w:val="24"/>
          <w:szCs w:val="24"/>
        </w:rPr>
        <w:t>obiektu) _ (</w:t>
      </w:r>
      <w:r w:rsidRPr="00AE3F1B">
        <w:rPr>
          <w:rFonts w:ascii="Garamond" w:hAnsi="Garamond"/>
          <w:sz w:val="24"/>
          <w:szCs w:val="24"/>
        </w:rPr>
        <w:t xml:space="preserve">oznaczenie literowe </w:t>
      </w:r>
      <w:r w:rsidR="00D12613" w:rsidRPr="00AE3F1B">
        <w:rPr>
          <w:rFonts w:ascii="Garamond" w:hAnsi="Garamond"/>
          <w:sz w:val="24"/>
          <w:szCs w:val="24"/>
        </w:rPr>
        <w:t>POB) _ (</w:t>
      </w:r>
      <w:r w:rsidRPr="00AE3F1B">
        <w:rPr>
          <w:rFonts w:ascii="Garamond" w:hAnsi="Garamond"/>
          <w:sz w:val="24"/>
          <w:szCs w:val="24"/>
        </w:rPr>
        <w:t xml:space="preserve">kod typu URD w </w:t>
      </w:r>
      <w:r w:rsidR="00D12613" w:rsidRPr="00AE3F1B">
        <w:rPr>
          <w:rFonts w:ascii="Garamond" w:hAnsi="Garamond"/>
          <w:sz w:val="24"/>
          <w:szCs w:val="24"/>
        </w:rPr>
        <w:t>MDD) _ (</w:t>
      </w:r>
      <w:r w:rsidRPr="00AE3F1B">
        <w:rPr>
          <w:rFonts w:ascii="Garamond" w:hAnsi="Garamond"/>
          <w:sz w:val="24"/>
          <w:szCs w:val="24"/>
        </w:rPr>
        <w:t xml:space="preserve">numer obiektu </w:t>
      </w:r>
      <w:r w:rsidR="00D12613" w:rsidRPr="00AE3F1B">
        <w:rPr>
          <w:rFonts w:ascii="Garamond" w:hAnsi="Garamond"/>
          <w:sz w:val="24"/>
          <w:szCs w:val="24"/>
        </w:rPr>
        <w:t>MB) _</w:t>
      </w:r>
      <w:r w:rsidR="00D12613">
        <w:rPr>
          <w:rFonts w:ascii="Garamond" w:hAnsi="Garamond"/>
          <w:sz w:val="24"/>
          <w:szCs w:val="24"/>
        </w:rPr>
        <w:t xml:space="preserve"> </w:t>
      </w:r>
      <w:r w:rsidR="00D12613" w:rsidRPr="00AE3F1B">
        <w:rPr>
          <w:rFonts w:ascii="Garamond" w:hAnsi="Garamond"/>
          <w:sz w:val="24"/>
          <w:szCs w:val="24"/>
        </w:rPr>
        <w:t>(</w:t>
      </w:r>
      <w:r w:rsidRPr="00AE3F1B">
        <w:rPr>
          <w:rFonts w:ascii="Garamond" w:hAnsi="Garamond"/>
          <w:sz w:val="24"/>
          <w:szCs w:val="24"/>
        </w:rPr>
        <w:t>numer obiektu RD).</w:t>
      </w:r>
    </w:p>
    <w:p w14:paraId="780FB8E6" w14:textId="0A015499" w:rsidR="00A6588D" w:rsidRPr="00AE3F1B" w:rsidRDefault="00A6588D">
      <w:pPr>
        <w:numPr>
          <w:ilvl w:val="2"/>
          <w:numId w:val="47"/>
        </w:numPr>
        <w:spacing w:after="154" w:line="249" w:lineRule="auto"/>
        <w:ind w:left="567" w:right="-3" w:hanging="567"/>
        <w:jc w:val="left"/>
        <w:rPr>
          <w:rFonts w:ascii="Garamond" w:hAnsi="Garamond"/>
          <w:sz w:val="24"/>
          <w:szCs w:val="24"/>
        </w:rPr>
      </w:pPr>
      <w:r w:rsidRPr="00AE3F1B">
        <w:rPr>
          <w:rFonts w:ascii="Garamond" w:hAnsi="Garamond"/>
          <w:sz w:val="24"/>
          <w:szCs w:val="24"/>
        </w:rPr>
        <w:t>Kody Punktów Dostarczania Energii (PDE) mają</w:t>
      </w:r>
      <w:r w:rsidR="00D12613">
        <w:rPr>
          <w:rFonts w:ascii="Garamond" w:hAnsi="Garamond"/>
          <w:sz w:val="24"/>
          <w:szCs w:val="24"/>
        </w:rPr>
        <w:t xml:space="preserve"> </w:t>
      </w:r>
      <w:r w:rsidRPr="00AE3F1B">
        <w:rPr>
          <w:rFonts w:ascii="Garamond" w:hAnsi="Garamond"/>
          <w:sz w:val="24"/>
          <w:szCs w:val="24"/>
        </w:rPr>
        <w:t xml:space="preserve">następującą postać: </w:t>
      </w:r>
      <w:r w:rsidRPr="00AE3F1B">
        <w:rPr>
          <w:rFonts w:ascii="Garamond" w:hAnsi="Garamond"/>
          <w:sz w:val="24"/>
          <w:szCs w:val="24"/>
        </w:rPr>
        <w:br/>
      </w:r>
      <w:proofErr w:type="spellStart"/>
      <w:r w:rsidRPr="00AE3F1B">
        <w:rPr>
          <w:rFonts w:ascii="Garamond" w:hAnsi="Garamond"/>
          <w:sz w:val="24"/>
          <w:szCs w:val="24"/>
        </w:rPr>
        <w:t>PDE_AAAA_KodOSD_A_</w:t>
      </w:r>
      <w:r w:rsidR="00D12613" w:rsidRPr="00AE3F1B">
        <w:rPr>
          <w:rFonts w:ascii="Garamond" w:hAnsi="Garamond"/>
          <w:sz w:val="24"/>
          <w:szCs w:val="24"/>
        </w:rPr>
        <w:t>XXXX</w:t>
      </w:r>
      <w:proofErr w:type="spellEnd"/>
      <w:r w:rsidR="00D12613" w:rsidRPr="00AE3F1B">
        <w:rPr>
          <w:rFonts w:ascii="Garamond" w:hAnsi="Garamond"/>
          <w:sz w:val="24"/>
          <w:szCs w:val="24"/>
        </w:rPr>
        <w:t xml:space="preserve"> gdzie</w:t>
      </w:r>
      <w:r w:rsidRPr="00AE3F1B">
        <w:rPr>
          <w:rFonts w:ascii="Garamond" w:hAnsi="Garamond"/>
          <w:sz w:val="24"/>
          <w:szCs w:val="24"/>
        </w:rPr>
        <w:t>:</w:t>
      </w:r>
    </w:p>
    <w:p w14:paraId="0E3546FE" w14:textId="586E6800" w:rsidR="00A6588D" w:rsidRPr="00AE3F1B" w:rsidRDefault="00A6588D" w:rsidP="00D12613">
      <w:pPr>
        <w:spacing w:after="185" w:line="256" w:lineRule="auto"/>
        <w:ind w:left="567" w:right="-3"/>
        <w:jc w:val="left"/>
        <w:rPr>
          <w:rFonts w:ascii="Garamond" w:hAnsi="Garamond"/>
          <w:sz w:val="24"/>
          <w:szCs w:val="24"/>
        </w:rPr>
      </w:pPr>
      <w:r w:rsidRPr="00AE3F1B">
        <w:rPr>
          <w:rFonts w:ascii="Garamond" w:hAnsi="Garamond"/>
          <w:sz w:val="24"/>
          <w:szCs w:val="24"/>
        </w:rPr>
        <w:t xml:space="preserve">(rodzaj </w:t>
      </w:r>
      <w:r w:rsidR="00D12613" w:rsidRPr="00AE3F1B">
        <w:rPr>
          <w:rFonts w:ascii="Garamond" w:hAnsi="Garamond"/>
          <w:sz w:val="24"/>
          <w:szCs w:val="24"/>
        </w:rPr>
        <w:t>obiektu) _ (</w:t>
      </w:r>
      <w:r w:rsidRPr="00AE3F1B">
        <w:rPr>
          <w:rFonts w:ascii="Garamond" w:hAnsi="Garamond"/>
          <w:sz w:val="24"/>
          <w:szCs w:val="24"/>
        </w:rPr>
        <w:t xml:space="preserve">oznaczenie literowe </w:t>
      </w:r>
      <w:r w:rsidR="00D12613" w:rsidRPr="00AE3F1B">
        <w:rPr>
          <w:rFonts w:ascii="Garamond" w:hAnsi="Garamond"/>
          <w:sz w:val="24"/>
          <w:szCs w:val="24"/>
        </w:rPr>
        <w:t>podmiotu) _ (</w:t>
      </w:r>
      <w:r w:rsidRPr="00AE3F1B">
        <w:rPr>
          <w:rFonts w:ascii="Garamond" w:hAnsi="Garamond"/>
          <w:sz w:val="24"/>
          <w:szCs w:val="24"/>
        </w:rPr>
        <w:t xml:space="preserve">kod </w:t>
      </w:r>
      <w:r w:rsidR="00D12613" w:rsidRPr="00AE3F1B">
        <w:rPr>
          <w:rFonts w:ascii="Garamond" w:hAnsi="Garamond"/>
          <w:sz w:val="24"/>
          <w:szCs w:val="24"/>
        </w:rPr>
        <w:t>ID Sp.</w:t>
      </w:r>
      <w:r w:rsidRPr="00AE3F1B">
        <w:rPr>
          <w:rFonts w:ascii="Garamond" w:hAnsi="Garamond"/>
          <w:sz w:val="24"/>
          <w:szCs w:val="24"/>
        </w:rPr>
        <w:t xml:space="preserve"> z o.o.) _ (typ </w:t>
      </w:r>
      <w:r w:rsidR="00D12613" w:rsidRPr="00AE3F1B">
        <w:rPr>
          <w:rFonts w:ascii="Garamond" w:hAnsi="Garamond"/>
          <w:sz w:val="24"/>
          <w:szCs w:val="24"/>
        </w:rPr>
        <w:t>URD) _ (</w:t>
      </w:r>
      <w:r w:rsidRPr="00AE3F1B">
        <w:rPr>
          <w:rFonts w:ascii="Garamond" w:hAnsi="Garamond"/>
          <w:sz w:val="24"/>
          <w:szCs w:val="24"/>
        </w:rPr>
        <w:t>(numer podmiotu).</w:t>
      </w:r>
    </w:p>
    <w:p w14:paraId="2CF1466E" w14:textId="4307639C" w:rsidR="00A6588D" w:rsidRDefault="00A6588D">
      <w:pPr>
        <w:numPr>
          <w:ilvl w:val="2"/>
          <w:numId w:val="47"/>
        </w:numPr>
        <w:spacing w:after="166" w:line="249" w:lineRule="auto"/>
        <w:ind w:left="567" w:right="-3" w:hanging="567"/>
        <w:jc w:val="left"/>
        <w:rPr>
          <w:rFonts w:ascii="Garamond" w:hAnsi="Garamond"/>
          <w:sz w:val="24"/>
          <w:szCs w:val="24"/>
        </w:rPr>
      </w:pPr>
      <w:r w:rsidRPr="00AE3F1B">
        <w:rPr>
          <w:rFonts w:ascii="Garamond" w:hAnsi="Garamond"/>
          <w:sz w:val="24"/>
          <w:szCs w:val="24"/>
        </w:rPr>
        <w:t xml:space="preserve">Kody Fizycznych Punktów Pomiarowych (FPP) mają następującą postać: AAA- AAAXX, gdzie; (kod obiektu </w:t>
      </w:r>
      <w:r w:rsidR="00D12613" w:rsidRPr="00AE3F1B">
        <w:rPr>
          <w:rFonts w:ascii="Garamond" w:hAnsi="Garamond"/>
          <w:sz w:val="24"/>
          <w:szCs w:val="24"/>
        </w:rPr>
        <w:t>energetycznego) -</w:t>
      </w:r>
      <w:r w:rsidRPr="00AE3F1B">
        <w:rPr>
          <w:rFonts w:ascii="Garamond" w:hAnsi="Garamond"/>
          <w:sz w:val="24"/>
          <w:szCs w:val="24"/>
        </w:rPr>
        <w:t>(kod urządzenia energetycznego).</w:t>
      </w:r>
    </w:p>
    <w:p w14:paraId="3215D3D0" w14:textId="77777777" w:rsidR="00D12613" w:rsidRPr="00AE3F1B" w:rsidRDefault="00D12613" w:rsidP="00D12613">
      <w:pPr>
        <w:spacing w:after="166" w:line="249" w:lineRule="auto"/>
        <w:ind w:right="-3"/>
        <w:jc w:val="left"/>
        <w:rPr>
          <w:rFonts w:ascii="Garamond" w:hAnsi="Garamond"/>
          <w:sz w:val="24"/>
          <w:szCs w:val="24"/>
        </w:rPr>
      </w:pPr>
    </w:p>
    <w:p w14:paraId="3F27C0BA" w14:textId="77777777" w:rsidR="00A6588D" w:rsidRPr="00AE3F1B" w:rsidRDefault="00A6588D">
      <w:pPr>
        <w:numPr>
          <w:ilvl w:val="2"/>
          <w:numId w:val="47"/>
        </w:numPr>
        <w:spacing w:after="15" w:line="249" w:lineRule="auto"/>
        <w:ind w:left="567" w:right="-3" w:hanging="567"/>
        <w:jc w:val="left"/>
        <w:rPr>
          <w:rFonts w:ascii="Garamond" w:hAnsi="Garamond"/>
          <w:sz w:val="24"/>
          <w:szCs w:val="24"/>
        </w:rPr>
      </w:pPr>
      <w:r w:rsidRPr="00AE3F1B">
        <w:rPr>
          <w:rFonts w:ascii="Garamond" w:hAnsi="Garamond"/>
          <w:sz w:val="24"/>
          <w:szCs w:val="24"/>
        </w:rPr>
        <w:t>Punkt Poboru Energii (PPE) jest najmniejszą jednostką, dla której odbywa się zbilansowanie dostaw oraz dla której może nastąpić zmiana sprzedawcy. PPE może być zarówno punktem fizycznym, jak i logicznym. Kody PPE mają następującą postać:</w:t>
      </w:r>
    </w:p>
    <w:p w14:paraId="73198672" w14:textId="7B25C198" w:rsidR="00A6588D" w:rsidRPr="00AE3F1B" w:rsidRDefault="00A6588D" w:rsidP="006316A5">
      <w:pPr>
        <w:spacing w:after="165" w:line="256" w:lineRule="auto"/>
        <w:ind w:left="567" w:right="-3"/>
        <w:jc w:val="left"/>
        <w:rPr>
          <w:rFonts w:ascii="Garamond" w:hAnsi="Garamond"/>
          <w:sz w:val="24"/>
          <w:szCs w:val="24"/>
        </w:rPr>
      </w:pPr>
      <w:r w:rsidRPr="00AE3F1B">
        <w:rPr>
          <w:rFonts w:ascii="Garamond" w:hAnsi="Garamond"/>
          <w:sz w:val="24"/>
          <w:szCs w:val="24"/>
        </w:rPr>
        <w:t xml:space="preserve">(kod </w:t>
      </w:r>
      <w:r w:rsidR="00D12613" w:rsidRPr="00AE3F1B">
        <w:rPr>
          <w:rFonts w:ascii="Garamond" w:hAnsi="Garamond"/>
          <w:sz w:val="24"/>
          <w:szCs w:val="24"/>
        </w:rPr>
        <w:t>kraju) _ (</w:t>
      </w:r>
      <w:r w:rsidRPr="00AE3F1B">
        <w:rPr>
          <w:rFonts w:ascii="Garamond" w:hAnsi="Garamond"/>
          <w:sz w:val="24"/>
          <w:szCs w:val="24"/>
        </w:rPr>
        <w:t xml:space="preserve">kod </w:t>
      </w:r>
      <w:r w:rsidR="00D12613" w:rsidRPr="00AE3F1B">
        <w:rPr>
          <w:rFonts w:ascii="Garamond" w:hAnsi="Garamond"/>
          <w:sz w:val="24"/>
          <w:szCs w:val="24"/>
        </w:rPr>
        <w:t>OSD) _ (</w:t>
      </w:r>
      <w:r w:rsidRPr="00AE3F1B">
        <w:rPr>
          <w:rFonts w:ascii="Garamond" w:hAnsi="Garamond"/>
          <w:sz w:val="24"/>
          <w:szCs w:val="24"/>
        </w:rPr>
        <w:t xml:space="preserve">unikalne </w:t>
      </w:r>
      <w:r w:rsidR="00D12613" w:rsidRPr="00AE3F1B">
        <w:rPr>
          <w:rFonts w:ascii="Garamond" w:hAnsi="Garamond"/>
          <w:sz w:val="24"/>
          <w:szCs w:val="24"/>
        </w:rPr>
        <w:t>dopełnienie) _ (</w:t>
      </w:r>
      <w:r w:rsidRPr="00AE3F1B">
        <w:rPr>
          <w:rFonts w:ascii="Garamond" w:hAnsi="Garamond"/>
          <w:sz w:val="24"/>
          <w:szCs w:val="24"/>
        </w:rPr>
        <w:t>liczba kontrolna)</w:t>
      </w:r>
    </w:p>
    <w:p w14:paraId="3547AC51" w14:textId="5F05362F" w:rsidR="00E94C0E" w:rsidRPr="00621703" w:rsidRDefault="000226C4" w:rsidP="00621703">
      <w:pPr>
        <w:numPr>
          <w:ilvl w:val="2"/>
          <w:numId w:val="47"/>
        </w:numPr>
        <w:spacing w:before="240" w:after="296" w:line="276" w:lineRule="auto"/>
        <w:ind w:left="567" w:right="-3" w:hanging="567"/>
        <w:jc w:val="left"/>
        <w:rPr>
          <w:rFonts w:ascii="Garamond" w:hAnsi="Garamond"/>
          <w:sz w:val="24"/>
          <w:szCs w:val="24"/>
        </w:rPr>
      </w:pPr>
      <w:r w:rsidRPr="00AE3F1B">
        <w:rPr>
          <w:rFonts w:ascii="Garamond" w:hAnsi="Garamond"/>
          <w:sz w:val="24"/>
          <w:szCs w:val="24"/>
        </w:rPr>
        <w:t xml:space="preserve">Punkt poboru energii (PPE) jest </w:t>
      </w:r>
      <w:r w:rsidR="00D12613" w:rsidRPr="00AE3F1B">
        <w:rPr>
          <w:rFonts w:ascii="Garamond" w:hAnsi="Garamond"/>
          <w:sz w:val="24"/>
          <w:szCs w:val="24"/>
        </w:rPr>
        <w:t>najmniejszą jednostką,</w:t>
      </w:r>
      <w:r w:rsidRPr="00AE3F1B">
        <w:rPr>
          <w:rFonts w:ascii="Garamond" w:hAnsi="Garamond"/>
          <w:sz w:val="24"/>
          <w:szCs w:val="24"/>
        </w:rPr>
        <w:t xml:space="preserve"> dla której odbywa się zbilansowanie dostaw oraz dla której może nastąpić zmiana sprzedawcy. Kod PPE jest niezmiennym numerem jednoznacznie identyfikującym PPE </w:t>
      </w:r>
      <w:r w:rsidR="00E94C0E" w:rsidRPr="00AE3F1B">
        <w:rPr>
          <w:rFonts w:ascii="Garamond" w:hAnsi="Garamond"/>
          <w:sz w:val="24"/>
          <w:szCs w:val="24"/>
        </w:rPr>
        <w:t>zgodny z międzynarodowym standardem GS1/GSRN</w:t>
      </w:r>
      <w:r w:rsidR="00E94C0E" w:rsidRPr="00AE3F1B">
        <w:rPr>
          <w:rFonts w:ascii="Garamond" w:hAnsi="Garamond"/>
          <w:sz w:val="24"/>
          <w:szCs w:val="24"/>
        </w:rPr>
        <w:br/>
      </w:r>
      <w:r w:rsidRPr="00AE3F1B">
        <w:rPr>
          <w:rFonts w:ascii="Garamond" w:hAnsi="Garamond"/>
          <w:sz w:val="24"/>
          <w:szCs w:val="24"/>
        </w:rPr>
        <w:t>o następującej treści:</w:t>
      </w:r>
      <w:r w:rsidR="00E94C0E" w:rsidRPr="00621703">
        <w:rPr>
          <w:rFonts w:ascii="Garamond" w:hAnsi="Garamond"/>
          <w:sz w:val="24"/>
          <w:szCs w:val="24"/>
        </w:rPr>
        <w:br/>
      </w:r>
      <w:r w:rsidR="00621703">
        <w:rPr>
          <w:rFonts w:ascii="Garamond" w:hAnsi="Garamond"/>
          <w:sz w:val="24"/>
          <w:szCs w:val="24"/>
        </w:rPr>
        <w:t xml:space="preserve"> </w:t>
      </w:r>
      <w:r w:rsidR="00621703">
        <w:rPr>
          <w:rFonts w:ascii="Garamond" w:hAnsi="Garamond"/>
          <w:sz w:val="24"/>
          <w:szCs w:val="24"/>
        </w:rPr>
        <w:tab/>
      </w:r>
      <w:r w:rsidR="00621703">
        <w:rPr>
          <w:rFonts w:ascii="Garamond" w:hAnsi="Garamond"/>
          <w:sz w:val="24"/>
          <w:szCs w:val="24"/>
        </w:rPr>
        <w:tab/>
      </w:r>
      <w:r w:rsidR="00621703">
        <w:rPr>
          <w:rFonts w:ascii="Garamond" w:hAnsi="Garamond"/>
          <w:sz w:val="24"/>
          <w:szCs w:val="24"/>
        </w:rPr>
        <w:tab/>
      </w:r>
      <w:r w:rsidR="00621703">
        <w:rPr>
          <w:rFonts w:ascii="Garamond" w:hAnsi="Garamond"/>
          <w:sz w:val="24"/>
          <w:szCs w:val="24"/>
        </w:rPr>
        <w:tab/>
      </w:r>
      <w:r w:rsidR="00E94C0E" w:rsidRPr="00621703">
        <w:rPr>
          <w:rFonts w:ascii="Garamond" w:hAnsi="Garamond"/>
          <w:sz w:val="24"/>
          <w:szCs w:val="24"/>
        </w:rPr>
        <w:t>(590)(J1J2J3J4)(S1S2S3S4S5S6S7S8S9S10)(K)</w:t>
      </w:r>
      <w:r w:rsidR="00E94C0E" w:rsidRPr="00621703">
        <w:rPr>
          <w:rFonts w:ascii="Garamond" w:hAnsi="Garamond"/>
          <w:sz w:val="24"/>
          <w:szCs w:val="24"/>
        </w:rPr>
        <w:br/>
        <w:t>gdzie:</w:t>
      </w:r>
      <w:r w:rsidR="00E94C0E" w:rsidRPr="00621703">
        <w:rPr>
          <w:rFonts w:ascii="Garamond" w:hAnsi="Garamond"/>
          <w:sz w:val="24"/>
          <w:szCs w:val="24"/>
        </w:rPr>
        <w:br/>
        <w:t>590 – prefiks dla polskiej organizacji GS1,</w:t>
      </w:r>
      <w:r w:rsidR="00E94C0E" w:rsidRPr="00621703">
        <w:rPr>
          <w:rFonts w:ascii="Garamond" w:hAnsi="Garamond"/>
          <w:sz w:val="24"/>
          <w:szCs w:val="24"/>
        </w:rPr>
        <w:br/>
        <w:t>J1J2J3J4 – numer Industria Dystrybucja nadany przez polską organizację GS1,</w:t>
      </w:r>
      <w:r w:rsidR="00E94C0E" w:rsidRPr="00621703">
        <w:rPr>
          <w:rFonts w:ascii="Garamond" w:hAnsi="Garamond"/>
          <w:sz w:val="24"/>
          <w:szCs w:val="24"/>
        </w:rPr>
        <w:br/>
      </w:r>
      <w:r w:rsidR="00E94C0E" w:rsidRPr="00621703">
        <w:rPr>
          <w:rFonts w:ascii="Garamond" w:hAnsi="Garamond"/>
          <w:sz w:val="24"/>
          <w:szCs w:val="24"/>
        </w:rPr>
        <w:lastRenderedPageBreak/>
        <w:t>S1S2S3S4S5S6S7S8S9S10 – unikalna liczba nadana przez Industrię Dystrybucję dla danego PPE,</w:t>
      </w:r>
      <w:r w:rsidR="00E94C0E" w:rsidRPr="00621703">
        <w:rPr>
          <w:rFonts w:ascii="Garamond" w:hAnsi="Garamond"/>
          <w:sz w:val="24"/>
          <w:szCs w:val="24"/>
        </w:rPr>
        <w:br/>
        <w:t>K – cyfra kontrolna wyznaczona zgodnie z algorytmem publikowanym przez organizacje GS1.</w:t>
      </w:r>
      <w:r w:rsidR="00E94C0E" w:rsidRPr="00621703">
        <w:rPr>
          <w:rFonts w:ascii="Garamond" w:hAnsi="Garamond"/>
          <w:sz w:val="24"/>
          <w:szCs w:val="24"/>
        </w:rPr>
        <w:br/>
        <w:t>W przypadku drukowania kodu PPE w postaci kodu kreskowego będzie on poprzedzony prefiksem 8018, oznaczającym, że kod ten dotyczy PPE.</w:t>
      </w:r>
    </w:p>
    <w:p w14:paraId="19AA5E4B" w14:textId="77777777" w:rsidR="007F3A2D" w:rsidRDefault="007F3A2D">
      <w:pPr>
        <w:numPr>
          <w:ilvl w:val="2"/>
          <w:numId w:val="47"/>
        </w:numPr>
        <w:spacing w:after="296" w:line="249" w:lineRule="auto"/>
        <w:ind w:left="567" w:right="-3" w:hanging="567"/>
        <w:jc w:val="left"/>
        <w:rPr>
          <w:rFonts w:ascii="Garamond" w:hAnsi="Garamond"/>
          <w:sz w:val="24"/>
          <w:szCs w:val="24"/>
        </w:rPr>
      </w:pPr>
      <w:r w:rsidRPr="00AE3F1B">
        <w:rPr>
          <w:rFonts w:ascii="Garamond" w:hAnsi="Garamond"/>
          <w:sz w:val="24"/>
          <w:szCs w:val="24"/>
        </w:rPr>
        <w:t xml:space="preserve">Zmiana kodów PPE nadanych przez </w:t>
      </w:r>
      <w:r w:rsidR="000226C4" w:rsidRPr="00AE3F1B">
        <w:rPr>
          <w:rFonts w:ascii="Garamond" w:hAnsi="Garamond"/>
          <w:sz w:val="24"/>
          <w:szCs w:val="24"/>
        </w:rPr>
        <w:t>ID Sp. z o.o.</w:t>
      </w:r>
      <w:r w:rsidRPr="00AE3F1B">
        <w:rPr>
          <w:rFonts w:ascii="Garamond" w:hAnsi="Garamond"/>
          <w:sz w:val="24"/>
          <w:szCs w:val="24"/>
        </w:rPr>
        <w:t xml:space="preserve"> nie wymaga zmiany umów na podstawie których dostarczana jest energia elektryczna do PPE.</w:t>
      </w:r>
    </w:p>
    <w:p w14:paraId="5E4CC76B" w14:textId="60482FC3" w:rsidR="00ED1DFE" w:rsidRDefault="00C73787" w:rsidP="00ED1DFE">
      <w:pPr>
        <w:rPr>
          <w:color w:val="0070C0"/>
          <w:sz w:val="24"/>
          <w:szCs w:val="24"/>
        </w:rPr>
      </w:pPr>
      <w:r w:rsidRPr="00C73787">
        <w:rPr>
          <w:color w:val="0070C0"/>
          <w:sz w:val="24"/>
          <w:szCs w:val="24"/>
        </w:rPr>
        <w:t xml:space="preserve">A.4. </w:t>
      </w:r>
      <w:r w:rsidR="00CC4646">
        <w:rPr>
          <w:color w:val="0070C0"/>
          <w:sz w:val="24"/>
          <w:szCs w:val="24"/>
        </w:rPr>
        <w:t>Wdrożenie centralnego systemu informacji rynku energii (CSIRE)</w:t>
      </w:r>
    </w:p>
    <w:p w14:paraId="43B9F843" w14:textId="29175ACE" w:rsidR="00C73787" w:rsidRPr="00C73787" w:rsidRDefault="00CC4646" w:rsidP="00F81DAE">
      <w:pPr>
        <w:ind w:left="567" w:hanging="567"/>
        <w:rPr>
          <w:color w:val="0070C0"/>
          <w:sz w:val="24"/>
          <w:szCs w:val="24"/>
        </w:rPr>
      </w:pPr>
      <w:r w:rsidRPr="00C73787">
        <w:rPr>
          <w:color w:val="0070C0"/>
          <w:sz w:val="24"/>
          <w:szCs w:val="24"/>
        </w:rPr>
        <w:t>A.4.1.</w:t>
      </w:r>
      <w:r>
        <w:rPr>
          <w:color w:val="0070C0"/>
          <w:sz w:val="24"/>
          <w:szCs w:val="24"/>
        </w:rPr>
        <w:t xml:space="preserve"> </w:t>
      </w:r>
      <w:r w:rsidR="00C73787" w:rsidRPr="00C73787">
        <w:rPr>
          <w:color w:val="0070C0"/>
          <w:sz w:val="24"/>
          <w:szCs w:val="24"/>
        </w:rPr>
        <w:t>Z dniem uruchomienia produkcyjnego CSIRE, wymiana informacji rynku energii oraz realizacja procesów rynku detalicznego (w tym zmiana sprzedawcy) odbywać się będzie za pośrednictwem systemu CSIRE, zgodnie z ustawą Prawo energetyczne.</w:t>
      </w:r>
    </w:p>
    <w:p w14:paraId="011C7029" w14:textId="4C5D33EA" w:rsidR="00C73787" w:rsidRDefault="00CC4646" w:rsidP="00CC4646">
      <w:pPr>
        <w:ind w:left="567" w:hanging="567"/>
        <w:rPr>
          <w:color w:val="0070C0"/>
          <w:sz w:val="24"/>
          <w:szCs w:val="24"/>
        </w:rPr>
      </w:pPr>
      <w:r w:rsidRPr="00C73787">
        <w:rPr>
          <w:color w:val="0070C0"/>
          <w:sz w:val="24"/>
          <w:szCs w:val="24"/>
        </w:rPr>
        <w:t xml:space="preserve">A.4.2. </w:t>
      </w:r>
      <w:r w:rsidR="00C73787" w:rsidRPr="00C73787">
        <w:rPr>
          <w:color w:val="0070C0"/>
          <w:sz w:val="24"/>
          <w:szCs w:val="24"/>
        </w:rPr>
        <w:t>Do czasu wdrożenia CSIRE stosuje się procedury określone w niniejszej Instrukcji. Sprzedawcy energii zobowiązani są do dostosowania systemów i umów do wymagań CSIRE w terminach ustawowych.</w:t>
      </w:r>
    </w:p>
    <w:p w14:paraId="09189AFF" w14:textId="77777777" w:rsidR="00CC4646" w:rsidRPr="00CC4646" w:rsidRDefault="00CC4646" w:rsidP="00CC4646">
      <w:pPr>
        <w:ind w:left="567" w:hanging="567"/>
        <w:rPr>
          <w:color w:val="0070C0"/>
          <w:sz w:val="24"/>
          <w:szCs w:val="24"/>
        </w:rPr>
      </w:pPr>
    </w:p>
    <w:p w14:paraId="37F025EF" w14:textId="77777777" w:rsidR="007F3A2D" w:rsidRPr="001F3AF3" w:rsidRDefault="00276C20">
      <w:pPr>
        <w:pStyle w:val="Akapitzlist"/>
        <w:numPr>
          <w:ilvl w:val="0"/>
          <w:numId w:val="44"/>
        </w:numPr>
        <w:spacing w:after="0" w:line="248" w:lineRule="auto"/>
        <w:ind w:left="567" w:right="-3" w:hanging="567"/>
        <w:jc w:val="left"/>
        <w:rPr>
          <w:rFonts w:asciiTheme="majorHAnsi" w:hAnsiTheme="majorHAnsi"/>
          <w:sz w:val="24"/>
          <w:szCs w:val="24"/>
        </w:rPr>
      </w:pPr>
      <w:r w:rsidRPr="001F3AF3">
        <w:rPr>
          <w:rFonts w:asciiTheme="majorHAnsi" w:hAnsiTheme="majorHAnsi"/>
          <w:b/>
          <w:bCs/>
          <w:sz w:val="24"/>
          <w:szCs w:val="24"/>
        </w:rPr>
        <w:t xml:space="preserve">Procedura zgłoszenia do realizacji umów sprzedaży energii elektrycznej </w:t>
      </w:r>
      <w:r w:rsidRPr="001F3AF3">
        <w:rPr>
          <w:rFonts w:asciiTheme="majorHAnsi" w:hAnsiTheme="majorHAnsi"/>
          <w:b/>
          <w:bCs/>
          <w:sz w:val="24"/>
          <w:szCs w:val="24"/>
        </w:rPr>
        <w:br/>
        <w:t>oraz zawierania umów dystrybucji z URD</w:t>
      </w:r>
      <w:r w:rsidRPr="001F3AF3">
        <w:rPr>
          <w:rFonts w:asciiTheme="majorHAnsi" w:hAnsiTheme="majorHAnsi"/>
          <w:b/>
          <w:bCs/>
          <w:sz w:val="24"/>
          <w:szCs w:val="24"/>
          <w:vertAlign w:val="subscript"/>
        </w:rPr>
        <w:t>O</w:t>
      </w:r>
      <w:r w:rsidRPr="001F3AF3">
        <w:rPr>
          <w:rFonts w:asciiTheme="majorHAnsi" w:hAnsiTheme="majorHAnsi"/>
          <w:b/>
          <w:bCs/>
          <w:sz w:val="24"/>
          <w:szCs w:val="24"/>
        </w:rPr>
        <w:t>, URD</w:t>
      </w:r>
      <w:r w:rsidRPr="001F3AF3">
        <w:rPr>
          <w:rFonts w:asciiTheme="majorHAnsi" w:hAnsiTheme="majorHAnsi"/>
          <w:b/>
          <w:bCs/>
          <w:sz w:val="24"/>
          <w:szCs w:val="24"/>
          <w:vertAlign w:val="subscript"/>
        </w:rPr>
        <w:t>W</w:t>
      </w:r>
      <w:r w:rsidRPr="001F3AF3">
        <w:rPr>
          <w:rFonts w:asciiTheme="majorHAnsi" w:hAnsiTheme="majorHAnsi"/>
          <w:b/>
          <w:bCs/>
          <w:sz w:val="24"/>
          <w:szCs w:val="24"/>
        </w:rPr>
        <w:t xml:space="preserve"> oraz URD</w:t>
      </w:r>
      <w:r w:rsidRPr="001F3AF3">
        <w:rPr>
          <w:rFonts w:asciiTheme="majorHAnsi" w:hAnsiTheme="majorHAnsi"/>
          <w:b/>
          <w:bCs/>
          <w:sz w:val="24"/>
          <w:szCs w:val="24"/>
          <w:vertAlign w:val="subscript"/>
        </w:rPr>
        <w:t>ME</w:t>
      </w:r>
    </w:p>
    <w:p w14:paraId="12EC0EA1" w14:textId="31A57C30" w:rsidR="007F3A2D" w:rsidRPr="001F3AF3" w:rsidRDefault="00C73787" w:rsidP="00175586">
      <w:pPr>
        <w:spacing w:after="59" w:line="248" w:lineRule="auto"/>
        <w:ind w:left="567" w:right="-3" w:hanging="567"/>
        <w:jc w:val="left"/>
        <w:rPr>
          <w:rFonts w:asciiTheme="majorHAnsi" w:hAnsiTheme="majorHAnsi"/>
          <w:sz w:val="24"/>
          <w:szCs w:val="24"/>
        </w:rPr>
      </w:pPr>
      <w:r w:rsidRPr="001F3AF3">
        <w:rPr>
          <w:rFonts w:asciiTheme="majorHAnsi" w:hAnsiTheme="majorHAnsi"/>
          <w:sz w:val="24"/>
          <w:szCs w:val="24"/>
        </w:rPr>
        <w:t xml:space="preserve">B.1. </w:t>
      </w:r>
      <w:r w:rsidR="00A81305">
        <w:rPr>
          <w:rFonts w:asciiTheme="majorHAnsi" w:hAnsiTheme="majorHAnsi"/>
          <w:sz w:val="24"/>
          <w:szCs w:val="24"/>
        </w:rPr>
        <w:tab/>
      </w:r>
      <w:r w:rsidRPr="001F3AF3">
        <w:rPr>
          <w:rFonts w:asciiTheme="majorHAnsi" w:hAnsiTheme="majorHAnsi"/>
          <w:sz w:val="24"/>
          <w:szCs w:val="24"/>
        </w:rPr>
        <w:t>Zasady</w:t>
      </w:r>
      <w:r w:rsidR="007F3A2D" w:rsidRPr="001F3AF3">
        <w:rPr>
          <w:rFonts w:asciiTheme="majorHAnsi" w:hAnsiTheme="majorHAnsi"/>
          <w:sz w:val="24"/>
          <w:szCs w:val="24"/>
        </w:rPr>
        <w:t xml:space="preserve"> ogólne</w:t>
      </w:r>
    </w:p>
    <w:p w14:paraId="04F9F0F0" w14:textId="6E2168A5" w:rsidR="007F3A2D" w:rsidRPr="00AE3F1B" w:rsidRDefault="00CC4646" w:rsidP="00A81305">
      <w:pPr>
        <w:spacing w:after="182" w:line="249" w:lineRule="auto"/>
        <w:ind w:left="567" w:right="-3" w:hanging="567"/>
        <w:jc w:val="left"/>
        <w:rPr>
          <w:rFonts w:ascii="Garamond" w:hAnsi="Garamond"/>
          <w:sz w:val="24"/>
          <w:szCs w:val="24"/>
        </w:rPr>
      </w:pPr>
      <w:r w:rsidRPr="00AE3F1B">
        <w:rPr>
          <w:rFonts w:ascii="Garamond" w:hAnsi="Garamond"/>
          <w:sz w:val="24"/>
          <w:szCs w:val="24"/>
        </w:rPr>
        <w:t>B.</w:t>
      </w:r>
      <w:r w:rsidR="005B3AD1">
        <w:rPr>
          <w:rFonts w:ascii="Garamond" w:hAnsi="Garamond"/>
          <w:sz w:val="24"/>
          <w:szCs w:val="24"/>
        </w:rPr>
        <w:t>1</w:t>
      </w:r>
      <w:r w:rsidRPr="00AE3F1B">
        <w:rPr>
          <w:rFonts w:ascii="Garamond" w:hAnsi="Garamond"/>
          <w:sz w:val="24"/>
          <w:szCs w:val="24"/>
        </w:rPr>
        <w:t>.</w:t>
      </w:r>
      <w:r w:rsidR="005B3AD1">
        <w:rPr>
          <w:rFonts w:ascii="Garamond" w:hAnsi="Garamond"/>
          <w:sz w:val="24"/>
          <w:szCs w:val="24"/>
        </w:rPr>
        <w:t>1</w:t>
      </w:r>
      <w:r w:rsidRPr="00AE3F1B">
        <w:rPr>
          <w:rFonts w:ascii="Garamond" w:hAnsi="Garamond"/>
          <w:sz w:val="24"/>
          <w:szCs w:val="24"/>
        </w:rPr>
        <w:t>.</w:t>
      </w:r>
      <w:r w:rsidR="00A81305">
        <w:rPr>
          <w:rFonts w:ascii="Garamond" w:hAnsi="Garamond"/>
          <w:sz w:val="24"/>
          <w:szCs w:val="24"/>
        </w:rPr>
        <w:t xml:space="preserve"> </w:t>
      </w:r>
      <w:r w:rsidR="00A81305">
        <w:rPr>
          <w:rFonts w:ascii="Garamond" w:hAnsi="Garamond"/>
          <w:sz w:val="24"/>
          <w:szCs w:val="24"/>
        </w:rPr>
        <w:tab/>
      </w:r>
      <w:r w:rsidR="00C73787" w:rsidRPr="00AE3F1B">
        <w:rPr>
          <w:rFonts w:ascii="Garamond" w:hAnsi="Garamond"/>
          <w:sz w:val="24"/>
          <w:szCs w:val="24"/>
        </w:rPr>
        <w:t>Sprzedawca</w:t>
      </w:r>
      <w:r w:rsidR="007F3A2D" w:rsidRPr="00AE3F1B">
        <w:rPr>
          <w:rFonts w:ascii="Garamond" w:hAnsi="Garamond"/>
          <w:sz w:val="24"/>
          <w:szCs w:val="24"/>
        </w:rPr>
        <w:t xml:space="preserve"> jako jedna ze stron umowy sprzedaży, zgłasza do OSD</w:t>
      </w:r>
      <w:r w:rsidR="00752FE1" w:rsidRPr="00AE3F1B">
        <w:rPr>
          <w:rFonts w:ascii="Garamond" w:hAnsi="Garamond"/>
          <w:sz w:val="24"/>
          <w:szCs w:val="24"/>
        </w:rPr>
        <w:t>n</w:t>
      </w:r>
      <w:r w:rsidR="007F3A2D" w:rsidRPr="00AE3F1B">
        <w:rPr>
          <w:rFonts w:ascii="Garamond" w:hAnsi="Garamond"/>
          <w:sz w:val="24"/>
          <w:szCs w:val="24"/>
        </w:rPr>
        <w:t xml:space="preserve"> w formie </w:t>
      </w:r>
      <w:r w:rsidRPr="00AE3F1B">
        <w:rPr>
          <w:rFonts w:ascii="Garamond" w:hAnsi="Garamond"/>
          <w:sz w:val="24"/>
          <w:szCs w:val="24"/>
        </w:rPr>
        <w:t xml:space="preserve">powiadomienia, </w:t>
      </w:r>
      <w:r w:rsidR="00A81305" w:rsidRPr="00AE3F1B">
        <w:rPr>
          <w:rFonts w:ascii="Garamond" w:hAnsi="Garamond"/>
          <w:sz w:val="24"/>
          <w:szCs w:val="24"/>
        </w:rPr>
        <w:t>imieniu własnym i URDO, informacje o zawartej umowie sprzedaży energii elektrycznej na co</w:t>
      </w:r>
      <w:r w:rsidR="00A81305">
        <w:rPr>
          <w:rFonts w:ascii="Garamond" w:hAnsi="Garamond"/>
          <w:sz w:val="24"/>
          <w:szCs w:val="24"/>
        </w:rPr>
        <w:t xml:space="preserve"> </w:t>
      </w:r>
      <w:r w:rsidR="00A81305" w:rsidRPr="00AE3F1B">
        <w:rPr>
          <w:rFonts w:ascii="Garamond" w:hAnsi="Garamond"/>
          <w:sz w:val="24"/>
          <w:szCs w:val="24"/>
        </w:rPr>
        <w:t>najmniej 21 dni kalendarzowych przed planowaną datą rozpoczęcia sprzedaży.</w:t>
      </w:r>
    </w:p>
    <w:p w14:paraId="039CCE61" w14:textId="77777777" w:rsidR="007F3A2D" w:rsidRPr="00AE3F1B" w:rsidRDefault="007F3A2D" w:rsidP="00175586">
      <w:pPr>
        <w:spacing w:after="129" w:line="249" w:lineRule="auto"/>
        <w:ind w:left="567" w:right="-3" w:hanging="567"/>
        <w:jc w:val="left"/>
        <w:rPr>
          <w:rFonts w:ascii="Garamond" w:hAnsi="Garamond"/>
          <w:sz w:val="24"/>
          <w:szCs w:val="24"/>
        </w:rPr>
      </w:pPr>
      <w:r w:rsidRPr="00AE3F1B">
        <w:rPr>
          <w:rFonts w:ascii="Garamond" w:hAnsi="Garamond"/>
          <w:sz w:val="24"/>
          <w:szCs w:val="24"/>
        </w:rPr>
        <w:t xml:space="preserve">B.1.2. Powiadomienie, o którym mowa powyżej, jest dokonywane na formularzu określonym przez </w:t>
      </w:r>
      <w:r w:rsidR="00752FE1" w:rsidRPr="00AE3F1B">
        <w:rPr>
          <w:rFonts w:ascii="Garamond" w:hAnsi="Garamond"/>
          <w:sz w:val="24"/>
          <w:szCs w:val="24"/>
        </w:rPr>
        <w:br/>
        <w:t>ID</w:t>
      </w:r>
      <w:r w:rsidRPr="00AE3F1B">
        <w:rPr>
          <w:rFonts w:ascii="Garamond" w:hAnsi="Garamond"/>
          <w:sz w:val="24"/>
          <w:szCs w:val="24"/>
        </w:rPr>
        <w:t xml:space="preserve"> Sp. z o.o., zawierającym co najmniej:</w:t>
      </w:r>
    </w:p>
    <w:p w14:paraId="31A612A4" w14:textId="77777777" w:rsidR="007F3A2D" w:rsidRPr="00CC4646" w:rsidRDefault="007F3A2D">
      <w:pPr>
        <w:pStyle w:val="Akapitzlist"/>
        <w:numPr>
          <w:ilvl w:val="0"/>
          <w:numId w:val="165"/>
        </w:numPr>
        <w:spacing w:after="15" w:line="249" w:lineRule="auto"/>
        <w:ind w:right="-3"/>
        <w:jc w:val="left"/>
        <w:rPr>
          <w:rFonts w:ascii="Garamond" w:hAnsi="Garamond"/>
          <w:sz w:val="24"/>
          <w:szCs w:val="24"/>
        </w:rPr>
      </w:pPr>
      <w:r w:rsidRPr="00CC4646">
        <w:rPr>
          <w:rFonts w:ascii="Garamond" w:hAnsi="Garamond"/>
          <w:sz w:val="24"/>
          <w:szCs w:val="24"/>
        </w:rPr>
        <w:t>oznaczenie stron umowy wraz z ich danymi teleadresowymi,</w:t>
      </w:r>
    </w:p>
    <w:p w14:paraId="4B25E848" w14:textId="77777777" w:rsidR="007F3A2D" w:rsidRPr="00CC4646" w:rsidRDefault="007F3A2D">
      <w:pPr>
        <w:pStyle w:val="Akapitzlist"/>
        <w:numPr>
          <w:ilvl w:val="0"/>
          <w:numId w:val="165"/>
        </w:numPr>
        <w:spacing w:after="15" w:line="249" w:lineRule="auto"/>
        <w:ind w:right="-3"/>
        <w:jc w:val="left"/>
        <w:rPr>
          <w:rFonts w:ascii="Garamond" w:hAnsi="Garamond"/>
          <w:sz w:val="24"/>
          <w:szCs w:val="24"/>
        </w:rPr>
      </w:pPr>
      <w:r w:rsidRPr="00CC4646">
        <w:rPr>
          <w:rFonts w:ascii="Garamond" w:hAnsi="Garamond"/>
          <w:sz w:val="24"/>
          <w:szCs w:val="24"/>
        </w:rPr>
        <w:t>informację o adresie obiektu, którego zgłoszenie dotyczy,</w:t>
      </w:r>
    </w:p>
    <w:p w14:paraId="084CEFAC" w14:textId="77777777" w:rsidR="007F3A2D" w:rsidRPr="00CC4646" w:rsidRDefault="007F3A2D">
      <w:pPr>
        <w:pStyle w:val="Akapitzlist"/>
        <w:numPr>
          <w:ilvl w:val="0"/>
          <w:numId w:val="165"/>
        </w:numPr>
        <w:spacing w:after="15" w:line="249" w:lineRule="auto"/>
        <w:ind w:right="-3"/>
        <w:jc w:val="left"/>
        <w:rPr>
          <w:rFonts w:ascii="Garamond" w:hAnsi="Garamond"/>
          <w:sz w:val="24"/>
          <w:szCs w:val="24"/>
        </w:rPr>
      </w:pPr>
      <w:r w:rsidRPr="00CC4646">
        <w:rPr>
          <w:rFonts w:ascii="Garamond" w:hAnsi="Garamond"/>
          <w:sz w:val="24"/>
          <w:szCs w:val="24"/>
        </w:rPr>
        <w:t>informację o okresie obowiązywania umowy,</w:t>
      </w:r>
    </w:p>
    <w:p w14:paraId="0A9340FA" w14:textId="77777777" w:rsidR="007F3A2D" w:rsidRPr="00CC4646" w:rsidRDefault="007F3A2D">
      <w:pPr>
        <w:pStyle w:val="Akapitzlist"/>
        <w:numPr>
          <w:ilvl w:val="0"/>
          <w:numId w:val="165"/>
        </w:numPr>
        <w:spacing w:after="15" w:line="249" w:lineRule="auto"/>
        <w:ind w:right="-3"/>
        <w:jc w:val="left"/>
        <w:rPr>
          <w:rFonts w:ascii="Garamond" w:hAnsi="Garamond"/>
          <w:sz w:val="24"/>
          <w:szCs w:val="24"/>
        </w:rPr>
      </w:pPr>
      <w:r w:rsidRPr="00CC4646">
        <w:rPr>
          <w:rFonts w:ascii="Garamond" w:hAnsi="Garamond"/>
          <w:sz w:val="24"/>
          <w:szCs w:val="24"/>
        </w:rPr>
        <w:t>informację o dacie rozwiązania dotychczasowej umowy sprzedaży,</w:t>
      </w:r>
    </w:p>
    <w:p w14:paraId="4E305FBB" w14:textId="77777777" w:rsidR="007F3A2D" w:rsidRPr="00CC4646" w:rsidRDefault="007F3A2D">
      <w:pPr>
        <w:pStyle w:val="Akapitzlist"/>
        <w:numPr>
          <w:ilvl w:val="0"/>
          <w:numId w:val="165"/>
        </w:numPr>
        <w:spacing w:after="110" w:line="249" w:lineRule="auto"/>
        <w:ind w:right="-3"/>
        <w:jc w:val="left"/>
        <w:rPr>
          <w:rFonts w:ascii="Garamond" w:hAnsi="Garamond"/>
          <w:sz w:val="24"/>
          <w:szCs w:val="24"/>
        </w:rPr>
      </w:pPr>
      <w:r w:rsidRPr="00CC4646">
        <w:rPr>
          <w:rFonts w:ascii="Garamond" w:hAnsi="Garamond"/>
          <w:sz w:val="24"/>
          <w:szCs w:val="24"/>
        </w:rPr>
        <w:t xml:space="preserve">informację o planowanej ilości energii objętej umową w podziale na okresy określone przez </w:t>
      </w:r>
      <w:r w:rsidR="00752FE1" w:rsidRPr="00CC4646">
        <w:rPr>
          <w:rFonts w:ascii="Garamond" w:hAnsi="Garamond"/>
          <w:sz w:val="24"/>
          <w:szCs w:val="24"/>
        </w:rPr>
        <w:t>ID</w:t>
      </w:r>
      <w:r w:rsidRPr="00CC4646">
        <w:rPr>
          <w:rFonts w:ascii="Garamond" w:hAnsi="Garamond"/>
          <w:sz w:val="24"/>
          <w:szCs w:val="24"/>
        </w:rPr>
        <w:t xml:space="preserve"> Sp. z o.o.</w:t>
      </w:r>
    </w:p>
    <w:p w14:paraId="30D56984" w14:textId="77777777" w:rsidR="007F3A2D" w:rsidRPr="00AE3F1B" w:rsidRDefault="007F3A2D" w:rsidP="00CC4646">
      <w:pPr>
        <w:spacing w:after="154" w:line="249" w:lineRule="auto"/>
        <w:ind w:left="567" w:right="-3" w:hanging="207"/>
        <w:jc w:val="left"/>
        <w:rPr>
          <w:rFonts w:ascii="Garamond" w:hAnsi="Garamond"/>
          <w:sz w:val="24"/>
          <w:szCs w:val="24"/>
        </w:rPr>
      </w:pPr>
      <w:r w:rsidRPr="00AE3F1B">
        <w:rPr>
          <w:rFonts w:ascii="Garamond" w:hAnsi="Garamond"/>
          <w:sz w:val="24"/>
          <w:szCs w:val="24"/>
        </w:rPr>
        <w:t xml:space="preserve">Wzór formularza dostępny jest na stronie internetowej </w:t>
      </w:r>
      <w:r w:rsidR="00752FE1" w:rsidRPr="00AE3F1B">
        <w:rPr>
          <w:rFonts w:ascii="Garamond" w:hAnsi="Garamond"/>
          <w:sz w:val="24"/>
          <w:szCs w:val="24"/>
        </w:rPr>
        <w:t>ID</w:t>
      </w:r>
      <w:r w:rsidRPr="00AE3F1B">
        <w:rPr>
          <w:rFonts w:ascii="Garamond" w:hAnsi="Garamond"/>
          <w:sz w:val="24"/>
          <w:szCs w:val="24"/>
        </w:rPr>
        <w:t xml:space="preserve"> Sp. z o.o.</w:t>
      </w:r>
    </w:p>
    <w:p w14:paraId="063DCBF7" w14:textId="77777777" w:rsidR="007F3A2D" w:rsidRPr="00AE3F1B" w:rsidRDefault="007F3A2D" w:rsidP="00CC4646">
      <w:pPr>
        <w:spacing w:line="249" w:lineRule="auto"/>
        <w:ind w:left="567" w:right="-3" w:hanging="567"/>
        <w:jc w:val="left"/>
        <w:rPr>
          <w:rFonts w:ascii="Garamond" w:hAnsi="Garamond"/>
          <w:sz w:val="24"/>
          <w:szCs w:val="24"/>
        </w:rPr>
      </w:pPr>
      <w:r w:rsidRPr="00AE3F1B">
        <w:rPr>
          <w:rFonts w:ascii="Garamond" w:hAnsi="Garamond"/>
          <w:sz w:val="24"/>
          <w:szCs w:val="24"/>
        </w:rPr>
        <w:t xml:space="preserve">B.1.3. Strony umowy sprzedaży energii elektrycznej są zobowiązane do informowania </w:t>
      </w:r>
      <w:r w:rsidR="00752FE1" w:rsidRPr="00AE3F1B">
        <w:rPr>
          <w:rFonts w:ascii="Garamond" w:hAnsi="Garamond"/>
          <w:sz w:val="24"/>
          <w:szCs w:val="24"/>
        </w:rPr>
        <w:t>ID</w:t>
      </w:r>
      <w:r w:rsidRPr="00AE3F1B">
        <w:rPr>
          <w:rFonts w:ascii="Garamond" w:hAnsi="Garamond"/>
          <w:sz w:val="24"/>
          <w:szCs w:val="24"/>
        </w:rPr>
        <w:t xml:space="preserve"> Sp. z o.o. </w:t>
      </w:r>
      <w:r w:rsidR="00752FE1" w:rsidRPr="00AE3F1B">
        <w:rPr>
          <w:rFonts w:ascii="Garamond" w:hAnsi="Garamond"/>
          <w:sz w:val="24"/>
          <w:szCs w:val="24"/>
        </w:rPr>
        <w:br/>
      </w:r>
      <w:r w:rsidRPr="00AE3F1B">
        <w:rPr>
          <w:rFonts w:ascii="Garamond" w:hAnsi="Garamond"/>
          <w:sz w:val="24"/>
          <w:szCs w:val="24"/>
        </w:rPr>
        <w:t xml:space="preserve">o zmianach dokonanych w ww. umowie, w zakresie danych określonych w formularzu zgłoszenia zmiany sprzedawcy. Powiadomienia należy dokonać zgodnie z pkt. B. 1.1. na formularzu określonym przez </w:t>
      </w:r>
      <w:r w:rsidR="00752FE1" w:rsidRPr="00AE3F1B">
        <w:rPr>
          <w:rFonts w:ascii="Garamond" w:hAnsi="Garamond"/>
          <w:sz w:val="24"/>
          <w:szCs w:val="24"/>
        </w:rPr>
        <w:t>ID</w:t>
      </w:r>
      <w:r w:rsidRPr="00AE3F1B">
        <w:rPr>
          <w:rFonts w:ascii="Garamond" w:hAnsi="Garamond"/>
          <w:sz w:val="24"/>
          <w:szCs w:val="24"/>
        </w:rPr>
        <w:t xml:space="preserve"> Sp. z o.o. z co najmniej 14</w:t>
      </w:r>
      <w:r w:rsidR="00752FE1" w:rsidRPr="00AE3F1B">
        <w:rPr>
          <w:rFonts w:ascii="Garamond" w:hAnsi="Garamond"/>
          <w:sz w:val="24"/>
          <w:szCs w:val="24"/>
        </w:rPr>
        <w:t>-</w:t>
      </w:r>
      <w:r w:rsidRPr="00AE3F1B">
        <w:rPr>
          <w:rFonts w:ascii="Garamond" w:hAnsi="Garamond"/>
          <w:sz w:val="24"/>
          <w:szCs w:val="24"/>
        </w:rPr>
        <w:t>sto dniowym wyprzedzeniem.</w:t>
      </w:r>
    </w:p>
    <w:p w14:paraId="0BC6827F" w14:textId="77777777" w:rsidR="007F3A2D" w:rsidRPr="00AE3F1B" w:rsidRDefault="007F3A2D" w:rsidP="00CC4646">
      <w:pPr>
        <w:spacing w:line="249" w:lineRule="auto"/>
        <w:ind w:left="567" w:right="-3" w:hanging="567"/>
        <w:jc w:val="left"/>
        <w:rPr>
          <w:rFonts w:ascii="Garamond" w:hAnsi="Garamond"/>
          <w:sz w:val="24"/>
          <w:szCs w:val="24"/>
        </w:rPr>
      </w:pPr>
      <w:r w:rsidRPr="00AE3F1B">
        <w:rPr>
          <w:rFonts w:ascii="Garamond" w:hAnsi="Garamond"/>
          <w:sz w:val="24"/>
          <w:szCs w:val="24"/>
        </w:rPr>
        <w:t xml:space="preserve">B. 1.4. Dla umów sprzedaży energii elektrycznej dotyczących nowego PPE lub nowego URD w danym PPE, sprzedawca zgłasza je do </w:t>
      </w:r>
      <w:r w:rsidR="00752FE1" w:rsidRPr="00AE3F1B">
        <w:rPr>
          <w:rFonts w:ascii="Garamond" w:hAnsi="Garamond"/>
          <w:sz w:val="24"/>
          <w:szCs w:val="24"/>
        </w:rPr>
        <w:t>ID</w:t>
      </w:r>
      <w:r w:rsidRPr="00AE3F1B">
        <w:rPr>
          <w:rFonts w:ascii="Garamond" w:hAnsi="Garamond"/>
          <w:sz w:val="24"/>
          <w:szCs w:val="24"/>
        </w:rPr>
        <w:t xml:space="preserve"> Sp. z o.o. za pośrednictwem powiadomienia, o którym mowa w pkt. B. 1.1</w:t>
      </w:r>
    </w:p>
    <w:p w14:paraId="59890BB7" w14:textId="77777777" w:rsidR="007F3A2D" w:rsidRPr="00AE3F1B" w:rsidRDefault="007F3A2D" w:rsidP="00CC4646">
      <w:pPr>
        <w:spacing w:line="249" w:lineRule="auto"/>
        <w:ind w:left="567" w:right="-3" w:hanging="567"/>
        <w:jc w:val="left"/>
        <w:rPr>
          <w:rFonts w:ascii="Garamond" w:hAnsi="Garamond"/>
          <w:sz w:val="24"/>
          <w:szCs w:val="24"/>
        </w:rPr>
      </w:pPr>
      <w:r w:rsidRPr="00AE3F1B">
        <w:rPr>
          <w:rFonts w:ascii="Garamond" w:hAnsi="Garamond"/>
          <w:sz w:val="24"/>
          <w:szCs w:val="24"/>
        </w:rPr>
        <w:t xml:space="preserve">B.1.5. W przypadku, o którym mowa powyżej, </w:t>
      </w:r>
      <w:proofErr w:type="spellStart"/>
      <w:r w:rsidRPr="00AE3F1B">
        <w:rPr>
          <w:rFonts w:ascii="Garamond" w:hAnsi="Garamond"/>
          <w:sz w:val="24"/>
          <w:szCs w:val="24"/>
        </w:rPr>
        <w:t>URDo</w:t>
      </w:r>
      <w:proofErr w:type="spellEnd"/>
      <w:r w:rsidRPr="00AE3F1B">
        <w:rPr>
          <w:rFonts w:ascii="Garamond" w:hAnsi="Garamond"/>
          <w:sz w:val="24"/>
          <w:szCs w:val="24"/>
        </w:rPr>
        <w:t xml:space="preserve"> zgłasza wniosek o zawarcie umowy dystrybucji. Wzór wniosku jest przygotowany i opublikowany przez </w:t>
      </w:r>
      <w:r w:rsidR="00752FE1" w:rsidRPr="00AE3F1B">
        <w:rPr>
          <w:rFonts w:ascii="Garamond" w:hAnsi="Garamond"/>
          <w:sz w:val="24"/>
          <w:szCs w:val="24"/>
        </w:rPr>
        <w:t>ID</w:t>
      </w:r>
      <w:r w:rsidRPr="00AE3F1B">
        <w:rPr>
          <w:rFonts w:ascii="Garamond" w:hAnsi="Garamond"/>
          <w:sz w:val="24"/>
          <w:szCs w:val="24"/>
        </w:rPr>
        <w:t xml:space="preserve"> Sp. z o.o. na stronie internetowej.</w:t>
      </w:r>
    </w:p>
    <w:p w14:paraId="7993538D" w14:textId="77777777" w:rsidR="007F3A2D" w:rsidRPr="00AE3F1B" w:rsidRDefault="00752FE1" w:rsidP="00CC4646">
      <w:pPr>
        <w:spacing w:line="249" w:lineRule="auto"/>
        <w:ind w:left="567" w:right="-3" w:hanging="567"/>
        <w:jc w:val="left"/>
        <w:rPr>
          <w:rFonts w:ascii="Garamond" w:hAnsi="Garamond"/>
          <w:sz w:val="24"/>
          <w:szCs w:val="24"/>
        </w:rPr>
      </w:pPr>
      <w:r w:rsidRPr="00AE3F1B">
        <w:rPr>
          <w:rFonts w:ascii="Garamond" w:hAnsi="Garamond"/>
          <w:sz w:val="24"/>
          <w:szCs w:val="24"/>
        </w:rPr>
        <w:t>B.</w:t>
      </w:r>
      <w:r w:rsidR="007F3A2D" w:rsidRPr="00AE3F1B">
        <w:rPr>
          <w:rFonts w:ascii="Garamond" w:hAnsi="Garamond"/>
          <w:sz w:val="24"/>
          <w:szCs w:val="24"/>
        </w:rPr>
        <w:t xml:space="preserve">1.6. Umowa dystrybucji musi być zawarta przed przesłaniem powiadomienia, o którym mowa </w:t>
      </w:r>
      <w:r w:rsidRPr="00AE3F1B">
        <w:rPr>
          <w:rFonts w:ascii="Garamond" w:hAnsi="Garamond"/>
          <w:sz w:val="24"/>
          <w:szCs w:val="24"/>
        </w:rPr>
        <w:br/>
      </w:r>
      <w:r w:rsidR="007F3A2D" w:rsidRPr="00AE3F1B">
        <w:rPr>
          <w:rFonts w:ascii="Garamond" w:hAnsi="Garamond"/>
          <w:sz w:val="24"/>
          <w:szCs w:val="24"/>
        </w:rPr>
        <w:t>w pkt. B. 1.1.</w:t>
      </w:r>
    </w:p>
    <w:p w14:paraId="23F953E4" w14:textId="77777777" w:rsidR="007F3A2D" w:rsidRPr="00AE3F1B" w:rsidRDefault="007F3A2D" w:rsidP="00CC4646">
      <w:pPr>
        <w:spacing w:line="249" w:lineRule="auto"/>
        <w:ind w:left="567" w:right="-3" w:hanging="567"/>
        <w:jc w:val="left"/>
        <w:rPr>
          <w:rFonts w:ascii="Garamond" w:hAnsi="Garamond"/>
          <w:sz w:val="24"/>
          <w:szCs w:val="24"/>
        </w:rPr>
      </w:pPr>
      <w:r w:rsidRPr="00AE3F1B">
        <w:rPr>
          <w:rFonts w:ascii="Garamond" w:hAnsi="Garamond"/>
          <w:sz w:val="24"/>
          <w:szCs w:val="24"/>
        </w:rPr>
        <w:lastRenderedPageBreak/>
        <w:t xml:space="preserve">B.1.7. Umowa dystrybucji wchodzi w życie w dniu rozpoczęcia sprzedaży energii przez sprzedawcę, </w:t>
      </w:r>
      <w:r w:rsidR="00752FE1" w:rsidRPr="00AE3F1B">
        <w:rPr>
          <w:rFonts w:ascii="Garamond" w:hAnsi="Garamond"/>
          <w:sz w:val="24"/>
          <w:szCs w:val="24"/>
        </w:rPr>
        <w:br/>
      </w:r>
      <w:r w:rsidRPr="00AE3F1B">
        <w:rPr>
          <w:rFonts w:ascii="Garamond" w:hAnsi="Garamond"/>
          <w:sz w:val="24"/>
          <w:szCs w:val="24"/>
        </w:rPr>
        <w:t xml:space="preserve">z którym </w:t>
      </w:r>
      <w:proofErr w:type="spellStart"/>
      <w:r w:rsidRPr="00AE3F1B">
        <w:rPr>
          <w:rFonts w:ascii="Garamond" w:hAnsi="Garamond"/>
          <w:sz w:val="24"/>
          <w:szCs w:val="24"/>
        </w:rPr>
        <w:t>URD</w:t>
      </w:r>
      <w:r w:rsidR="00752FE1" w:rsidRPr="00AE3F1B">
        <w:rPr>
          <w:rFonts w:ascii="Garamond" w:hAnsi="Garamond"/>
          <w:sz w:val="24"/>
          <w:szCs w:val="24"/>
        </w:rPr>
        <w:t>o</w:t>
      </w:r>
      <w:proofErr w:type="spellEnd"/>
      <w:r w:rsidRPr="00AE3F1B">
        <w:rPr>
          <w:rFonts w:ascii="Garamond" w:hAnsi="Garamond"/>
          <w:sz w:val="24"/>
          <w:szCs w:val="24"/>
        </w:rPr>
        <w:t xml:space="preserve"> ma podpisaną umowę sprzedaży energii elektrycznej.</w:t>
      </w:r>
    </w:p>
    <w:p w14:paraId="2F141B7C" w14:textId="77777777" w:rsidR="00752FE1" w:rsidRPr="00D90517" w:rsidRDefault="00752FE1">
      <w:pPr>
        <w:numPr>
          <w:ilvl w:val="1"/>
          <w:numId w:val="48"/>
        </w:numPr>
        <w:spacing w:after="106" w:line="248" w:lineRule="auto"/>
        <w:ind w:left="567" w:right="-3" w:hanging="567"/>
        <w:jc w:val="left"/>
        <w:rPr>
          <w:rFonts w:asciiTheme="majorHAnsi" w:hAnsiTheme="majorHAnsi"/>
          <w:sz w:val="24"/>
          <w:szCs w:val="24"/>
        </w:rPr>
      </w:pPr>
      <w:r w:rsidRPr="00D90517">
        <w:rPr>
          <w:rFonts w:asciiTheme="majorHAnsi" w:hAnsiTheme="majorHAnsi"/>
          <w:sz w:val="24"/>
          <w:szCs w:val="24"/>
        </w:rPr>
        <w:t>Weryfikacja powiadomień.</w:t>
      </w:r>
    </w:p>
    <w:p w14:paraId="316F2CBB" w14:textId="11B67234" w:rsidR="00752FE1" w:rsidRPr="00CC4646" w:rsidRDefault="00752FE1">
      <w:pPr>
        <w:pStyle w:val="Akapitzlist"/>
        <w:numPr>
          <w:ilvl w:val="0"/>
          <w:numId w:val="166"/>
        </w:numPr>
        <w:spacing w:after="143" w:line="249" w:lineRule="auto"/>
        <w:ind w:right="-3"/>
        <w:jc w:val="left"/>
        <w:rPr>
          <w:rFonts w:ascii="Garamond" w:hAnsi="Garamond"/>
          <w:sz w:val="24"/>
          <w:szCs w:val="24"/>
        </w:rPr>
      </w:pPr>
      <w:r w:rsidRPr="00CC4646">
        <w:rPr>
          <w:rFonts w:ascii="Garamond" w:hAnsi="Garamond"/>
          <w:sz w:val="24"/>
          <w:szCs w:val="24"/>
        </w:rPr>
        <w:t xml:space="preserve">ID Sp. z o.o. dokonuje weryfikacji otrzymanych powiadomień o zawartych umowach sprzedaży energii elektrycznej, pod względem ich zgodności w zakresie określonym w pkt B.1.2., </w:t>
      </w:r>
      <w:r w:rsidR="00F17929" w:rsidRPr="00CC4646">
        <w:rPr>
          <w:rFonts w:ascii="Garamond" w:hAnsi="Garamond"/>
          <w:sz w:val="24"/>
          <w:szCs w:val="24"/>
        </w:rPr>
        <w:t xml:space="preserve">             </w:t>
      </w:r>
      <w:r w:rsidRPr="00CC4646">
        <w:rPr>
          <w:rFonts w:ascii="Garamond" w:hAnsi="Garamond"/>
          <w:sz w:val="24"/>
          <w:szCs w:val="24"/>
        </w:rPr>
        <w:t>w</w:t>
      </w:r>
      <w:r w:rsidR="00F17929" w:rsidRPr="00CC4646">
        <w:rPr>
          <w:rFonts w:ascii="Garamond" w:hAnsi="Garamond"/>
          <w:sz w:val="24"/>
          <w:szCs w:val="24"/>
        </w:rPr>
        <w:t xml:space="preserve"> </w:t>
      </w:r>
      <w:r w:rsidRPr="00CC4646">
        <w:rPr>
          <w:rFonts w:ascii="Garamond" w:hAnsi="Garamond"/>
          <w:sz w:val="24"/>
          <w:szCs w:val="24"/>
        </w:rPr>
        <w:t>terminie nie przekraczającym 5 dni kalendarzowych od daty otrzymania powiadomień od obu stron umowy sprzedaży energii elektrycznej.</w:t>
      </w:r>
    </w:p>
    <w:p w14:paraId="1113BCC1" w14:textId="77777777" w:rsidR="00752FE1" w:rsidRPr="00CC4646" w:rsidRDefault="00752FE1">
      <w:pPr>
        <w:pStyle w:val="Akapitzlist"/>
        <w:numPr>
          <w:ilvl w:val="0"/>
          <w:numId w:val="166"/>
        </w:numPr>
        <w:spacing w:after="161" w:line="249" w:lineRule="auto"/>
        <w:ind w:right="-3"/>
        <w:jc w:val="left"/>
        <w:rPr>
          <w:rFonts w:ascii="Garamond" w:hAnsi="Garamond"/>
          <w:sz w:val="24"/>
          <w:szCs w:val="24"/>
        </w:rPr>
      </w:pPr>
      <w:r w:rsidRPr="00CC4646">
        <w:rPr>
          <w:rFonts w:ascii="Garamond" w:hAnsi="Garamond"/>
          <w:sz w:val="24"/>
          <w:szCs w:val="24"/>
        </w:rPr>
        <w:t>W przypadku pozytywnej weryfikacji, o której mowa w pkt B.2.1., ID Sp. z o.o. przystępuje do konfiguracji obiektów rynku detalicznego wykorzystywanych w procesie wyznaczania danych pomiarowo-rozliczeniowych, w tym we współpracy z PGE Dystrybucja S.A.</w:t>
      </w:r>
    </w:p>
    <w:p w14:paraId="3D3D0225" w14:textId="1F47E539" w:rsidR="001F3AF3" w:rsidRPr="00CC4646" w:rsidRDefault="00752FE1">
      <w:pPr>
        <w:pStyle w:val="Akapitzlist"/>
        <w:numPr>
          <w:ilvl w:val="0"/>
          <w:numId w:val="166"/>
        </w:numPr>
        <w:spacing w:after="100" w:line="249" w:lineRule="auto"/>
        <w:ind w:right="-3"/>
        <w:jc w:val="left"/>
        <w:rPr>
          <w:rFonts w:ascii="Garamond" w:hAnsi="Garamond"/>
          <w:sz w:val="24"/>
          <w:szCs w:val="24"/>
        </w:rPr>
      </w:pPr>
      <w:r w:rsidRPr="00CC4646">
        <w:rPr>
          <w:rFonts w:ascii="Garamond" w:hAnsi="Garamond"/>
          <w:sz w:val="24"/>
          <w:szCs w:val="24"/>
        </w:rPr>
        <w:t>Jeżeli w procesie weryfikacji zaistnieją:</w:t>
      </w:r>
    </w:p>
    <w:p w14:paraId="68880A99" w14:textId="77777777" w:rsidR="00752FE1" w:rsidRPr="00CC4646" w:rsidRDefault="00752FE1">
      <w:pPr>
        <w:pStyle w:val="Akapitzlist"/>
        <w:numPr>
          <w:ilvl w:val="0"/>
          <w:numId w:val="166"/>
        </w:numPr>
        <w:spacing w:after="100" w:line="249" w:lineRule="auto"/>
        <w:ind w:right="-3"/>
        <w:jc w:val="left"/>
        <w:rPr>
          <w:rFonts w:ascii="Garamond" w:hAnsi="Garamond"/>
          <w:sz w:val="24"/>
          <w:szCs w:val="24"/>
        </w:rPr>
      </w:pPr>
      <w:r w:rsidRPr="00CC4646">
        <w:rPr>
          <w:rFonts w:ascii="Garamond" w:hAnsi="Garamond"/>
          <w:sz w:val="24"/>
          <w:szCs w:val="24"/>
        </w:rPr>
        <w:t>braki formalne w dokonanych powiadomieniach;</w:t>
      </w:r>
    </w:p>
    <w:p w14:paraId="460B8286" w14:textId="79610D76" w:rsidR="00752FE1" w:rsidRPr="00CC4646" w:rsidRDefault="00752FE1" w:rsidP="00CC4646">
      <w:pPr>
        <w:pStyle w:val="Akapitzlist"/>
        <w:spacing w:after="15" w:line="306" w:lineRule="auto"/>
        <w:ind w:right="-3"/>
        <w:jc w:val="left"/>
        <w:rPr>
          <w:rFonts w:ascii="Garamond" w:hAnsi="Garamond"/>
          <w:sz w:val="24"/>
          <w:szCs w:val="24"/>
        </w:rPr>
      </w:pPr>
      <w:r w:rsidRPr="00CC4646">
        <w:rPr>
          <w:rFonts w:ascii="Garamond" w:hAnsi="Garamond"/>
          <w:sz w:val="24"/>
          <w:szCs w:val="24"/>
        </w:rPr>
        <w:t xml:space="preserve">lub </w:t>
      </w:r>
    </w:p>
    <w:p w14:paraId="429B1A95" w14:textId="77777777" w:rsidR="00752FE1" w:rsidRPr="00CC4646" w:rsidRDefault="00752FE1">
      <w:pPr>
        <w:pStyle w:val="Akapitzlist"/>
        <w:numPr>
          <w:ilvl w:val="0"/>
          <w:numId w:val="166"/>
        </w:numPr>
        <w:spacing w:after="15" w:line="306" w:lineRule="auto"/>
        <w:ind w:right="-3"/>
        <w:jc w:val="left"/>
        <w:rPr>
          <w:rFonts w:ascii="Garamond" w:hAnsi="Garamond"/>
          <w:sz w:val="24"/>
          <w:szCs w:val="24"/>
        </w:rPr>
      </w:pPr>
      <w:r w:rsidRPr="00CC4646">
        <w:rPr>
          <w:rFonts w:ascii="Garamond" w:hAnsi="Garamond"/>
          <w:sz w:val="24"/>
          <w:szCs w:val="24"/>
        </w:rPr>
        <w:t>brak generalnej umowy dystrybucji zawartej pomiędzy ID Sp. z o.o., a sprzedawcą;</w:t>
      </w:r>
    </w:p>
    <w:p w14:paraId="5357A00B" w14:textId="37D71E27" w:rsidR="00752FE1" w:rsidRPr="00CC4646" w:rsidRDefault="00752FE1" w:rsidP="00CC4646">
      <w:pPr>
        <w:pStyle w:val="Akapitzlist"/>
        <w:spacing w:after="15" w:line="248" w:lineRule="auto"/>
        <w:ind w:right="-3"/>
        <w:jc w:val="left"/>
        <w:rPr>
          <w:rFonts w:ascii="Garamond" w:hAnsi="Garamond"/>
          <w:sz w:val="24"/>
          <w:szCs w:val="24"/>
        </w:rPr>
      </w:pPr>
      <w:r w:rsidRPr="00CC4646">
        <w:rPr>
          <w:rFonts w:ascii="Garamond" w:hAnsi="Garamond"/>
          <w:sz w:val="24"/>
          <w:szCs w:val="24"/>
        </w:rPr>
        <w:t>lub</w:t>
      </w:r>
    </w:p>
    <w:p w14:paraId="5F266F35" w14:textId="77777777" w:rsidR="00CC4646" w:rsidRPr="00CC4646" w:rsidRDefault="00752FE1">
      <w:pPr>
        <w:pStyle w:val="Akapitzlist"/>
        <w:numPr>
          <w:ilvl w:val="0"/>
          <w:numId w:val="166"/>
        </w:numPr>
        <w:spacing w:after="100" w:afterAutospacing="1"/>
        <w:ind w:right="-3"/>
        <w:jc w:val="left"/>
        <w:rPr>
          <w:rFonts w:ascii="Garamond" w:hAnsi="Garamond"/>
          <w:sz w:val="24"/>
          <w:szCs w:val="24"/>
        </w:rPr>
      </w:pPr>
      <w:r w:rsidRPr="00CC4646">
        <w:rPr>
          <w:rFonts w:ascii="Garamond" w:hAnsi="Garamond"/>
          <w:sz w:val="24"/>
          <w:szCs w:val="24"/>
        </w:rPr>
        <w:t>brak umowy dystrybucji zawartej pomiędzy ID Sp. z o.o., a wskazanym przez sprzedawcę POB,</w:t>
      </w:r>
      <w:r w:rsidR="00C732C2" w:rsidRPr="00CC4646">
        <w:rPr>
          <w:rFonts w:ascii="Garamond" w:hAnsi="Garamond"/>
          <w:sz w:val="24"/>
          <w:szCs w:val="24"/>
        </w:rPr>
        <w:br/>
      </w:r>
      <w:r w:rsidRPr="00CC4646">
        <w:rPr>
          <w:rFonts w:ascii="Garamond" w:hAnsi="Garamond"/>
          <w:sz w:val="24"/>
          <w:szCs w:val="24"/>
        </w:rPr>
        <w:t>lub</w:t>
      </w:r>
    </w:p>
    <w:p w14:paraId="1709A87C" w14:textId="72F5EA32" w:rsidR="00752FE1" w:rsidRPr="00CC4646" w:rsidRDefault="00752FE1">
      <w:pPr>
        <w:pStyle w:val="Akapitzlist"/>
        <w:numPr>
          <w:ilvl w:val="0"/>
          <w:numId w:val="166"/>
        </w:numPr>
        <w:spacing w:after="100" w:afterAutospacing="1"/>
        <w:ind w:right="-3"/>
        <w:jc w:val="left"/>
        <w:rPr>
          <w:rFonts w:ascii="Garamond" w:hAnsi="Garamond"/>
          <w:sz w:val="24"/>
          <w:szCs w:val="24"/>
        </w:rPr>
      </w:pPr>
      <w:r w:rsidRPr="00CC4646">
        <w:rPr>
          <w:rFonts w:ascii="Garamond" w:hAnsi="Garamond"/>
          <w:sz w:val="24"/>
          <w:szCs w:val="24"/>
        </w:rPr>
        <w:t xml:space="preserve">brak umowy dystrybucji zawartej pomiędzy PGE Dystrybucja S.A., a wskazanym przez sprzedawcę </w:t>
      </w:r>
      <w:r w:rsidR="00F17929" w:rsidRPr="00CC4646">
        <w:rPr>
          <w:rFonts w:ascii="Garamond" w:hAnsi="Garamond"/>
          <w:sz w:val="24"/>
          <w:szCs w:val="24"/>
        </w:rPr>
        <w:t>POB, ID</w:t>
      </w:r>
      <w:r w:rsidRPr="00CC4646">
        <w:rPr>
          <w:rFonts w:ascii="Garamond" w:hAnsi="Garamond"/>
          <w:sz w:val="24"/>
          <w:szCs w:val="24"/>
        </w:rPr>
        <w:t xml:space="preserve"> Sp. z o.o. informuje w terminie określonym w p.B.2.1. strony umowy sprzedaży energii elektrycznej o braku możliwości jej realizacji, wskazując przyczyny odrzucenia powiadomienia.</w:t>
      </w:r>
    </w:p>
    <w:p w14:paraId="68916BA5" w14:textId="77777777" w:rsidR="00752FE1" w:rsidRPr="00CC4646" w:rsidRDefault="00752FE1">
      <w:pPr>
        <w:pStyle w:val="Akapitzlist"/>
        <w:numPr>
          <w:ilvl w:val="0"/>
          <w:numId w:val="166"/>
        </w:numPr>
        <w:spacing w:after="100" w:afterAutospacing="1"/>
        <w:ind w:right="-3"/>
        <w:jc w:val="left"/>
        <w:rPr>
          <w:rFonts w:ascii="Garamond" w:hAnsi="Garamond"/>
          <w:sz w:val="24"/>
          <w:szCs w:val="24"/>
        </w:rPr>
      </w:pPr>
      <w:r w:rsidRPr="00CC4646">
        <w:rPr>
          <w:rFonts w:ascii="Garamond" w:hAnsi="Garamond"/>
          <w:sz w:val="24"/>
          <w:szCs w:val="24"/>
        </w:rPr>
        <w:t>Ponowne rozpatrzenie powiadomienia, w przypadku weryfikacji negatywnej, wymaga zgłoszenia umowy sprzedaży zgodnie z pkt. B. 1.</w:t>
      </w:r>
    </w:p>
    <w:p w14:paraId="179968E5" w14:textId="416F2FF3" w:rsidR="00F17929" w:rsidRPr="00F17929" w:rsidRDefault="00F17929" w:rsidP="0023253D">
      <w:pPr>
        <w:ind w:right="-3"/>
        <w:jc w:val="left"/>
        <w:rPr>
          <w:rFonts w:ascii="Garamond" w:hAnsi="Garamond"/>
          <w:color w:val="0070C0"/>
          <w:sz w:val="24"/>
          <w:szCs w:val="24"/>
        </w:rPr>
      </w:pPr>
      <w:r w:rsidRPr="00F17929">
        <w:rPr>
          <w:rFonts w:ascii="Garamond" w:hAnsi="Garamond"/>
          <w:color w:val="0070C0"/>
          <w:sz w:val="24"/>
          <w:szCs w:val="24"/>
        </w:rPr>
        <w:t>B.</w:t>
      </w:r>
      <w:r w:rsidR="00CC4646">
        <w:rPr>
          <w:rFonts w:ascii="Garamond" w:hAnsi="Garamond"/>
          <w:color w:val="0070C0"/>
          <w:sz w:val="24"/>
          <w:szCs w:val="24"/>
        </w:rPr>
        <w:t>3</w:t>
      </w:r>
      <w:r w:rsidRPr="00F17929">
        <w:rPr>
          <w:rFonts w:ascii="Garamond" w:hAnsi="Garamond"/>
          <w:color w:val="0070C0"/>
          <w:sz w:val="24"/>
          <w:szCs w:val="24"/>
        </w:rPr>
        <w:t xml:space="preserve">. </w:t>
      </w:r>
      <w:r w:rsidR="00CC4646">
        <w:rPr>
          <w:rFonts w:ascii="Garamond" w:hAnsi="Garamond"/>
          <w:color w:val="0070C0"/>
          <w:sz w:val="24"/>
          <w:szCs w:val="24"/>
        </w:rPr>
        <w:t xml:space="preserve">Postanowienia przejściowe dotyczące CSIRE </w:t>
      </w:r>
    </w:p>
    <w:p w14:paraId="7359CD30" w14:textId="537B26A8" w:rsidR="00F17929" w:rsidRPr="00F17929" w:rsidRDefault="00F17929" w:rsidP="00CC4646">
      <w:pPr>
        <w:ind w:left="567" w:right="-3" w:hanging="567"/>
        <w:jc w:val="left"/>
        <w:rPr>
          <w:rFonts w:ascii="Garamond" w:hAnsi="Garamond"/>
          <w:color w:val="0070C0"/>
          <w:sz w:val="24"/>
          <w:szCs w:val="24"/>
        </w:rPr>
      </w:pPr>
      <w:r w:rsidRPr="00F17929">
        <w:rPr>
          <w:rFonts w:ascii="Garamond" w:hAnsi="Garamond"/>
          <w:color w:val="0070C0"/>
          <w:sz w:val="24"/>
          <w:szCs w:val="24"/>
        </w:rPr>
        <w:t>B.</w:t>
      </w:r>
      <w:r w:rsidR="00CC4646">
        <w:rPr>
          <w:rFonts w:ascii="Garamond" w:hAnsi="Garamond"/>
          <w:color w:val="0070C0"/>
          <w:sz w:val="24"/>
          <w:szCs w:val="24"/>
        </w:rPr>
        <w:t>3</w:t>
      </w:r>
      <w:r w:rsidRPr="00F17929">
        <w:rPr>
          <w:rFonts w:ascii="Garamond" w:hAnsi="Garamond"/>
          <w:color w:val="0070C0"/>
          <w:sz w:val="24"/>
          <w:szCs w:val="24"/>
        </w:rPr>
        <w:t>.1. Postanowienia niniejszego Rozdziału B stosuje się do czasu uruchomienia produkcyjnego Centralnego Systemu Informacji Rynku Energii (CSIRE).</w:t>
      </w:r>
    </w:p>
    <w:p w14:paraId="5721ACE3" w14:textId="6D1746E4" w:rsidR="00F17929" w:rsidRPr="00F17929" w:rsidRDefault="00F17929" w:rsidP="00CC4646">
      <w:pPr>
        <w:ind w:left="567" w:right="-3" w:hanging="567"/>
        <w:jc w:val="left"/>
        <w:rPr>
          <w:rFonts w:ascii="Garamond" w:hAnsi="Garamond"/>
          <w:color w:val="0070C0"/>
          <w:sz w:val="24"/>
          <w:szCs w:val="24"/>
        </w:rPr>
      </w:pPr>
      <w:r w:rsidRPr="00F17929">
        <w:rPr>
          <w:rFonts w:ascii="Garamond" w:hAnsi="Garamond"/>
          <w:color w:val="0070C0"/>
          <w:sz w:val="24"/>
          <w:szCs w:val="24"/>
        </w:rPr>
        <w:t>B.</w:t>
      </w:r>
      <w:r w:rsidR="00CC4646">
        <w:rPr>
          <w:rFonts w:ascii="Garamond" w:hAnsi="Garamond"/>
          <w:color w:val="0070C0"/>
          <w:sz w:val="24"/>
          <w:szCs w:val="24"/>
        </w:rPr>
        <w:t>3</w:t>
      </w:r>
      <w:r w:rsidRPr="00F17929">
        <w:rPr>
          <w:rFonts w:ascii="Garamond" w:hAnsi="Garamond"/>
          <w:color w:val="0070C0"/>
          <w:sz w:val="24"/>
          <w:szCs w:val="24"/>
        </w:rPr>
        <w:t>.2. Z chwilą uruchomienia CSIRE, procesy zgłaszania umów sprzedaży oraz zmiany sprzedawcy realizowane są wyłącznie za pośrednictwem systemu CSIRE, zgodnie z zasadami określonymi w Ustawie Prawo Energetyczne, Instrukcji Ruchu i Eksploatacji Sieci Przesyłowej (IRiESP) oraz Standardach Wymiany Informacji.</w:t>
      </w:r>
    </w:p>
    <w:p w14:paraId="1408FD1F" w14:textId="069B924D" w:rsidR="00F17929" w:rsidRDefault="00F17929" w:rsidP="00CC4646">
      <w:pPr>
        <w:ind w:left="567" w:right="-3" w:hanging="567"/>
        <w:jc w:val="left"/>
        <w:rPr>
          <w:rFonts w:ascii="Garamond" w:hAnsi="Garamond"/>
          <w:color w:val="0070C0"/>
          <w:sz w:val="24"/>
          <w:szCs w:val="24"/>
        </w:rPr>
      </w:pPr>
      <w:r w:rsidRPr="00F17929">
        <w:rPr>
          <w:rFonts w:ascii="Garamond" w:hAnsi="Garamond"/>
          <w:color w:val="0070C0"/>
          <w:sz w:val="24"/>
          <w:szCs w:val="24"/>
        </w:rPr>
        <w:t>B.</w:t>
      </w:r>
      <w:r w:rsidR="00CC4646">
        <w:rPr>
          <w:rFonts w:ascii="Garamond" w:hAnsi="Garamond"/>
          <w:color w:val="0070C0"/>
          <w:sz w:val="24"/>
          <w:szCs w:val="24"/>
        </w:rPr>
        <w:t>3</w:t>
      </w:r>
      <w:r w:rsidRPr="00F17929">
        <w:rPr>
          <w:rFonts w:ascii="Garamond" w:hAnsi="Garamond"/>
          <w:color w:val="0070C0"/>
          <w:sz w:val="24"/>
          <w:szCs w:val="24"/>
        </w:rPr>
        <w:t>.3. ID Sp. z o.o. poinformuje Sprzedawców o dacie uruchomienia produkcyjnego CSIRE poprzez publikację komunikatu na swojej stronie internetowej.</w:t>
      </w:r>
    </w:p>
    <w:p w14:paraId="5B7E6C84" w14:textId="77777777" w:rsidR="0023253D" w:rsidRPr="00F17929" w:rsidRDefault="0023253D" w:rsidP="00CC4646">
      <w:pPr>
        <w:ind w:left="567" w:right="-3" w:hanging="567"/>
        <w:jc w:val="left"/>
        <w:rPr>
          <w:rFonts w:ascii="Garamond" w:hAnsi="Garamond"/>
          <w:color w:val="0070C0"/>
          <w:sz w:val="24"/>
          <w:szCs w:val="24"/>
        </w:rPr>
      </w:pPr>
    </w:p>
    <w:p w14:paraId="2DDB8789" w14:textId="77777777" w:rsidR="00CE7219" w:rsidRPr="001F3AF3" w:rsidRDefault="00C732C2">
      <w:pPr>
        <w:pStyle w:val="Akapitzlist"/>
        <w:numPr>
          <w:ilvl w:val="0"/>
          <w:numId w:val="48"/>
        </w:numPr>
        <w:spacing w:line="248" w:lineRule="auto"/>
        <w:ind w:left="567" w:right="-3" w:hanging="567"/>
        <w:jc w:val="left"/>
        <w:rPr>
          <w:rFonts w:asciiTheme="majorHAnsi" w:hAnsiTheme="majorHAnsi"/>
          <w:sz w:val="24"/>
          <w:szCs w:val="24"/>
        </w:rPr>
      </w:pPr>
      <w:r w:rsidRPr="001F3AF3">
        <w:rPr>
          <w:rFonts w:asciiTheme="majorHAnsi" w:hAnsiTheme="majorHAnsi"/>
          <w:b/>
          <w:bCs/>
          <w:sz w:val="24"/>
          <w:szCs w:val="24"/>
        </w:rPr>
        <w:t>Zasady wyznaczania, przekazywania i udostępniania danych pomiarowych</w:t>
      </w:r>
    </w:p>
    <w:p w14:paraId="59EB7081" w14:textId="3D4F46DA" w:rsidR="00CE7219" w:rsidRPr="00D90517" w:rsidRDefault="00CE7219" w:rsidP="00175586">
      <w:pPr>
        <w:spacing w:after="172" w:line="260" w:lineRule="auto"/>
        <w:ind w:left="567" w:right="-3" w:hanging="567"/>
        <w:jc w:val="left"/>
        <w:rPr>
          <w:rFonts w:asciiTheme="majorHAnsi" w:hAnsiTheme="majorHAnsi"/>
          <w:sz w:val="24"/>
          <w:szCs w:val="24"/>
        </w:rPr>
      </w:pPr>
      <w:r w:rsidRPr="00D90517">
        <w:rPr>
          <w:rFonts w:asciiTheme="majorHAnsi" w:hAnsiTheme="majorHAnsi"/>
          <w:sz w:val="24"/>
          <w:szCs w:val="24"/>
        </w:rPr>
        <w:t>C.</w:t>
      </w:r>
      <w:r w:rsidR="007606DB">
        <w:rPr>
          <w:rFonts w:asciiTheme="majorHAnsi" w:hAnsiTheme="majorHAnsi"/>
          <w:sz w:val="24"/>
          <w:szCs w:val="24"/>
        </w:rPr>
        <w:t>1</w:t>
      </w:r>
      <w:r w:rsidRPr="00D90517">
        <w:rPr>
          <w:rFonts w:asciiTheme="majorHAnsi" w:hAnsiTheme="majorHAnsi"/>
          <w:sz w:val="24"/>
          <w:szCs w:val="24"/>
        </w:rPr>
        <w:t>.</w:t>
      </w:r>
      <w:r w:rsidRPr="00D90517">
        <w:rPr>
          <w:rFonts w:asciiTheme="majorHAnsi" w:hAnsiTheme="majorHAnsi"/>
          <w:sz w:val="24"/>
          <w:szCs w:val="24"/>
        </w:rPr>
        <w:tab/>
        <w:t>ID Sp. z o.o. pełni funkcję Operatora Pomiarów i administruje danymi pomiarowymi w obszarze swojej sieci dystrybucyjnej. ID Sp. z o.o. może zlecić realizację niektórych funkcji Operatora Pomiarów innemu podmiotowi.</w:t>
      </w:r>
    </w:p>
    <w:p w14:paraId="3847E79F" w14:textId="77777777" w:rsidR="00CE7219" w:rsidRPr="00D90517" w:rsidRDefault="00CE7219">
      <w:pPr>
        <w:numPr>
          <w:ilvl w:val="1"/>
          <w:numId w:val="48"/>
        </w:numPr>
        <w:spacing w:after="15" w:line="249" w:lineRule="auto"/>
        <w:ind w:left="567" w:right="-3" w:hanging="567"/>
        <w:jc w:val="left"/>
        <w:rPr>
          <w:rFonts w:asciiTheme="majorHAnsi" w:hAnsiTheme="majorHAnsi"/>
          <w:sz w:val="24"/>
          <w:szCs w:val="24"/>
        </w:rPr>
      </w:pPr>
      <w:r w:rsidRPr="00D90517">
        <w:rPr>
          <w:rFonts w:asciiTheme="majorHAnsi" w:hAnsiTheme="majorHAnsi"/>
          <w:sz w:val="24"/>
          <w:szCs w:val="24"/>
        </w:rPr>
        <w:t>Administrowanie przez ID Sp. z o.o. danymi pomiarowymi w obszarze sieci dystrybucyjnej polega na wyznaczaniu ilości dostaw energii dla potrzeb rozliczeń na Rynku Bilansującym oraz Rynku Detalicznym i obejmuje następujące zadania:</w:t>
      </w:r>
    </w:p>
    <w:p w14:paraId="398D81AC" w14:textId="77777777" w:rsidR="00CE7219" w:rsidRPr="0023253D" w:rsidRDefault="00CE7219">
      <w:pPr>
        <w:pStyle w:val="Akapitzlist"/>
        <w:numPr>
          <w:ilvl w:val="0"/>
          <w:numId w:val="167"/>
        </w:numPr>
        <w:spacing w:after="15" w:line="249" w:lineRule="auto"/>
        <w:ind w:right="-3"/>
        <w:jc w:val="left"/>
        <w:rPr>
          <w:rFonts w:ascii="Garamond" w:hAnsi="Garamond"/>
          <w:sz w:val="24"/>
          <w:szCs w:val="24"/>
        </w:rPr>
      </w:pPr>
      <w:r w:rsidRPr="0023253D">
        <w:rPr>
          <w:rFonts w:ascii="Garamond" w:hAnsi="Garamond"/>
          <w:sz w:val="24"/>
          <w:szCs w:val="24"/>
        </w:rPr>
        <w:t xml:space="preserve">eksploatacja i rozwój Lokalnego Systemu Pomiarowo-Rozliczeniowego (ISPR), służącego pozyskiwaniu, przetwarzaniu oraz zarządzaniu danymi pomiarowymi, </w:t>
      </w:r>
    </w:p>
    <w:p w14:paraId="04B48532" w14:textId="77777777" w:rsidR="00CE7219" w:rsidRPr="0023253D" w:rsidRDefault="00CE7219">
      <w:pPr>
        <w:pStyle w:val="Akapitzlist"/>
        <w:numPr>
          <w:ilvl w:val="0"/>
          <w:numId w:val="167"/>
        </w:numPr>
        <w:spacing w:after="15" w:line="249" w:lineRule="auto"/>
        <w:ind w:right="-3"/>
        <w:jc w:val="left"/>
        <w:rPr>
          <w:rFonts w:ascii="Garamond" w:hAnsi="Garamond"/>
          <w:sz w:val="24"/>
          <w:szCs w:val="24"/>
        </w:rPr>
      </w:pPr>
      <w:r w:rsidRPr="0023253D">
        <w:rPr>
          <w:rFonts w:ascii="Garamond" w:hAnsi="Garamond"/>
          <w:sz w:val="24"/>
          <w:szCs w:val="24"/>
        </w:rPr>
        <w:lastRenderedPageBreak/>
        <w:t>akwizycja danych pomiarowych z układów pomiarowo-rozliczeniowych energii elektrycznej zainstalowanych na obszarze działania ID Sp. z o.o.,</w:t>
      </w:r>
    </w:p>
    <w:p w14:paraId="1C667D3F" w14:textId="77777777" w:rsidR="00CE7219" w:rsidRPr="0023253D" w:rsidRDefault="00CE7219">
      <w:pPr>
        <w:pStyle w:val="Akapitzlist"/>
        <w:numPr>
          <w:ilvl w:val="0"/>
          <w:numId w:val="167"/>
        </w:numPr>
        <w:spacing w:after="15" w:line="249" w:lineRule="auto"/>
        <w:ind w:right="-3"/>
        <w:jc w:val="left"/>
        <w:rPr>
          <w:rFonts w:ascii="Garamond" w:hAnsi="Garamond"/>
          <w:sz w:val="24"/>
          <w:szCs w:val="24"/>
        </w:rPr>
      </w:pPr>
      <w:r w:rsidRPr="0023253D">
        <w:rPr>
          <w:rFonts w:ascii="Garamond" w:hAnsi="Garamond"/>
          <w:sz w:val="24"/>
          <w:szCs w:val="24"/>
        </w:rPr>
        <w:t>wyznaczanie ilości dostaw energii elektrycznej w poszczególnych fizycznych punktach poboru energii z sieci dystrybucyjnej,</w:t>
      </w:r>
    </w:p>
    <w:p w14:paraId="22DFA890" w14:textId="77777777" w:rsidR="00CE7219" w:rsidRPr="0023253D" w:rsidRDefault="00CE7219">
      <w:pPr>
        <w:pStyle w:val="Akapitzlist"/>
        <w:numPr>
          <w:ilvl w:val="0"/>
          <w:numId w:val="167"/>
        </w:numPr>
        <w:spacing w:after="15" w:line="249" w:lineRule="auto"/>
        <w:ind w:right="-3"/>
        <w:jc w:val="left"/>
        <w:rPr>
          <w:rFonts w:ascii="Garamond" w:hAnsi="Garamond"/>
          <w:sz w:val="24"/>
          <w:szCs w:val="24"/>
        </w:rPr>
      </w:pPr>
      <w:r w:rsidRPr="0023253D">
        <w:rPr>
          <w:rFonts w:ascii="Garamond" w:hAnsi="Garamond"/>
          <w:sz w:val="24"/>
          <w:szCs w:val="24"/>
        </w:rPr>
        <w:t>agregacja ilości dostarczanej energii elektrycznej w poszczególnych wirtualnych punktach poboru energii z sieci dystrybucyjnej,</w:t>
      </w:r>
    </w:p>
    <w:p w14:paraId="79526B82" w14:textId="77777777" w:rsidR="00CE7219" w:rsidRPr="0023253D" w:rsidRDefault="00CE7219">
      <w:pPr>
        <w:pStyle w:val="Akapitzlist"/>
        <w:numPr>
          <w:ilvl w:val="0"/>
          <w:numId w:val="167"/>
        </w:numPr>
        <w:spacing w:after="15" w:line="249" w:lineRule="auto"/>
        <w:ind w:right="-3"/>
        <w:jc w:val="left"/>
        <w:rPr>
          <w:rFonts w:ascii="Garamond" w:hAnsi="Garamond"/>
          <w:sz w:val="24"/>
          <w:szCs w:val="24"/>
        </w:rPr>
      </w:pPr>
      <w:r w:rsidRPr="0023253D">
        <w:rPr>
          <w:rFonts w:ascii="Garamond" w:hAnsi="Garamond"/>
          <w:sz w:val="24"/>
          <w:szCs w:val="24"/>
        </w:rPr>
        <w:t>udostępnianie POB, sprzedawcom oraz URD danych pomiarowych i pomiarowo rozliczeniowych,</w:t>
      </w:r>
    </w:p>
    <w:p w14:paraId="69F35A34" w14:textId="77777777" w:rsidR="00CE7219" w:rsidRPr="0023253D" w:rsidRDefault="00CE7219">
      <w:pPr>
        <w:pStyle w:val="Akapitzlist"/>
        <w:numPr>
          <w:ilvl w:val="0"/>
          <w:numId w:val="167"/>
        </w:numPr>
        <w:spacing w:after="15" w:line="249" w:lineRule="auto"/>
        <w:ind w:right="-3"/>
        <w:jc w:val="left"/>
        <w:rPr>
          <w:rFonts w:ascii="Garamond" w:hAnsi="Garamond"/>
          <w:sz w:val="24"/>
          <w:szCs w:val="24"/>
        </w:rPr>
      </w:pPr>
      <w:r w:rsidRPr="0023253D">
        <w:rPr>
          <w:rFonts w:ascii="Garamond" w:hAnsi="Garamond"/>
          <w:sz w:val="24"/>
          <w:szCs w:val="24"/>
        </w:rPr>
        <w:t>udostępnianie OSP za pośrednictwem PGE Dystrybucja S.A. danych pomiarowych i pomiarowo-rozliczeniowych,</w:t>
      </w:r>
    </w:p>
    <w:p w14:paraId="37D86006" w14:textId="77777777" w:rsidR="00CE7219" w:rsidRPr="0023253D" w:rsidRDefault="00CE7219">
      <w:pPr>
        <w:pStyle w:val="Akapitzlist"/>
        <w:numPr>
          <w:ilvl w:val="0"/>
          <w:numId w:val="167"/>
        </w:numPr>
        <w:spacing w:after="150" w:line="249" w:lineRule="auto"/>
        <w:ind w:right="-3"/>
        <w:jc w:val="left"/>
        <w:rPr>
          <w:rFonts w:ascii="Garamond" w:hAnsi="Garamond"/>
          <w:sz w:val="24"/>
          <w:szCs w:val="24"/>
        </w:rPr>
      </w:pPr>
      <w:r w:rsidRPr="0023253D">
        <w:rPr>
          <w:rFonts w:ascii="Garamond" w:hAnsi="Garamond"/>
          <w:sz w:val="24"/>
          <w:szCs w:val="24"/>
        </w:rPr>
        <w:t>rozpatrywanie reklamacji, zgłaszanych przez podmioty wymienione w ppkt. e), dotyczących przyporządkowanych im ilości dostarczanej energii elektrycznej oraz wprowadzanie niezbędnych korekt.</w:t>
      </w:r>
    </w:p>
    <w:p w14:paraId="02E88593" w14:textId="45F259EA" w:rsidR="00CE7219" w:rsidRPr="00AE3F1B" w:rsidRDefault="00CE7219" w:rsidP="0023253D">
      <w:pPr>
        <w:spacing w:after="183" w:line="249" w:lineRule="auto"/>
        <w:ind w:left="567" w:right="-3"/>
        <w:jc w:val="left"/>
        <w:rPr>
          <w:rFonts w:ascii="Garamond" w:hAnsi="Garamond"/>
          <w:sz w:val="24"/>
          <w:szCs w:val="24"/>
        </w:rPr>
      </w:pPr>
      <w:r w:rsidRPr="00AE3F1B">
        <w:rPr>
          <w:rFonts w:ascii="Garamond" w:hAnsi="Garamond"/>
          <w:sz w:val="24"/>
          <w:szCs w:val="24"/>
        </w:rPr>
        <w:t>Przekazywanie danych pomiarowych i pomiarowo-rozliczeniowych do OSP, o których mowa w ppkt. f), odbywa się na zasadach określonych w instrukcji ruchu i eksploatacji sieci dystrybucyjnej PGE Dystrybucja S.A. lub umowie zawartej z PGE Dystrybucja S.A.</w:t>
      </w:r>
    </w:p>
    <w:p w14:paraId="2D58FF24" w14:textId="77777777" w:rsidR="00CE7219" w:rsidRPr="00D90517" w:rsidRDefault="00CE7219">
      <w:pPr>
        <w:pStyle w:val="Akapitzlist"/>
        <w:numPr>
          <w:ilvl w:val="1"/>
          <w:numId w:val="48"/>
        </w:numPr>
        <w:spacing w:after="196" w:line="249" w:lineRule="auto"/>
        <w:ind w:left="567" w:right="-3" w:hanging="567"/>
        <w:jc w:val="left"/>
        <w:rPr>
          <w:rFonts w:asciiTheme="majorHAnsi" w:hAnsiTheme="majorHAnsi"/>
          <w:sz w:val="24"/>
          <w:szCs w:val="24"/>
        </w:rPr>
      </w:pPr>
      <w:r w:rsidRPr="00D90517">
        <w:rPr>
          <w:rFonts w:asciiTheme="majorHAnsi" w:hAnsiTheme="majorHAnsi"/>
          <w:sz w:val="24"/>
          <w:szCs w:val="24"/>
        </w:rPr>
        <w:t>ID Sp. z o.o. pozyskuje dane pomiarowe i wyznacza rzeczywiste ilości dostaw energii elektrycznej poprzez Lokalny System Pomiarowo- Rozliczeniowy (LSPR).</w:t>
      </w:r>
    </w:p>
    <w:p w14:paraId="4A40DE66" w14:textId="77777777" w:rsidR="00CE7219" w:rsidRPr="00D90517" w:rsidRDefault="00CE7219" w:rsidP="0023253D">
      <w:pPr>
        <w:tabs>
          <w:tab w:val="right" w:pos="10152"/>
        </w:tabs>
        <w:spacing w:line="249" w:lineRule="auto"/>
        <w:ind w:right="-3" w:hanging="567"/>
        <w:jc w:val="left"/>
        <w:rPr>
          <w:rFonts w:asciiTheme="majorHAnsi" w:hAnsiTheme="majorHAnsi"/>
          <w:sz w:val="24"/>
          <w:szCs w:val="24"/>
        </w:rPr>
      </w:pPr>
      <w:r w:rsidRPr="00D90517">
        <w:rPr>
          <w:rFonts w:asciiTheme="majorHAnsi" w:hAnsiTheme="majorHAnsi"/>
          <w:sz w:val="24"/>
          <w:szCs w:val="24"/>
        </w:rPr>
        <w:tab/>
        <w:t xml:space="preserve">C.4.    ID Sp. z o.o. wyznacza godzinowe ilości energii rzeczywistej, o której mowa w pkt C.2.c) </w:t>
      </w:r>
      <w:r w:rsidRPr="00D90517">
        <w:rPr>
          <w:rFonts w:asciiTheme="majorHAnsi" w:hAnsiTheme="majorHAnsi"/>
          <w:sz w:val="24"/>
          <w:szCs w:val="24"/>
        </w:rPr>
        <w:br/>
        <w:t xml:space="preserve">          i pkt C.2.d), w podziale na rzeczywistą ilość energii pobraną z sieci i oddaną do sieci  </w:t>
      </w:r>
      <w:r w:rsidRPr="00D90517">
        <w:rPr>
          <w:rFonts w:asciiTheme="majorHAnsi" w:hAnsiTheme="majorHAnsi"/>
          <w:sz w:val="24"/>
          <w:szCs w:val="24"/>
        </w:rPr>
        <w:br/>
        <w:t xml:space="preserve">          dystrybucyjnej.</w:t>
      </w:r>
    </w:p>
    <w:p w14:paraId="35A0C320" w14:textId="77777777" w:rsidR="00CE7219" w:rsidRPr="00D90517" w:rsidRDefault="00CE7219" w:rsidP="00175586">
      <w:pPr>
        <w:spacing w:after="15" w:line="249" w:lineRule="auto"/>
        <w:ind w:left="567" w:right="-3" w:hanging="567"/>
        <w:jc w:val="left"/>
        <w:rPr>
          <w:rFonts w:asciiTheme="majorHAnsi" w:hAnsiTheme="majorHAnsi"/>
          <w:sz w:val="24"/>
          <w:szCs w:val="24"/>
        </w:rPr>
      </w:pPr>
      <w:r w:rsidRPr="00D90517">
        <w:rPr>
          <w:rFonts w:asciiTheme="majorHAnsi" w:hAnsiTheme="majorHAnsi"/>
          <w:sz w:val="24"/>
          <w:szCs w:val="24"/>
        </w:rPr>
        <w:t>C.5.   ID Sp. z o.o. wyznacza ilości energii rzeczywistej wynikającej z fizycznych dostaw energii elektrycznej w sieci dystrybucyjnej na podstawie:</w:t>
      </w:r>
    </w:p>
    <w:p w14:paraId="736A74D2" w14:textId="77777777" w:rsidR="00CE7219" w:rsidRPr="0023253D" w:rsidRDefault="00CE7219">
      <w:pPr>
        <w:pStyle w:val="Akapitzlist"/>
        <w:numPr>
          <w:ilvl w:val="0"/>
          <w:numId w:val="168"/>
        </w:numPr>
        <w:spacing w:after="15" w:line="249" w:lineRule="auto"/>
        <w:ind w:right="-3"/>
        <w:jc w:val="left"/>
        <w:rPr>
          <w:rFonts w:ascii="Garamond" w:hAnsi="Garamond"/>
          <w:sz w:val="24"/>
          <w:szCs w:val="24"/>
        </w:rPr>
      </w:pPr>
      <w:r w:rsidRPr="0023253D">
        <w:rPr>
          <w:rFonts w:ascii="Garamond" w:hAnsi="Garamond"/>
          <w:sz w:val="24"/>
          <w:szCs w:val="24"/>
        </w:rPr>
        <w:t>uzyskanych danych pomiarowych z fizycznych punktów pomiarowych; lub</w:t>
      </w:r>
    </w:p>
    <w:p w14:paraId="56108018" w14:textId="42C5A9B6" w:rsidR="00CE7219" w:rsidRPr="0023253D" w:rsidRDefault="00CE7219">
      <w:pPr>
        <w:pStyle w:val="Akapitzlist"/>
        <w:numPr>
          <w:ilvl w:val="0"/>
          <w:numId w:val="168"/>
        </w:numPr>
        <w:spacing w:after="90" w:line="249" w:lineRule="auto"/>
        <w:ind w:right="-3"/>
        <w:jc w:val="left"/>
        <w:rPr>
          <w:rFonts w:ascii="Garamond" w:hAnsi="Garamond"/>
          <w:sz w:val="24"/>
          <w:szCs w:val="24"/>
        </w:rPr>
      </w:pPr>
      <w:r w:rsidRPr="0023253D">
        <w:rPr>
          <w:rFonts w:ascii="Garamond" w:hAnsi="Garamond"/>
          <w:sz w:val="24"/>
          <w:szCs w:val="24"/>
        </w:rPr>
        <w:t xml:space="preserve">danych szacunkowych, wyznaczonych na podstawie danych historycznych a także </w:t>
      </w:r>
      <w:r w:rsidRPr="0023253D">
        <w:rPr>
          <w:rFonts w:ascii="Garamond" w:hAnsi="Garamond"/>
          <w:sz w:val="24"/>
          <w:szCs w:val="24"/>
        </w:rPr>
        <w:br/>
        <w:t xml:space="preserve">w oparciu o zasady określone w </w:t>
      </w:r>
      <w:r w:rsidR="00BA6D98" w:rsidRPr="00BA6D98">
        <w:rPr>
          <w:rFonts w:ascii="Garamond" w:hAnsi="Garamond"/>
          <w:sz w:val="24"/>
          <w:szCs w:val="24"/>
        </w:rPr>
        <w:t>IRiESD</w:t>
      </w:r>
      <w:r w:rsidRPr="0023253D">
        <w:rPr>
          <w:rFonts w:ascii="Garamond" w:hAnsi="Garamond"/>
          <w:sz w:val="24"/>
          <w:szCs w:val="24"/>
        </w:rPr>
        <w:t>-Bilansowanie, w przypadku awarii układu pomiarowego lub systemu transmisji danych; lub</w:t>
      </w:r>
    </w:p>
    <w:p w14:paraId="520EF076" w14:textId="77777777" w:rsidR="00CE7219" w:rsidRPr="0023253D" w:rsidRDefault="00CE7219">
      <w:pPr>
        <w:pStyle w:val="Akapitzlist"/>
        <w:numPr>
          <w:ilvl w:val="0"/>
          <w:numId w:val="168"/>
        </w:numPr>
        <w:spacing w:after="15" w:line="249" w:lineRule="auto"/>
        <w:ind w:right="-3"/>
        <w:jc w:val="left"/>
        <w:rPr>
          <w:rFonts w:ascii="Garamond" w:hAnsi="Garamond"/>
          <w:sz w:val="24"/>
          <w:szCs w:val="24"/>
        </w:rPr>
      </w:pPr>
      <w:r w:rsidRPr="0023253D">
        <w:rPr>
          <w:rFonts w:ascii="Garamond" w:hAnsi="Garamond"/>
          <w:sz w:val="24"/>
          <w:szCs w:val="24"/>
        </w:rPr>
        <w:t>danych szacunkowych w przypadku braku układu transmisji danych; lub</w:t>
      </w:r>
    </w:p>
    <w:p w14:paraId="222BAD3F" w14:textId="77777777" w:rsidR="00CE7219" w:rsidRPr="0023253D" w:rsidRDefault="00CE7219">
      <w:pPr>
        <w:pStyle w:val="Akapitzlist"/>
        <w:numPr>
          <w:ilvl w:val="0"/>
          <w:numId w:val="168"/>
        </w:numPr>
        <w:spacing w:after="203" w:line="249" w:lineRule="auto"/>
        <w:ind w:right="-3"/>
        <w:jc w:val="left"/>
        <w:rPr>
          <w:rFonts w:ascii="Garamond" w:hAnsi="Garamond"/>
          <w:sz w:val="24"/>
          <w:szCs w:val="24"/>
        </w:rPr>
      </w:pPr>
      <w:r w:rsidRPr="0023253D">
        <w:rPr>
          <w:rFonts w:ascii="Garamond" w:hAnsi="Garamond"/>
          <w:sz w:val="24"/>
          <w:szCs w:val="24"/>
        </w:rPr>
        <w:t>standardowych profili zużycia (o których mowa w pkt G), ilości energii rzeczywistej wyznaczonych w sposób określony w ppkt. a) i b) oraz algorytmów agregacji dla tych punktów poboru z sieci dystrybucyjnej, którym został przyporządkowany standardowy profil zużycia.</w:t>
      </w:r>
    </w:p>
    <w:p w14:paraId="00A1FD37" w14:textId="649C6405" w:rsidR="00CE7219" w:rsidRPr="00D90517" w:rsidRDefault="00CE7219" w:rsidP="00C732C2">
      <w:pPr>
        <w:spacing w:after="15" w:line="249" w:lineRule="auto"/>
        <w:ind w:left="567" w:right="-3" w:hanging="567"/>
        <w:jc w:val="left"/>
        <w:rPr>
          <w:rFonts w:asciiTheme="majorHAnsi" w:hAnsiTheme="majorHAnsi"/>
          <w:sz w:val="24"/>
          <w:szCs w:val="24"/>
        </w:rPr>
      </w:pPr>
      <w:r w:rsidRPr="00D90517">
        <w:rPr>
          <w:rFonts w:asciiTheme="majorHAnsi" w:hAnsiTheme="majorHAnsi"/>
          <w:sz w:val="24"/>
          <w:szCs w:val="24"/>
        </w:rPr>
        <w:t>C.6.   Do określenia ilości energii elektrycznej wprowadzanej do lub pobranej z sieci wykorzystuje się w pierwszej kolejności podstawowe układy pomiarowo- rozliczeniowe. W przypadku ich awarii lub wadliwego działania w następnej kolejności wykorzystywane są rezerwowe</w:t>
      </w:r>
      <w:r w:rsidR="006316A5">
        <w:rPr>
          <w:rFonts w:asciiTheme="majorHAnsi" w:hAnsiTheme="majorHAnsi"/>
          <w:sz w:val="24"/>
          <w:szCs w:val="24"/>
        </w:rPr>
        <w:t xml:space="preserve"> </w:t>
      </w:r>
      <w:r w:rsidRPr="00D90517">
        <w:rPr>
          <w:rFonts w:asciiTheme="majorHAnsi" w:hAnsiTheme="majorHAnsi"/>
          <w:sz w:val="24"/>
          <w:szCs w:val="24"/>
        </w:rPr>
        <w:t>układy pomiarowo-rozliczeniowe.</w:t>
      </w:r>
    </w:p>
    <w:p w14:paraId="617BEAB7" w14:textId="0620040D" w:rsidR="00CE7219" w:rsidRPr="00D90517" w:rsidRDefault="00CE7219" w:rsidP="00175586">
      <w:pPr>
        <w:spacing w:after="15" w:line="249" w:lineRule="auto"/>
        <w:ind w:left="567" w:right="-3" w:hanging="567"/>
        <w:jc w:val="left"/>
        <w:rPr>
          <w:rFonts w:asciiTheme="majorHAnsi" w:hAnsiTheme="majorHAnsi"/>
          <w:sz w:val="24"/>
          <w:szCs w:val="24"/>
        </w:rPr>
      </w:pPr>
      <w:r w:rsidRPr="00D90517">
        <w:rPr>
          <w:rFonts w:asciiTheme="majorHAnsi" w:hAnsiTheme="majorHAnsi"/>
          <w:sz w:val="24"/>
          <w:szCs w:val="24"/>
        </w:rPr>
        <w:t>C.7.   W przypadku awarii lub wadliwego działania układów pomiarowo- rozliczeniowych, o których mowa w pkt C.6., ilość energii elektrycznej wprowadzanej do sieci lub pobieranej z sieci określa się w każdej godzinie doby na podstawie:</w:t>
      </w:r>
    </w:p>
    <w:p w14:paraId="69E8501C" w14:textId="77777777" w:rsidR="00CE7219" w:rsidRPr="0023253D" w:rsidRDefault="00CE7219">
      <w:pPr>
        <w:pStyle w:val="Akapitzlist"/>
        <w:numPr>
          <w:ilvl w:val="0"/>
          <w:numId w:val="169"/>
        </w:numPr>
        <w:spacing w:after="180" w:line="249" w:lineRule="auto"/>
        <w:ind w:right="-3"/>
        <w:jc w:val="left"/>
        <w:rPr>
          <w:rFonts w:ascii="Garamond" w:hAnsi="Garamond"/>
          <w:sz w:val="24"/>
          <w:szCs w:val="24"/>
        </w:rPr>
      </w:pPr>
      <w:r w:rsidRPr="0023253D">
        <w:rPr>
          <w:rFonts w:ascii="Garamond" w:hAnsi="Garamond"/>
          <w:sz w:val="24"/>
          <w:szCs w:val="24"/>
        </w:rPr>
        <w:t xml:space="preserve">współczynników korekcji właściwych dla stwierdzonej nieprawidłowości albo awarii </w:t>
      </w:r>
      <w:r w:rsidRPr="0023253D">
        <w:rPr>
          <w:rFonts w:ascii="Garamond" w:hAnsi="Garamond"/>
          <w:sz w:val="24"/>
          <w:szCs w:val="24"/>
        </w:rPr>
        <w:br/>
        <w:t xml:space="preserve">(o ile jest możliwe ich określenie) </w:t>
      </w:r>
      <w:r w:rsidR="008A7A72" w:rsidRPr="0023253D">
        <w:rPr>
          <w:rFonts w:ascii="Garamond" w:hAnsi="Garamond"/>
          <w:sz w:val="24"/>
          <w:szCs w:val="24"/>
        </w:rPr>
        <w:br/>
      </w:r>
      <w:r w:rsidRPr="0023253D">
        <w:rPr>
          <w:rFonts w:ascii="Garamond" w:hAnsi="Garamond"/>
          <w:sz w:val="24"/>
          <w:szCs w:val="24"/>
        </w:rPr>
        <w:t>lub</w:t>
      </w:r>
    </w:p>
    <w:p w14:paraId="1056417A" w14:textId="77777777" w:rsidR="00CE7219" w:rsidRPr="0023253D" w:rsidRDefault="00CE7219">
      <w:pPr>
        <w:pStyle w:val="Akapitzlist"/>
        <w:numPr>
          <w:ilvl w:val="0"/>
          <w:numId w:val="169"/>
        </w:numPr>
        <w:spacing w:after="186" w:line="249" w:lineRule="auto"/>
        <w:ind w:right="-3"/>
        <w:jc w:val="left"/>
        <w:rPr>
          <w:rFonts w:ascii="Garamond" w:hAnsi="Garamond"/>
          <w:sz w:val="24"/>
          <w:szCs w:val="24"/>
        </w:rPr>
      </w:pPr>
      <w:r w:rsidRPr="0023253D">
        <w:rPr>
          <w:rFonts w:ascii="Garamond" w:hAnsi="Garamond"/>
          <w:sz w:val="24"/>
          <w:szCs w:val="24"/>
        </w:rPr>
        <w:t>ilości energii elektrycznej w odpowiedniej godzinie i dniu tygodnia poprzedzającego awarię.</w:t>
      </w:r>
    </w:p>
    <w:p w14:paraId="581AB019" w14:textId="340C821C" w:rsidR="00CE7219" w:rsidRPr="00AE3F1B" w:rsidRDefault="00CE7219" w:rsidP="00175586">
      <w:pPr>
        <w:spacing w:after="199" w:line="249" w:lineRule="auto"/>
        <w:ind w:left="567" w:right="-3" w:hanging="567"/>
        <w:jc w:val="left"/>
        <w:rPr>
          <w:rFonts w:ascii="Garamond" w:hAnsi="Garamond"/>
          <w:sz w:val="24"/>
          <w:szCs w:val="24"/>
        </w:rPr>
      </w:pPr>
      <w:r w:rsidRPr="00D90517">
        <w:rPr>
          <w:rFonts w:asciiTheme="majorHAnsi" w:hAnsiTheme="majorHAnsi"/>
          <w:sz w:val="24"/>
          <w:szCs w:val="24"/>
        </w:rPr>
        <w:t xml:space="preserve">C.8.   W przypadku braku danych pomiarowych, spowodowanych brakiem lub awarią układu transmisji danych pomiarowych lub zakłóceniem w procesie zdalnego pozyskiwania danych z układów </w:t>
      </w:r>
      <w:r w:rsidRPr="00D90517">
        <w:rPr>
          <w:rFonts w:asciiTheme="majorHAnsi" w:hAnsiTheme="majorHAnsi"/>
          <w:sz w:val="24"/>
          <w:szCs w:val="24"/>
        </w:rPr>
        <w:lastRenderedPageBreak/>
        <w:t>pomiarowo-rozliczeniowych, ID Sp. z o.o. w procesie udostępniania danych</w:t>
      </w:r>
      <w:r w:rsidRPr="00AE3F1B">
        <w:rPr>
          <w:rFonts w:ascii="Garamond" w:hAnsi="Garamond"/>
          <w:sz w:val="24"/>
          <w:szCs w:val="24"/>
        </w:rPr>
        <w:t xml:space="preserve"> pomiarowych może wykorzystać dane wyznaczone zgodnie z </w:t>
      </w:r>
      <w:r w:rsidR="00BA6D98" w:rsidRPr="00BA6D98">
        <w:rPr>
          <w:rFonts w:ascii="Garamond" w:hAnsi="Garamond"/>
          <w:sz w:val="24"/>
          <w:szCs w:val="24"/>
        </w:rPr>
        <w:t>IRiESD</w:t>
      </w:r>
      <w:r w:rsidRPr="00AE3F1B">
        <w:rPr>
          <w:rFonts w:ascii="Garamond" w:hAnsi="Garamond"/>
          <w:sz w:val="24"/>
          <w:szCs w:val="24"/>
        </w:rPr>
        <w:t xml:space="preserve"> albo zgłoszone przez Sprzedawcę, POB lub URD.</w:t>
      </w:r>
    </w:p>
    <w:p w14:paraId="12E29390" w14:textId="5EE84197" w:rsidR="00CE7219" w:rsidRPr="00D90517" w:rsidRDefault="00CE7219" w:rsidP="00175586">
      <w:pPr>
        <w:spacing w:after="239" w:line="249" w:lineRule="auto"/>
        <w:ind w:left="567" w:right="-3" w:hanging="567"/>
        <w:jc w:val="left"/>
        <w:rPr>
          <w:rFonts w:asciiTheme="majorHAnsi" w:hAnsiTheme="majorHAnsi"/>
          <w:sz w:val="24"/>
          <w:szCs w:val="24"/>
        </w:rPr>
      </w:pPr>
      <w:r w:rsidRPr="00D90517">
        <w:rPr>
          <w:rFonts w:asciiTheme="majorHAnsi" w:hAnsiTheme="majorHAnsi"/>
          <w:sz w:val="24"/>
          <w:szCs w:val="24"/>
        </w:rPr>
        <w:t xml:space="preserve">C.9. </w:t>
      </w:r>
      <w:r w:rsidR="0023253D">
        <w:rPr>
          <w:rFonts w:asciiTheme="majorHAnsi" w:hAnsiTheme="majorHAnsi"/>
          <w:sz w:val="24"/>
          <w:szCs w:val="24"/>
        </w:rPr>
        <w:t xml:space="preserve">  </w:t>
      </w:r>
      <w:r w:rsidRPr="00D90517">
        <w:rPr>
          <w:rFonts w:asciiTheme="majorHAnsi" w:hAnsiTheme="majorHAnsi"/>
          <w:sz w:val="24"/>
          <w:szCs w:val="24"/>
        </w:rPr>
        <w:t xml:space="preserve">Dane pomiarowe i pomiarowo-rozliczeniowe udostępniane są przez ID Sp. z o.o. dla podmiotów posiadających zawarte umowy dystrybucji poprzez systemy wymiany informacji ID Sp. z o.o., na zasadach i w terminach określonych w tych umowach oraz niniejszej </w:t>
      </w:r>
      <w:r w:rsidR="00401961" w:rsidRPr="00FF23BB">
        <w:rPr>
          <w:rFonts w:ascii="Garamond" w:hAnsi="Garamond"/>
          <w:sz w:val="24"/>
          <w:szCs w:val="24"/>
        </w:rPr>
        <w:t>IRiESD</w:t>
      </w:r>
      <w:r w:rsidRPr="00D90517">
        <w:rPr>
          <w:rFonts w:asciiTheme="majorHAnsi" w:hAnsiTheme="majorHAnsi"/>
          <w:sz w:val="24"/>
          <w:szCs w:val="24"/>
        </w:rPr>
        <w:t>.</w:t>
      </w:r>
    </w:p>
    <w:p w14:paraId="57EB06A5" w14:textId="776CB71A" w:rsidR="00CE7219" w:rsidRPr="0023253D" w:rsidRDefault="00CE7219" w:rsidP="0023253D">
      <w:pPr>
        <w:spacing w:after="15" w:line="249" w:lineRule="auto"/>
        <w:ind w:left="567" w:right="-3" w:hanging="567"/>
        <w:jc w:val="left"/>
        <w:rPr>
          <w:rFonts w:asciiTheme="majorHAnsi" w:hAnsiTheme="majorHAnsi"/>
          <w:sz w:val="24"/>
          <w:szCs w:val="24"/>
        </w:rPr>
      </w:pPr>
      <w:r w:rsidRPr="00D90517">
        <w:rPr>
          <w:rFonts w:asciiTheme="majorHAnsi" w:hAnsiTheme="majorHAnsi"/>
          <w:sz w:val="24"/>
          <w:szCs w:val="24"/>
        </w:rPr>
        <w:t xml:space="preserve">C.10. </w:t>
      </w:r>
      <w:r w:rsidR="0023253D">
        <w:rPr>
          <w:rFonts w:asciiTheme="majorHAnsi" w:hAnsiTheme="majorHAnsi"/>
          <w:sz w:val="24"/>
          <w:szCs w:val="24"/>
        </w:rPr>
        <w:t xml:space="preserve"> </w:t>
      </w:r>
      <w:r w:rsidRPr="00D90517">
        <w:rPr>
          <w:rFonts w:asciiTheme="majorHAnsi" w:hAnsiTheme="majorHAnsi"/>
          <w:sz w:val="24"/>
          <w:szCs w:val="24"/>
        </w:rPr>
        <w:t>Na potrzeby rozliczeń Rynku Bilansującego, ID Sp. z o.o. wyznacza i udostępnia godzinowe dane pomiarowe i pomiarowo-rozliczeniowe dla:</w:t>
      </w:r>
    </w:p>
    <w:p w14:paraId="6E6AC500" w14:textId="77777777" w:rsidR="000C09E9" w:rsidRPr="0023253D" w:rsidRDefault="000C09E9">
      <w:pPr>
        <w:pStyle w:val="Akapitzlist"/>
        <w:numPr>
          <w:ilvl w:val="0"/>
          <w:numId w:val="170"/>
        </w:numPr>
        <w:spacing w:after="143" w:line="249" w:lineRule="auto"/>
        <w:ind w:right="-3"/>
        <w:jc w:val="left"/>
        <w:rPr>
          <w:rFonts w:ascii="Garamond" w:hAnsi="Garamond"/>
          <w:sz w:val="24"/>
          <w:szCs w:val="24"/>
        </w:rPr>
      </w:pPr>
      <w:r w:rsidRPr="0023253D">
        <w:rPr>
          <w:rFonts w:ascii="Garamond" w:hAnsi="Garamond"/>
          <w:sz w:val="24"/>
          <w:szCs w:val="24"/>
        </w:rPr>
        <w:t>OSP na zasadach określonych w instrukcji ruchu i eksploatacji sieci dystrybucyjnej PGE Dystrybucja S.A. lub w umowie zawartej z PGE Dystrybucja S.A.,</w:t>
      </w:r>
    </w:p>
    <w:p w14:paraId="111481C5" w14:textId="77777777" w:rsidR="000C09E9" w:rsidRPr="0023253D" w:rsidRDefault="000C09E9">
      <w:pPr>
        <w:pStyle w:val="Akapitzlist"/>
        <w:numPr>
          <w:ilvl w:val="0"/>
          <w:numId w:val="170"/>
        </w:numPr>
        <w:spacing w:after="40" w:line="249" w:lineRule="auto"/>
        <w:ind w:right="-3"/>
        <w:jc w:val="left"/>
        <w:rPr>
          <w:rFonts w:ascii="Garamond" w:hAnsi="Garamond"/>
          <w:sz w:val="24"/>
          <w:szCs w:val="24"/>
        </w:rPr>
      </w:pPr>
      <w:r w:rsidRPr="0023253D">
        <w:rPr>
          <w:rFonts w:ascii="Garamond" w:hAnsi="Garamond"/>
          <w:sz w:val="24"/>
          <w:szCs w:val="24"/>
        </w:rPr>
        <w:t xml:space="preserve">POB jako zagregowane MB rynku bilansującego i MDD bilansowanych sprzedawców oraz dane bilansowanych </w:t>
      </w:r>
      <w:proofErr w:type="spellStart"/>
      <w:r w:rsidRPr="0023253D">
        <w:rPr>
          <w:rFonts w:ascii="Garamond" w:hAnsi="Garamond"/>
          <w:sz w:val="24"/>
          <w:szCs w:val="24"/>
        </w:rPr>
        <w:t>URDwi</w:t>
      </w:r>
      <w:proofErr w:type="spellEnd"/>
      <w:r w:rsidRPr="0023253D">
        <w:rPr>
          <w:rFonts w:ascii="Garamond" w:hAnsi="Garamond"/>
          <w:sz w:val="24"/>
          <w:szCs w:val="24"/>
        </w:rPr>
        <w:t xml:space="preserve"> URD</w:t>
      </w:r>
      <w:r w:rsidR="007A7F96" w:rsidRPr="0023253D">
        <w:rPr>
          <w:rFonts w:ascii="Garamond" w:hAnsi="Garamond"/>
          <w:sz w:val="24"/>
          <w:szCs w:val="24"/>
          <w:vertAlign w:val="subscript"/>
        </w:rPr>
        <w:t>ME</w:t>
      </w:r>
    </w:p>
    <w:p w14:paraId="5AC32447" w14:textId="77777777" w:rsidR="000C09E9" w:rsidRPr="0023253D" w:rsidRDefault="000C09E9">
      <w:pPr>
        <w:pStyle w:val="Akapitzlist"/>
        <w:numPr>
          <w:ilvl w:val="0"/>
          <w:numId w:val="170"/>
        </w:numPr>
        <w:spacing w:after="15" w:line="370" w:lineRule="auto"/>
        <w:ind w:right="-3"/>
        <w:jc w:val="left"/>
        <w:rPr>
          <w:rFonts w:ascii="Garamond" w:hAnsi="Garamond"/>
          <w:sz w:val="24"/>
          <w:szCs w:val="24"/>
        </w:rPr>
      </w:pPr>
      <w:r w:rsidRPr="0023253D">
        <w:rPr>
          <w:rFonts w:ascii="Garamond" w:hAnsi="Garamond"/>
          <w:sz w:val="24"/>
          <w:szCs w:val="24"/>
        </w:rPr>
        <w:t>sprzedawców jako zagregowane MDD, zachowując zgodność przekazywanych danych.</w:t>
      </w:r>
    </w:p>
    <w:p w14:paraId="0B539D19" w14:textId="319EE46A" w:rsidR="000C09E9" w:rsidRPr="00D90517" w:rsidRDefault="00FC0D85" w:rsidP="00175586">
      <w:pPr>
        <w:spacing w:after="111" w:line="249" w:lineRule="auto"/>
        <w:ind w:left="567" w:right="-3" w:hanging="567"/>
        <w:jc w:val="left"/>
        <w:rPr>
          <w:rFonts w:asciiTheme="majorHAnsi" w:hAnsiTheme="majorHAnsi"/>
          <w:sz w:val="24"/>
          <w:szCs w:val="24"/>
        </w:rPr>
      </w:pPr>
      <w:r w:rsidRPr="00D90517">
        <w:rPr>
          <w:rFonts w:asciiTheme="majorHAnsi" w:hAnsiTheme="majorHAnsi"/>
          <w:sz w:val="24"/>
          <w:szCs w:val="24"/>
        </w:rPr>
        <w:t>C</w:t>
      </w:r>
      <w:r w:rsidR="000C09E9" w:rsidRPr="00D90517">
        <w:rPr>
          <w:rFonts w:asciiTheme="majorHAnsi" w:hAnsiTheme="majorHAnsi"/>
          <w:sz w:val="24"/>
          <w:szCs w:val="24"/>
        </w:rPr>
        <w:t>.</w:t>
      </w:r>
      <w:r w:rsidR="007606DB">
        <w:rPr>
          <w:rFonts w:asciiTheme="majorHAnsi" w:hAnsiTheme="majorHAnsi"/>
          <w:sz w:val="24"/>
          <w:szCs w:val="24"/>
        </w:rPr>
        <w:t>11</w:t>
      </w:r>
      <w:r w:rsidR="000C09E9" w:rsidRPr="00D90517">
        <w:rPr>
          <w:rFonts w:asciiTheme="majorHAnsi" w:hAnsiTheme="majorHAnsi"/>
          <w:sz w:val="24"/>
          <w:szCs w:val="24"/>
        </w:rPr>
        <w:t xml:space="preserve">. </w:t>
      </w:r>
      <w:r w:rsidR="0023253D">
        <w:rPr>
          <w:rFonts w:asciiTheme="majorHAnsi" w:hAnsiTheme="majorHAnsi"/>
          <w:sz w:val="24"/>
          <w:szCs w:val="24"/>
        </w:rPr>
        <w:tab/>
      </w:r>
      <w:r w:rsidR="000C09E9" w:rsidRPr="00D90517">
        <w:rPr>
          <w:rFonts w:asciiTheme="majorHAnsi" w:hAnsiTheme="majorHAnsi"/>
          <w:sz w:val="24"/>
          <w:szCs w:val="24"/>
        </w:rPr>
        <w:t xml:space="preserve">Na potrzeby rozliczeń Rynku Detalicznego, </w:t>
      </w:r>
      <w:r w:rsidRPr="00D90517">
        <w:rPr>
          <w:rFonts w:asciiTheme="majorHAnsi" w:hAnsiTheme="majorHAnsi"/>
          <w:sz w:val="24"/>
          <w:szCs w:val="24"/>
        </w:rPr>
        <w:t>ID</w:t>
      </w:r>
      <w:r w:rsidR="000C09E9" w:rsidRPr="00D90517">
        <w:rPr>
          <w:rFonts w:asciiTheme="majorHAnsi" w:hAnsiTheme="majorHAnsi"/>
          <w:sz w:val="24"/>
          <w:szCs w:val="24"/>
        </w:rPr>
        <w:t xml:space="preserve"> Sp. z o.o. udostępnia następujące dane pomiarowe:</w:t>
      </w:r>
    </w:p>
    <w:p w14:paraId="21BE91BD" w14:textId="77777777" w:rsidR="000C09E9" w:rsidRPr="0023253D" w:rsidRDefault="000C09E9">
      <w:pPr>
        <w:pStyle w:val="Akapitzlist"/>
        <w:numPr>
          <w:ilvl w:val="0"/>
          <w:numId w:val="171"/>
        </w:numPr>
        <w:spacing w:after="122" w:line="249" w:lineRule="auto"/>
        <w:ind w:right="-3"/>
        <w:jc w:val="left"/>
        <w:rPr>
          <w:rFonts w:ascii="Garamond" w:hAnsi="Garamond"/>
          <w:sz w:val="24"/>
          <w:szCs w:val="24"/>
        </w:rPr>
      </w:pPr>
      <w:r w:rsidRPr="0023253D">
        <w:rPr>
          <w:rFonts w:ascii="Garamond" w:hAnsi="Garamond"/>
          <w:sz w:val="24"/>
          <w:szCs w:val="24"/>
        </w:rPr>
        <w:t>Sprzedawcom:</w:t>
      </w:r>
    </w:p>
    <w:p w14:paraId="26E9C858" w14:textId="4B272FE4" w:rsidR="00FC0D85" w:rsidRPr="0023253D" w:rsidRDefault="000C09E9">
      <w:pPr>
        <w:pStyle w:val="Akapitzlist"/>
        <w:numPr>
          <w:ilvl w:val="0"/>
          <w:numId w:val="172"/>
        </w:numPr>
        <w:spacing w:after="120" w:line="249" w:lineRule="auto"/>
        <w:ind w:right="-3"/>
        <w:jc w:val="left"/>
        <w:rPr>
          <w:rFonts w:ascii="Garamond" w:hAnsi="Garamond"/>
          <w:noProof/>
          <w:sz w:val="24"/>
          <w:szCs w:val="24"/>
        </w:rPr>
      </w:pPr>
      <w:r w:rsidRPr="0023253D">
        <w:rPr>
          <w:rFonts w:ascii="Garamond" w:hAnsi="Garamond"/>
          <w:sz w:val="24"/>
          <w:szCs w:val="24"/>
        </w:rPr>
        <w:t xml:space="preserve">godzinowe URD po ich pozyskaniu przez </w:t>
      </w:r>
      <w:r w:rsidR="00FC0D85" w:rsidRPr="0023253D">
        <w:rPr>
          <w:rFonts w:ascii="Garamond" w:hAnsi="Garamond"/>
          <w:sz w:val="24"/>
          <w:szCs w:val="24"/>
        </w:rPr>
        <w:t>ID</w:t>
      </w:r>
      <w:r w:rsidRPr="0023253D">
        <w:rPr>
          <w:rFonts w:ascii="Garamond" w:hAnsi="Garamond"/>
          <w:sz w:val="24"/>
          <w:szCs w:val="24"/>
        </w:rPr>
        <w:t xml:space="preserve"> Sp. z o.o., </w:t>
      </w:r>
    </w:p>
    <w:p w14:paraId="262EDD40" w14:textId="77777777" w:rsidR="0023253D" w:rsidRDefault="000C09E9">
      <w:pPr>
        <w:pStyle w:val="Akapitzlist"/>
        <w:numPr>
          <w:ilvl w:val="0"/>
          <w:numId w:val="172"/>
        </w:numPr>
        <w:spacing w:after="120" w:line="249" w:lineRule="auto"/>
        <w:ind w:right="-3"/>
        <w:jc w:val="left"/>
        <w:rPr>
          <w:rFonts w:ascii="Garamond" w:hAnsi="Garamond"/>
          <w:sz w:val="24"/>
          <w:szCs w:val="24"/>
        </w:rPr>
      </w:pPr>
      <w:r w:rsidRPr="0023253D">
        <w:rPr>
          <w:rFonts w:ascii="Garamond" w:hAnsi="Garamond"/>
          <w:sz w:val="24"/>
          <w:szCs w:val="24"/>
        </w:rPr>
        <w:t xml:space="preserve">w przypadku braku danych godzinowych URD, dane o zużyciu energii elektrycznej przez </w:t>
      </w:r>
      <w:r w:rsidR="00FC0D85" w:rsidRPr="0023253D">
        <w:rPr>
          <w:rFonts w:ascii="Garamond" w:hAnsi="Garamond"/>
          <w:sz w:val="24"/>
          <w:szCs w:val="24"/>
        </w:rPr>
        <w:br/>
      </w:r>
      <w:r w:rsidRPr="0023253D">
        <w:rPr>
          <w:rFonts w:ascii="Garamond" w:hAnsi="Garamond"/>
          <w:sz w:val="24"/>
          <w:szCs w:val="24"/>
        </w:rPr>
        <w:t xml:space="preserve">odbiorców, umożliwiające wyznaczenie zużycia energii elektrycznej poszczególnych URD </w:t>
      </w:r>
      <w:r w:rsidR="00FC0D85" w:rsidRPr="0023253D">
        <w:rPr>
          <w:rFonts w:ascii="Garamond" w:hAnsi="Garamond"/>
          <w:sz w:val="24"/>
          <w:szCs w:val="24"/>
        </w:rPr>
        <w:br/>
      </w:r>
      <w:r w:rsidRPr="0023253D">
        <w:rPr>
          <w:rFonts w:ascii="Garamond" w:hAnsi="Garamond"/>
          <w:sz w:val="24"/>
          <w:szCs w:val="24"/>
        </w:rPr>
        <w:t>w okresie rozliczeniowym</w:t>
      </w:r>
      <w:r w:rsidR="00FC0D85" w:rsidRPr="0023253D">
        <w:rPr>
          <w:rFonts w:ascii="Garamond" w:hAnsi="Garamond"/>
          <w:sz w:val="24"/>
          <w:szCs w:val="24"/>
        </w:rPr>
        <w:t>.</w:t>
      </w:r>
    </w:p>
    <w:p w14:paraId="71B792C9" w14:textId="36318E5A" w:rsidR="000C09E9" w:rsidRPr="0023253D" w:rsidRDefault="000C09E9">
      <w:pPr>
        <w:pStyle w:val="Akapitzlist"/>
        <w:numPr>
          <w:ilvl w:val="0"/>
          <w:numId w:val="172"/>
        </w:numPr>
        <w:spacing w:after="120" w:line="249" w:lineRule="auto"/>
        <w:ind w:right="-3"/>
        <w:jc w:val="left"/>
        <w:rPr>
          <w:rFonts w:ascii="Garamond" w:hAnsi="Garamond"/>
          <w:sz w:val="24"/>
          <w:szCs w:val="24"/>
        </w:rPr>
      </w:pPr>
      <w:r w:rsidRPr="0023253D">
        <w:rPr>
          <w:rFonts w:ascii="Garamond" w:hAnsi="Garamond"/>
          <w:sz w:val="24"/>
          <w:szCs w:val="24"/>
        </w:rPr>
        <w:t>Sposób przekazywania danych określa GUD, zawarta pomiędzy Sprzedawcą</w:t>
      </w:r>
      <w:r w:rsidR="00FC0D85" w:rsidRPr="0023253D">
        <w:rPr>
          <w:rFonts w:ascii="Garamond" w:hAnsi="Garamond"/>
          <w:noProof/>
          <w:sz w:val="24"/>
          <w:szCs w:val="24"/>
        </w:rPr>
        <w:t xml:space="preserve"> i </w:t>
      </w:r>
      <w:r w:rsidR="00FC0D85" w:rsidRPr="0023253D">
        <w:rPr>
          <w:rFonts w:ascii="Garamond" w:hAnsi="Garamond"/>
          <w:sz w:val="24"/>
          <w:szCs w:val="24"/>
        </w:rPr>
        <w:t>ID</w:t>
      </w:r>
      <w:r w:rsidRPr="0023253D">
        <w:rPr>
          <w:rFonts w:ascii="Garamond" w:hAnsi="Garamond"/>
          <w:sz w:val="24"/>
          <w:szCs w:val="24"/>
        </w:rPr>
        <w:t xml:space="preserve"> Sp. z o.o.,</w:t>
      </w:r>
    </w:p>
    <w:p w14:paraId="2A87196A" w14:textId="77777777" w:rsidR="000C09E9" w:rsidRPr="0023253D" w:rsidRDefault="000C09E9">
      <w:pPr>
        <w:pStyle w:val="Akapitzlist"/>
        <w:numPr>
          <w:ilvl w:val="0"/>
          <w:numId w:val="171"/>
        </w:numPr>
        <w:spacing w:after="205" w:line="248" w:lineRule="auto"/>
        <w:ind w:right="-3"/>
        <w:jc w:val="left"/>
        <w:rPr>
          <w:rFonts w:ascii="Garamond" w:hAnsi="Garamond"/>
          <w:sz w:val="24"/>
          <w:szCs w:val="24"/>
        </w:rPr>
      </w:pPr>
      <w:r w:rsidRPr="0023253D">
        <w:rPr>
          <w:rFonts w:ascii="Garamond" w:hAnsi="Garamond"/>
          <w:sz w:val="24"/>
          <w:szCs w:val="24"/>
        </w:rPr>
        <w:t>URD:</w:t>
      </w:r>
    </w:p>
    <w:p w14:paraId="608B373A" w14:textId="77777777" w:rsidR="0023253D" w:rsidRDefault="000C09E9">
      <w:pPr>
        <w:pStyle w:val="Akapitzlist"/>
        <w:numPr>
          <w:ilvl w:val="0"/>
          <w:numId w:val="172"/>
        </w:numPr>
        <w:spacing w:after="15" w:line="249" w:lineRule="auto"/>
        <w:ind w:right="-3"/>
        <w:jc w:val="left"/>
        <w:rPr>
          <w:rFonts w:ascii="Garamond" w:hAnsi="Garamond"/>
          <w:sz w:val="24"/>
          <w:szCs w:val="24"/>
        </w:rPr>
      </w:pPr>
      <w:r w:rsidRPr="0023253D">
        <w:rPr>
          <w:rFonts w:ascii="Garamond" w:hAnsi="Garamond"/>
          <w:sz w:val="24"/>
          <w:szCs w:val="24"/>
        </w:rPr>
        <w:t>zużyciu w PPE za okres rozliczeniowy lub umożliwiające wyznaczenie rzeczywistego zużycia energii elektrycznej, przekazywane wraz z fakturą za usługi dystrybucyjne,</w:t>
      </w:r>
    </w:p>
    <w:p w14:paraId="7DE0B8B2" w14:textId="317E979D" w:rsidR="000C09E9" w:rsidRPr="0023253D" w:rsidRDefault="000C09E9">
      <w:pPr>
        <w:pStyle w:val="Akapitzlist"/>
        <w:numPr>
          <w:ilvl w:val="0"/>
          <w:numId w:val="172"/>
        </w:numPr>
        <w:spacing w:after="15" w:line="249" w:lineRule="auto"/>
        <w:ind w:right="-3"/>
        <w:jc w:val="left"/>
        <w:rPr>
          <w:rFonts w:ascii="Garamond" w:hAnsi="Garamond"/>
          <w:sz w:val="24"/>
          <w:szCs w:val="24"/>
        </w:rPr>
      </w:pPr>
      <w:r w:rsidRPr="0023253D">
        <w:rPr>
          <w:rFonts w:ascii="Garamond" w:hAnsi="Garamond"/>
          <w:sz w:val="24"/>
          <w:szCs w:val="24"/>
        </w:rPr>
        <w:t>godzinowe URD - na zlecenie URD, na zasadach i warunkach określonych w umowie.</w:t>
      </w:r>
      <w:r w:rsidR="00FC0D85" w:rsidRPr="0023253D">
        <w:rPr>
          <w:rFonts w:ascii="Garamond" w:hAnsi="Garamond"/>
          <w:sz w:val="24"/>
          <w:szCs w:val="24"/>
        </w:rPr>
        <w:br/>
      </w:r>
    </w:p>
    <w:p w14:paraId="311A76EE" w14:textId="0F291A65" w:rsidR="00FC0D85" w:rsidRPr="00D90517" w:rsidRDefault="00FC0D85" w:rsidP="00175586">
      <w:pPr>
        <w:spacing w:after="214" w:line="249" w:lineRule="auto"/>
        <w:ind w:left="567" w:right="-3" w:hanging="567"/>
        <w:jc w:val="left"/>
        <w:rPr>
          <w:rFonts w:asciiTheme="majorHAnsi" w:hAnsiTheme="majorHAnsi"/>
          <w:sz w:val="24"/>
          <w:szCs w:val="24"/>
        </w:rPr>
      </w:pPr>
      <w:r w:rsidRPr="00D90517">
        <w:rPr>
          <w:rFonts w:asciiTheme="majorHAnsi" w:hAnsiTheme="majorHAnsi"/>
          <w:sz w:val="24"/>
          <w:szCs w:val="24"/>
        </w:rPr>
        <w:t xml:space="preserve">C.12. ID Sp. z o.o. udostępnia Sprzedawcy dane pomiarowe o których mowa powyżej oraz wstępne dane pomiarowe (tylko w przypadku ich pozyskiwania przez ID Sp. z o.o.) tych URD (dla PDE), którzy wyrażą na to zgodę w umowach o świadczenie usług dystrybucji zawartych z ID Sp. z o.o. lub w przekazanym przez Sprzedawcę zgłoszeniu umowy sprzedaży (jeżeli zgłoszenie będzie zawierało taką pozycję). Udostępnianie wstępnych danych pomiarowych odbywa się na zasadach określonych w GUD. Sposób udostępniania danych pomiarowych sprzedawcom określają umowy, o których mowa w pkt. A.2.6. </w:t>
      </w:r>
      <w:r w:rsidR="00BA6D98" w:rsidRPr="00BA6D98">
        <w:rPr>
          <w:rFonts w:asciiTheme="majorHAnsi" w:hAnsiTheme="majorHAnsi"/>
          <w:sz w:val="24"/>
          <w:szCs w:val="24"/>
        </w:rPr>
        <w:t>IRiESD</w:t>
      </w:r>
      <w:r w:rsidRPr="00D90517">
        <w:rPr>
          <w:rFonts w:asciiTheme="majorHAnsi" w:hAnsiTheme="majorHAnsi"/>
          <w:sz w:val="24"/>
          <w:szCs w:val="24"/>
        </w:rPr>
        <w:t>-Bilansowanie.</w:t>
      </w:r>
      <w:r w:rsidRPr="00D90517">
        <w:rPr>
          <w:rFonts w:asciiTheme="majorHAnsi" w:hAnsiTheme="majorHAnsi"/>
          <w:sz w:val="24"/>
          <w:szCs w:val="24"/>
        </w:rPr>
        <w:br/>
      </w:r>
    </w:p>
    <w:p w14:paraId="5F516273" w14:textId="0CD0FA68" w:rsidR="00FC0D85" w:rsidRPr="00D90517" w:rsidRDefault="0023253D" w:rsidP="0023253D">
      <w:pPr>
        <w:spacing w:after="0" w:line="249" w:lineRule="auto"/>
        <w:ind w:left="567" w:right="-3" w:hanging="567"/>
        <w:jc w:val="left"/>
        <w:rPr>
          <w:rFonts w:asciiTheme="majorHAnsi" w:hAnsiTheme="majorHAnsi"/>
          <w:sz w:val="24"/>
          <w:szCs w:val="24"/>
        </w:rPr>
      </w:pPr>
      <w:r w:rsidRPr="00D90517">
        <w:rPr>
          <w:rFonts w:asciiTheme="majorHAnsi" w:hAnsiTheme="majorHAnsi"/>
          <w:sz w:val="24"/>
          <w:szCs w:val="24"/>
        </w:rPr>
        <w:t>C.13. Dane</w:t>
      </w:r>
      <w:r w:rsidR="00FC0D85" w:rsidRPr="00D90517">
        <w:rPr>
          <w:rFonts w:asciiTheme="majorHAnsi" w:hAnsiTheme="majorHAnsi"/>
          <w:sz w:val="24"/>
          <w:szCs w:val="24"/>
        </w:rPr>
        <w:t xml:space="preserve"> pomiarowe wyznaczone na potrzeby rozliczeń Rynku Bilansującego, korygowane </w:t>
      </w:r>
      <w:r w:rsidR="00FC0D85" w:rsidRPr="00D90517">
        <w:rPr>
          <w:rFonts w:asciiTheme="majorHAnsi" w:hAnsiTheme="majorHAnsi"/>
          <w:sz w:val="24"/>
          <w:szCs w:val="24"/>
        </w:rPr>
        <w:br/>
        <w:t>są w przypadku:</w:t>
      </w:r>
    </w:p>
    <w:p w14:paraId="503AB563" w14:textId="77777777" w:rsidR="00FC0D85" w:rsidRPr="0023253D" w:rsidRDefault="00FC0D85">
      <w:pPr>
        <w:pStyle w:val="Akapitzlist"/>
        <w:numPr>
          <w:ilvl w:val="0"/>
          <w:numId w:val="173"/>
        </w:numPr>
        <w:spacing w:after="15" w:line="249" w:lineRule="auto"/>
        <w:ind w:right="-3"/>
        <w:jc w:val="left"/>
        <w:rPr>
          <w:rFonts w:ascii="Garamond" w:hAnsi="Garamond"/>
          <w:sz w:val="24"/>
          <w:szCs w:val="24"/>
        </w:rPr>
      </w:pPr>
      <w:r w:rsidRPr="0023253D">
        <w:rPr>
          <w:rFonts w:ascii="Garamond" w:hAnsi="Garamond"/>
          <w:sz w:val="24"/>
          <w:szCs w:val="24"/>
        </w:rPr>
        <w:t>pozyskania danych rzeczywistych w miejsce szacowanych;</w:t>
      </w:r>
    </w:p>
    <w:p w14:paraId="774D681C" w14:textId="77777777" w:rsidR="00FC0D85" w:rsidRPr="0023253D" w:rsidRDefault="00FC0D85">
      <w:pPr>
        <w:pStyle w:val="Akapitzlist"/>
        <w:numPr>
          <w:ilvl w:val="0"/>
          <w:numId w:val="173"/>
        </w:numPr>
        <w:spacing w:after="15" w:line="249" w:lineRule="auto"/>
        <w:ind w:right="-3"/>
        <w:jc w:val="left"/>
        <w:rPr>
          <w:rFonts w:ascii="Garamond" w:hAnsi="Garamond"/>
          <w:sz w:val="24"/>
          <w:szCs w:val="24"/>
        </w:rPr>
      </w:pPr>
      <w:r w:rsidRPr="0023253D">
        <w:rPr>
          <w:rFonts w:ascii="Garamond" w:hAnsi="Garamond"/>
          <w:sz w:val="24"/>
          <w:szCs w:val="24"/>
        </w:rPr>
        <w:t>korekty danych składowych;</w:t>
      </w:r>
    </w:p>
    <w:p w14:paraId="6F9FEF82" w14:textId="77777777" w:rsidR="00FC0D85" w:rsidRPr="0023253D" w:rsidRDefault="00FC0D85">
      <w:pPr>
        <w:pStyle w:val="Akapitzlist"/>
        <w:numPr>
          <w:ilvl w:val="0"/>
          <w:numId w:val="173"/>
        </w:numPr>
        <w:spacing w:after="139" w:line="249" w:lineRule="auto"/>
        <w:ind w:right="-3"/>
        <w:jc w:val="left"/>
        <w:rPr>
          <w:rFonts w:ascii="Garamond" w:hAnsi="Garamond"/>
          <w:sz w:val="24"/>
          <w:szCs w:val="24"/>
        </w:rPr>
      </w:pPr>
      <w:r w:rsidRPr="0023253D">
        <w:rPr>
          <w:rFonts w:ascii="Garamond" w:hAnsi="Garamond"/>
          <w:sz w:val="24"/>
          <w:szCs w:val="24"/>
        </w:rPr>
        <w:t>rozpatrzenia reklamacji w zakresie poprawności danych;</w:t>
      </w:r>
    </w:p>
    <w:p w14:paraId="65B43972" w14:textId="77777777" w:rsidR="00FC0D85" w:rsidRPr="00AE3F1B" w:rsidRDefault="00FC0D85" w:rsidP="008A7A72">
      <w:pPr>
        <w:spacing w:after="158" w:line="249" w:lineRule="auto"/>
        <w:ind w:left="567" w:right="-3"/>
        <w:jc w:val="left"/>
        <w:rPr>
          <w:rFonts w:ascii="Garamond" w:hAnsi="Garamond"/>
          <w:sz w:val="24"/>
          <w:szCs w:val="24"/>
        </w:rPr>
      </w:pPr>
      <w:r w:rsidRPr="00AE3F1B">
        <w:rPr>
          <w:rFonts w:ascii="Garamond" w:hAnsi="Garamond"/>
          <w:sz w:val="24"/>
          <w:szCs w:val="24"/>
        </w:rPr>
        <w:t>i zgłaszane są do OSP na zasadach określonych w instrukcji ruchu i eksploatacji sieci dystrybucyjnej PGE Dystrybucja S.A. lub w umowie zawartej z PGE Dystrybucja S.A.</w:t>
      </w:r>
    </w:p>
    <w:p w14:paraId="4E0CC7EB" w14:textId="3D4B75B2" w:rsidR="00FC0D85" w:rsidRPr="00D90517" w:rsidRDefault="00FC0D85" w:rsidP="00175586">
      <w:pPr>
        <w:spacing w:after="15" w:line="249" w:lineRule="auto"/>
        <w:ind w:left="567" w:right="-3" w:hanging="567"/>
        <w:jc w:val="left"/>
        <w:rPr>
          <w:rFonts w:asciiTheme="majorHAnsi" w:hAnsiTheme="majorHAnsi"/>
          <w:sz w:val="24"/>
          <w:szCs w:val="24"/>
        </w:rPr>
      </w:pPr>
      <w:r w:rsidRPr="00D90517">
        <w:rPr>
          <w:rFonts w:asciiTheme="majorHAnsi" w:hAnsiTheme="majorHAnsi"/>
          <w:sz w:val="24"/>
          <w:szCs w:val="24"/>
        </w:rPr>
        <w:lastRenderedPageBreak/>
        <w:t>C. 14.</w:t>
      </w:r>
      <w:r w:rsidR="0023253D">
        <w:rPr>
          <w:rFonts w:asciiTheme="majorHAnsi" w:hAnsiTheme="majorHAnsi"/>
          <w:sz w:val="24"/>
          <w:szCs w:val="24"/>
        </w:rPr>
        <w:t xml:space="preserve"> </w:t>
      </w:r>
      <w:r w:rsidRPr="00D90517">
        <w:rPr>
          <w:rFonts w:asciiTheme="majorHAnsi" w:hAnsiTheme="majorHAnsi"/>
          <w:sz w:val="24"/>
          <w:szCs w:val="24"/>
        </w:rPr>
        <w:t xml:space="preserve">URD, Sprzedawcy oraz POB mają prawo wystąpić do ID Sp. z o.o. z wnioskiem o dokonanie korekty danych pomiarowych w terminach i na zasadach ogólnych określonych w </w:t>
      </w:r>
      <w:r w:rsidR="00BA6D98" w:rsidRPr="00BA6D98">
        <w:rPr>
          <w:rFonts w:asciiTheme="majorHAnsi" w:hAnsiTheme="majorHAnsi"/>
          <w:sz w:val="24"/>
          <w:szCs w:val="24"/>
        </w:rPr>
        <w:t xml:space="preserve">IRiESD </w:t>
      </w:r>
      <w:r w:rsidRPr="00D90517">
        <w:rPr>
          <w:rFonts w:asciiTheme="majorHAnsi" w:hAnsiTheme="majorHAnsi"/>
          <w:sz w:val="24"/>
          <w:szCs w:val="24"/>
        </w:rPr>
        <w:t>- Korzystanie w części dotyczącej standardów jakościowych obsługi odbiorców.</w:t>
      </w:r>
    </w:p>
    <w:p w14:paraId="4F7164DD" w14:textId="77777777" w:rsidR="002A2742" w:rsidRPr="00AE3F1B" w:rsidRDefault="002A2742" w:rsidP="0023253D">
      <w:pPr>
        <w:spacing w:after="15" w:line="249" w:lineRule="auto"/>
        <w:ind w:right="-3"/>
        <w:jc w:val="left"/>
        <w:rPr>
          <w:rFonts w:ascii="Garamond" w:hAnsi="Garamond"/>
          <w:sz w:val="24"/>
          <w:szCs w:val="24"/>
        </w:rPr>
      </w:pPr>
    </w:p>
    <w:p w14:paraId="4C375963" w14:textId="77777777" w:rsidR="008A7A72" w:rsidRPr="001F3AF3" w:rsidRDefault="008A7A72">
      <w:pPr>
        <w:numPr>
          <w:ilvl w:val="0"/>
          <w:numId w:val="49"/>
        </w:numPr>
        <w:spacing w:after="151" w:line="249" w:lineRule="auto"/>
        <w:ind w:left="567" w:right="-3" w:hanging="567"/>
        <w:jc w:val="left"/>
        <w:rPr>
          <w:rFonts w:asciiTheme="majorHAnsi" w:hAnsiTheme="majorHAnsi"/>
          <w:sz w:val="24"/>
          <w:szCs w:val="24"/>
        </w:rPr>
      </w:pPr>
      <w:r w:rsidRPr="001F3AF3">
        <w:rPr>
          <w:rFonts w:asciiTheme="majorHAnsi" w:hAnsiTheme="majorHAnsi"/>
          <w:b/>
          <w:bCs/>
          <w:sz w:val="24"/>
          <w:szCs w:val="24"/>
        </w:rPr>
        <w:t>Procedury ustanawiania i zmiany podmiotów odpowiedzialnych za bilansowanie</w:t>
      </w:r>
    </w:p>
    <w:p w14:paraId="026D0269" w14:textId="0DFC9315" w:rsidR="002A2742" w:rsidRPr="00706665" w:rsidRDefault="002A2742" w:rsidP="007C7DCF">
      <w:pPr>
        <w:spacing w:after="151" w:line="249" w:lineRule="auto"/>
        <w:ind w:left="567" w:right="-3" w:hanging="567"/>
        <w:jc w:val="left"/>
        <w:rPr>
          <w:rFonts w:asciiTheme="majorHAnsi" w:hAnsiTheme="majorHAnsi"/>
          <w:sz w:val="24"/>
          <w:szCs w:val="24"/>
        </w:rPr>
      </w:pPr>
      <w:r w:rsidRPr="00706665">
        <w:rPr>
          <w:rFonts w:asciiTheme="majorHAnsi" w:hAnsiTheme="majorHAnsi"/>
          <w:noProof/>
          <w:sz w:val="24"/>
          <w:szCs w:val="24"/>
        </w:rPr>
        <w:t xml:space="preserve">D.1.   </w:t>
      </w:r>
      <w:r w:rsidRPr="00706665">
        <w:rPr>
          <w:rFonts w:asciiTheme="majorHAnsi" w:hAnsiTheme="majorHAnsi"/>
          <w:sz w:val="24"/>
          <w:szCs w:val="24"/>
        </w:rPr>
        <w:t xml:space="preserve">Zmiana podmiotu odpowiedzialnego za bilansowanie handlowe następuje zgodnie z zapisami niniejszej </w:t>
      </w:r>
      <w:r w:rsidR="00BA6D98" w:rsidRPr="00BA6D98">
        <w:rPr>
          <w:rFonts w:asciiTheme="majorHAnsi" w:hAnsiTheme="majorHAnsi"/>
          <w:sz w:val="24"/>
          <w:szCs w:val="24"/>
        </w:rPr>
        <w:t>IRiESD</w:t>
      </w:r>
      <w:r w:rsidR="00BA6D98">
        <w:rPr>
          <w:rFonts w:asciiTheme="majorHAnsi" w:hAnsiTheme="majorHAnsi"/>
          <w:sz w:val="24"/>
          <w:szCs w:val="24"/>
        </w:rPr>
        <w:t>-</w:t>
      </w:r>
      <w:r w:rsidRPr="00706665">
        <w:rPr>
          <w:rFonts w:asciiTheme="majorHAnsi" w:hAnsiTheme="majorHAnsi"/>
          <w:sz w:val="24"/>
          <w:szCs w:val="24"/>
        </w:rPr>
        <w:t>Bilansowanie, W</w:t>
      </w:r>
      <w:r w:rsidR="00586005">
        <w:rPr>
          <w:rFonts w:asciiTheme="majorHAnsi" w:hAnsiTheme="majorHAnsi"/>
          <w:sz w:val="24"/>
          <w:szCs w:val="24"/>
        </w:rPr>
        <w:t>DB</w:t>
      </w:r>
      <w:r w:rsidRPr="00706665">
        <w:rPr>
          <w:rFonts w:asciiTheme="majorHAnsi" w:hAnsiTheme="majorHAnsi"/>
          <w:sz w:val="24"/>
          <w:szCs w:val="24"/>
        </w:rPr>
        <w:t xml:space="preserve"> oraz odpowiednimi zapisami w umowach zawartych pomiędzy:</w:t>
      </w:r>
    </w:p>
    <w:p w14:paraId="2B0228A6" w14:textId="0391F127" w:rsidR="002A2742" w:rsidRPr="0023253D" w:rsidRDefault="002A2742">
      <w:pPr>
        <w:pStyle w:val="Akapitzlist"/>
        <w:numPr>
          <w:ilvl w:val="0"/>
          <w:numId w:val="174"/>
        </w:numPr>
        <w:spacing w:after="55" w:line="249" w:lineRule="auto"/>
        <w:ind w:right="-3"/>
        <w:jc w:val="left"/>
        <w:rPr>
          <w:rFonts w:ascii="Garamond" w:hAnsi="Garamond"/>
          <w:sz w:val="24"/>
          <w:szCs w:val="24"/>
        </w:rPr>
      </w:pPr>
      <w:r w:rsidRPr="0023253D">
        <w:rPr>
          <w:rFonts w:ascii="Garamond" w:hAnsi="Garamond"/>
          <w:sz w:val="24"/>
          <w:szCs w:val="24"/>
        </w:rPr>
        <w:t>Sprzedawcą lub URD typu wytwórca i:</w:t>
      </w:r>
    </w:p>
    <w:p w14:paraId="0CDE2C1F" w14:textId="77777777" w:rsidR="002A2742" w:rsidRPr="006E032E" w:rsidRDefault="007C2267">
      <w:pPr>
        <w:pStyle w:val="Akapitzlist"/>
        <w:numPr>
          <w:ilvl w:val="0"/>
          <w:numId w:val="175"/>
        </w:numPr>
        <w:spacing w:after="72" w:line="249" w:lineRule="auto"/>
        <w:ind w:right="-3"/>
        <w:jc w:val="left"/>
        <w:rPr>
          <w:rFonts w:ascii="Garamond" w:hAnsi="Garamond"/>
          <w:sz w:val="24"/>
          <w:szCs w:val="24"/>
        </w:rPr>
      </w:pPr>
      <w:r w:rsidRPr="006E032E">
        <w:rPr>
          <w:rFonts w:ascii="Garamond" w:hAnsi="Garamond"/>
          <w:sz w:val="24"/>
          <w:szCs w:val="24"/>
        </w:rPr>
        <w:t>ID</w:t>
      </w:r>
      <w:r w:rsidR="002A2742" w:rsidRPr="006E032E">
        <w:rPr>
          <w:rFonts w:ascii="Garamond" w:hAnsi="Garamond"/>
          <w:sz w:val="24"/>
          <w:szCs w:val="24"/>
        </w:rPr>
        <w:t xml:space="preserve"> Sp. z o.o.,</w:t>
      </w:r>
    </w:p>
    <w:p w14:paraId="424F5423" w14:textId="77777777" w:rsidR="002A2742" w:rsidRPr="006E032E" w:rsidRDefault="002A2742">
      <w:pPr>
        <w:pStyle w:val="Akapitzlist"/>
        <w:numPr>
          <w:ilvl w:val="0"/>
          <w:numId w:val="175"/>
        </w:numPr>
        <w:spacing w:after="67" w:line="249" w:lineRule="auto"/>
        <w:ind w:right="-3"/>
        <w:jc w:val="left"/>
        <w:rPr>
          <w:rFonts w:ascii="Garamond" w:hAnsi="Garamond"/>
          <w:sz w:val="24"/>
          <w:szCs w:val="24"/>
        </w:rPr>
      </w:pPr>
      <w:r w:rsidRPr="006E032E">
        <w:rPr>
          <w:rFonts w:ascii="Garamond" w:hAnsi="Garamond"/>
          <w:sz w:val="24"/>
          <w:szCs w:val="24"/>
        </w:rPr>
        <w:t>POB przekazującym odpowiedzialność za bilansowanie handlowe,</w:t>
      </w:r>
    </w:p>
    <w:p w14:paraId="785BA95D" w14:textId="77777777" w:rsidR="002A2742" w:rsidRPr="006E032E" w:rsidRDefault="002A2742">
      <w:pPr>
        <w:pStyle w:val="Akapitzlist"/>
        <w:numPr>
          <w:ilvl w:val="0"/>
          <w:numId w:val="175"/>
        </w:numPr>
        <w:spacing w:after="15" w:line="323" w:lineRule="auto"/>
        <w:ind w:right="-3"/>
        <w:jc w:val="left"/>
        <w:rPr>
          <w:rFonts w:ascii="Garamond" w:hAnsi="Garamond"/>
          <w:sz w:val="24"/>
          <w:szCs w:val="24"/>
        </w:rPr>
      </w:pPr>
      <w:r w:rsidRPr="006E032E">
        <w:rPr>
          <w:rFonts w:ascii="Garamond" w:hAnsi="Garamond"/>
          <w:sz w:val="24"/>
          <w:szCs w:val="24"/>
        </w:rPr>
        <w:t xml:space="preserve">POB przejmującym odpowiedzialność za bilansowanie handlowe, </w:t>
      </w:r>
      <w:r w:rsidR="007C2267" w:rsidRPr="006E032E">
        <w:rPr>
          <w:rFonts w:ascii="Garamond" w:hAnsi="Garamond"/>
          <w:sz w:val="24"/>
          <w:szCs w:val="24"/>
        </w:rPr>
        <w:br/>
      </w:r>
      <w:r w:rsidRPr="006E032E">
        <w:rPr>
          <w:rFonts w:ascii="Garamond" w:hAnsi="Garamond"/>
          <w:sz w:val="24"/>
          <w:szCs w:val="24"/>
        </w:rPr>
        <w:t>oraz:</w:t>
      </w:r>
    </w:p>
    <w:p w14:paraId="6F7D4F24" w14:textId="2D55D34F" w:rsidR="002A2742" w:rsidRPr="0023253D" w:rsidRDefault="002A2742">
      <w:pPr>
        <w:pStyle w:val="Akapitzlist"/>
        <w:numPr>
          <w:ilvl w:val="0"/>
          <w:numId w:val="174"/>
        </w:numPr>
        <w:spacing w:after="82" w:line="249" w:lineRule="auto"/>
        <w:ind w:right="-3"/>
        <w:jc w:val="left"/>
        <w:rPr>
          <w:rFonts w:ascii="Garamond" w:hAnsi="Garamond"/>
          <w:sz w:val="24"/>
          <w:szCs w:val="24"/>
        </w:rPr>
      </w:pPr>
      <w:r w:rsidRPr="0023253D">
        <w:rPr>
          <w:rFonts w:ascii="Garamond" w:hAnsi="Garamond"/>
          <w:sz w:val="24"/>
          <w:szCs w:val="24"/>
        </w:rPr>
        <w:t>OSP i:</w:t>
      </w:r>
    </w:p>
    <w:p w14:paraId="355209BF" w14:textId="77777777" w:rsidR="002A2742" w:rsidRPr="006E032E" w:rsidRDefault="002A2742">
      <w:pPr>
        <w:pStyle w:val="Akapitzlist"/>
        <w:numPr>
          <w:ilvl w:val="0"/>
          <w:numId w:val="176"/>
        </w:numPr>
        <w:spacing w:after="73" w:line="249" w:lineRule="auto"/>
        <w:ind w:right="-3"/>
        <w:jc w:val="left"/>
        <w:rPr>
          <w:rFonts w:ascii="Garamond" w:hAnsi="Garamond"/>
          <w:sz w:val="24"/>
          <w:szCs w:val="24"/>
        </w:rPr>
      </w:pPr>
      <w:r w:rsidRPr="006E032E">
        <w:rPr>
          <w:rFonts w:ascii="Garamond" w:hAnsi="Garamond"/>
          <w:sz w:val="24"/>
          <w:szCs w:val="24"/>
        </w:rPr>
        <w:t>POB przekazującym odpowiedzialność za bilansowanie handlowe,</w:t>
      </w:r>
    </w:p>
    <w:p w14:paraId="274CACFE" w14:textId="77777777" w:rsidR="002A2742" w:rsidRPr="006E032E" w:rsidRDefault="002A2742">
      <w:pPr>
        <w:pStyle w:val="Akapitzlist"/>
        <w:numPr>
          <w:ilvl w:val="0"/>
          <w:numId w:val="176"/>
        </w:numPr>
        <w:spacing w:after="15" w:line="249" w:lineRule="auto"/>
        <w:ind w:right="-3"/>
        <w:jc w:val="left"/>
        <w:rPr>
          <w:rFonts w:ascii="Garamond" w:hAnsi="Garamond"/>
          <w:sz w:val="24"/>
          <w:szCs w:val="24"/>
        </w:rPr>
      </w:pPr>
      <w:r w:rsidRPr="006E032E">
        <w:rPr>
          <w:rFonts w:ascii="Garamond" w:hAnsi="Garamond"/>
          <w:sz w:val="24"/>
          <w:szCs w:val="24"/>
        </w:rPr>
        <w:t>POB przejmującym odpowiedzialność za bilansowanie handlowe,</w:t>
      </w:r>
    </w:p>
    <w:p w14:paraId="4395667D" w14:textId="77777777" w:rsidR="002A2742" w:rsidRPr="006E032E" w:rsidRDefault="002A2742">
      <w:pPr>
        <w:pStyle w:val="Akapitzlist"/>
        <w:numPr>
          <w:ilvl w:val="0"/>
          <w:numId w:val="176"/>
        </w:numPr>
        <w:spacing w:after="95" w:line="249" w:lineRule="auto"/>
        <w:ind w:right="-3"/>
        <w:jc w:val="left"/>
        <w:rPr>
          <w:rFonts w:ascii="Garamond" w:hAnsi="Garamond"/>
          <w:sz w:val="24"/>
          <w:szCs w:val="24"/>
        </w:rPr>
      </w:pPr>
      <w:r w:rsidRPr="006E032E">
        <w:rPr>
          <w:rFonts w:ascii="Garamond" w:hAnsi="Garamond"/>
          <w:sz w:val="24"/>
          <w:szCs w:val="24"/>
        </w:rPr>
        <w:t>PGE Dystrybucja S.A.</w:t>
      </w:r>
    </w:p>
    <w:p w14:paraId="5589978F" w14:textId="77777777" w:rsidR="002A2742" w:rsidRPr="00AE3F1B" w:rsidRDefault="002A2742" w:rsidP="007C7DCF">
      <w:pPr>
        <w:spacing w:after="146" w:line="248" w:lineRule="auto"/>
        <w:ind w:left="851" w:right="-3" w:hanging="425"/>
        <w:jc w:val="left"/>
        <w:rPr>
          <w:rFonts w:ascii="Garamond" w:hAnsi="Garamond"/>
          <w:sz w:val="24"/>
          <w:szCs w:val="24"/>
        </w:rPr>
      </w:pPr>
      <w:r w:rsidRPr="00AE3F1B">
        <w:rPr>
          <w:rFonts w:ascii="Garamond" w:hAnsi="Garamond"/>
          <w:sz w:val="24"/>
          <w:szCs w:val="24"/>
        </w:rPr>
        <w:t>oraz:</w:t>
      </w:r>
    </w:p>
    <w:p w14:paraId="1A883419" w14:textId="77777777" w:rsidR="007C2267" w:rsidRPr="0023253D" w:rsidRDefault="007C2267">
      <w:pPr>
        <w:pStyle w:val="Akapitzlist"/>
        <w:numPr>
          <w:ilvl w:val="0"/>
          <w:numId w:val="174"/>
        </w:numPr>
        <w:spacing w:after="124" w:line="249" w:lineRule="auto"/>
        <w:ind w:right="-3"/>
        <w:jc w:val="left"/>
        <w:rPr>
          <w:rFonts w:ascii="Garamond" w:hAnsi="Garamond"/>
          <w:sz w:val="24"/>
          <w:szCs w:val="24"/>
        </w:rPr>
      </w:pPr>
      <w:r w:rsidRPr="0023253D">
        <w:rPr>
          <w:rFonts w:ascii="Garamond" w:hAnsi="Garamond"/>
          <w:sz w:val="24"/>
          <w:szCs w:val="24"/>
        </w:rPr>
        <w:t>ID</w:t>
      </w:r>
      <w:r w:rsidR="002A2742" w:rsidRPr="0023253D">
        <w:rPr>
          <w:rFonts w:ascii="Garamond" w:hAnsi="Garamond"/>
          <w:sz w:val="24"/>
          <w:szCs w:val="24"/>
        </w:rPr>
        <w:t xml:space="preserve"> Sp. z o.o. i POB przekazującym oraz przejmującym odpowiedzialność za bilansowanie handlowe, </w:t>
      </w:r>
    </w:p>
    <w:p w14:paraId="7643732D" w14:textId="77777777" w:rsidR="002A2742" w:rsidRPr="00AE3F1B" w:rsidRDefault="002A2742" w:rsidP="007C7DCF">
      <w:pPr>
        <w:spacing w:after="124" w:line="249" w:lineRule="auto"/>
        <w:ind w:left="851" w:right="-3" w:hanging="425"/>
        <w:jc w:val="left"/>
        <w:rPr>
          <w:rFonts w:ascii="Garamond" w:hAnsi="Garamond"/>
          <w:sz w:val="24"/>
          <w:szCs w:val="24"/>
        </w:rPr>
      </w:pPr>
      <w:r w:rsidRPr="00AE3F1B">
        <w:rPr>
          <w:rFonts w:ascii="Garamond" w:hAnsi="Garamond"/>
          <w:sz w:val="24"/>
          <w:szCs w:val="24"/>
        </w:rPr>
        <w:t>oraz:</w:t>
      </w:r>
    </w:p>
    <w:p w14:paraId="14A68C39" w14:textId="77777777" w:rsidR="002A2742" w:rsidRPr="006E032E" w:rsidRDefault="007C2267">
      <w:pPr>
        <w:pStyle w:val="Akapitzlist"/>
        <w:numPr>
          <w:ilvl w:val="0"/>
          <w:numId w:val="174"/>
        </w:numPr>
        <w:spacing w:after="15" w:line="249" w:lineRule="auto"/>
        <w:ind w:right="-3"/>
        <w:jc w:val="left"/>
        <w:rPr>
          <w:rFonts w:ascii="Garamond" w:hAnsi="Garamond"/>
          <w:sz w:val="24"/>
          <w:szCs w:val="24"/>
        </w:rPr>
      </w:pPr>
      <w:r w:rsidRPr="006E032E">
        <w:rPr>
          <w:rFonts w:ascii="Garamond" w:hAnsi="Garamond"/>
          <w:sz w:val="24"/>
          <w:szCs w:val="24"/>
        </w:rPr>
        <w:t>ID</w:t>
      </w:r>
      <w:r w:rsidR="002A2742" w:rsidRPr="006E032E">
        <w:rPr>
          <w:rFonts w:ascii="Garamond" w:hAnsi="Garamond"/>
          <w:sz w:val="24"/>
          <w:szCs w:val="24"/>
        </w:rPr>
        <w:t xml:space="preserve"> Sp. z o.o. i PGE Dystrybucja S.A.</w:t>
      </w:r>
      <w:r w:rsidRPr="006E032E">
        <w:rPr>
          <w:rFonts w:ascii="Garamond" w:hAnsi="Garamond"/>
          <w:sz w:val="24"/>
          <w:szCs w:val="24"/>
        </w:rPr>
        <w:br/>
      </w:r>
    </w:p>
    <w:p w14:paraId="545E1862" w14:textId="30D86150" w:rsidR="002A2742" w:rsidRPr="00706665" w:rsidRDefault="002A2742">
      <w:pPr>
        <w:numPr>
          <w:ilvl w:val="1"/>
          <w:numId w:val="49"/>
        </w:numPr>
        <w:spacing w:line="249" w:lineRule="auto"/>
        <w:ind w:left="567" w:right="-3" w:hanging="567"/>
        <w:jc w:val="left"/>
        <w:rPr>
          <w:rFonts w:asciiTheme="majorHAnsi" w:hAnsiTheme="majorHAnsi"/>
          <w:sz w:val="24"/>
          <w:szCs w:val="24"/>
        </w:rPr>
      </w:pPr>
      <w:r w:rsidRPr="00706665">
        <w:rPr>
          <w:rFonts w:asciiTheme="majorHAnsi" w:hAnsiTheme="majorHAnsi"/>
          <w:sz w:val="24"/>
          <w:szCs w:val="24"/>
        </w:rPr>
        <w:t>POB przejmujący odpowiedzialność za bilansowanie handlowe sprzedawcy lub wytwórcy powinien posiadać zawartą umowę o świadczenie usług dystrybucji z PGE Dystrybucja</w:t>
      </w:r>
      <w:r w:rsidR="006E032E">
        <w:rPr>
          <w:rFonts w:asciiTheme="majorHAnsi" w:hAnsiTheme="majorHAnsi"/>
          <w:sz w:val="24"/>
          <w:szCs w:val="24"/>
        </w:rPr>
        <w:t xml:space="preserve"> </w:t>
      </w:r>
      <w:r w:rsidRPr="00706665">
        <w:rPr>
          <w:rFonts w:asciiTheme="majorHAnsi" w:hAnsiTheme="majorHAnsi"/>
          <w:sz w:val="24"/>
          <w:szCs w:val="24"/>
        </w:rPr>
        <w:t>S.A.</w:t>
      </w:r>
    </w:p>
    <w:p w14:paraId="38DA51DA" w14:textId="77777777" w:rsidR="002A2742" w:rsidRPr="00706665" w:rsidRDefault="002A2742">
      <w:pPr>
        <w:numPr>
          <w:ilvl w:val="1"/>
          <w:numId w:val="49"/>
        </w:numPr>
        <w:spacing w:after="156" w:line="249" w:lineRule="auto"/>
        <w:ind w:left="567" w:right="-3" w:hanging="567"/>
        <w:jc w:val="left"/>
        <w:rPr>
          <w:rFonts w:asciiTheme="majorHAnsi" w:hAnsiTheme="majorHAnsi"/>
          <w:sz w:val="24"/>
          <w:szCs w:val="24"/>
        </w:rPr>
      </w:pPr>
      <w:r w:rsidRPr="00706665">
        <w:rPr>
          <w:rFonts w:asciiTheme="majorHAnsi" w:hAnsiTheme="majorHAnsi"/>
          <w:sz w:val="24"/>
          <w:szCs w:val="24"/>
        </w:rPr>
        <w:t xml:space="preserve">W przypadku zmiany przez sprzedawcę lub wytwórcę podmiotu odpowiedzialnego za bilansowanie handlowe, sprzedawca lub wytwórca, POB przekazujący odpowiedzialność </w:t>
      </w:r>
      <w:r w:rsidR="00A03703" w:rsidRPr="00706665">
        <w:rPr>
          <w:rFonts w:asciiTheme="majorHAnsi" w:hAnsiTheme="majorHAnsi"/>
          <w:sz w:val="24"/>
          <w:szCs w:val="24"/>
        </w:rPr>
        <w:br/>
      </w:r>
      <w:r w:rsidRPr="00706665">
        <w:rPr>
          <w:rFonts w:asciiTheme="majorHAnsi" w:hAnsiTheme="majorHAnsi"/>
          <w:sz w:val="24"/>
          <w:szCs w:val="24"/>
        </w:rPr>
        <w:t xml:space="preserve">za bilansowanie handlowe oraz POB przejmujący tą odpowiedzialność, są zobowiązani do powiadomienia </w:t>
      </w:r>
      <w:r w:rsidR="007C2267" w:rsidRPr="00706665">
        <w:rPr>
          <w:rFonts w:asciiTheme="majorHAnsi" w:hAnsiTheme="majorHAnsi"/>
          <w:sz w:val="24"/>
          <w:szCs w:val="24"/>
        </w:rPr>
        <w:t>ID</w:t>
      </w:r>
      <w:r w:rsidRPr="00706665">
        <w:rPr>
          <w:rFonts w:asciiTheme="majorHAnsi" w:hAnsiTheme="majorHAnsi"/>
          <w:sz w:val="24"/>
          <w:szCs w:val="24"/>
        </w:rPr>
        <w:t xml:space="preserve"> Sp. z o.o. o tym fakcie drogą elektroniczną lub w formie pisemnej listem poleconym na formularzu udostępnionym na stronie internetowej OSD. </w:t>
      </w:r>
      <w:r w:rsidR="007C2267" w:rsidRPr="00706665">
        <w:rPr>
          <w:rFonts w:asciiTheme="majorHAnsi" w:hAnsiTheme="majorHAnsi"/>
          <w:sz w:val="24"/>
          <w:szCs w:val="24"/>
        </w:rPr>
        <w:t>ID</w:t>
      </w:r>
      <w:r w:rsidRPr="00706665">
        <w:rPr>
          <w:rFonts w:asciiTheme="majorHAnsi" w:hAnsiTheme="majorHAnsi"/>
          <w:sz w:val="24"/>
          <w:szCs w:val="24"/>
        </w:rPr>
        <w:t xml:space="preserve"> Sp. z o.o. dokonuje weryfikacji zgodności powiadomień i informuje o jej wyniku zainteresowane podmioty drogą elektroniczną lub w formie pisemnej listem poleconym. Przekazywana informacja zawiera również datę, od której następuje zmiana POB, z zastrzeżeniem p. D.4. Szczegółowe zasady wymiany informacji określone są w umowach zawartych przez te podmioty z </w:t>
      </w:r>
      <w:r w:rsidR="007C2267" w:rsidRPr="00706665">
        <w:rPr>
          <w:rFonts w:asciiTheme="majorHAnsi" w:hAnsiTheme="majorHAnsi"/>
          <w:sz w:val="24"/>
          <w:szCs w:val="24"/>
        </w:rPr>
        <w:t>ID</w:t>
      </w:r>
      <w:r w:rsidRPr="00706665">
        <w:rPr>
          <w:rFonts w:asciiTheme="majorHAnsi" w:hAnsiTheme="majorHAnsi"/>
          <w:sz w:val="24"/>
          <w:szCs w:val="24"/>
        </w:rPr>
        <w:t xml:space="preserve"> Sp. z o.o.</w:t>
      </w:r>
    </w:p>
    <w:p w14:paraId="2A82E167" w14:textId="02F4C2AF" w:rsidR="002A2742" w:rsidRPr="00706665" w:rsidRDefault="002A2742">
      <w:pPr>
        <w:numPr>
          <w:ilvl w:val="1"/>
          <w:numId w:val="49"/>
        </w:numPr>
        <w:spacing w:after="175" w:line="249" w:lineRule="auto"/>
        <w:ind w:left="567" w:right="-3" w:hanging="567"/>
        <w:jc w:val="left"/>
        <w:rPr>
          <w:rFonts w:asciiTheme="majorHAnsi" w:hAnsiTheme="majorHAnsi"/>
          <w:sz w:val="24"/>
          <w:szCs w:val="24"/>
        </w:rPr>
      </w:pPr>
      <w:r w:rsidRPr="00706665">
        <w:rPr>
          <w:rFonts w:asciiTheme="majorHAnsi" w:hAnsiTheme="majorHAnsi"/>
          <w:sz w:val="24"/>
          <w:szCs w:val="24"/>
        </w:rPr>
        <w:t>Zmiana podmiotu odpowiedzialnego za bilansowanie handlowe następuje od początku nowego okresu rozliczeniowego obowiązującego na Rynku Bilansującym, następującego po dacie</w:t>
      </w:r>
      <w:r w:rsidR="006316A5">
        <w:rPr>
          <w:rFonts w:asciiTheme="majorHAnsi" w:hAnsiTheme="majorHAnsi"/>
          <w:sz w:val="24"/>
          <w:szCs w:val="24"/>
        </w:rPr>
        <w:t xml:space="preserve"> </w:t>
      </w:r>
      <w:r w:rsidRPr="00706665">
        <w:rPr>
          <w:rFonts w:asciiTheme="majorHAnsi" w:hAnsiTheme="majorHAnsi"/>
          <w:sz w:val="24"/>
          <w:szCs w:val="24"/>
        </w:rPr>
        <w:t xml:space="preserve">otrzymania przez </w:t>
      </w:r>
      <w:r w:rsidR="007C2267" w:rsidRPr="00706665">
        <w:rPr>
          <w:rFonts w:asciiTheme="majorHAnsi" w:hAnsiTheme="majorHAnsi"/>
          <w:sz w:val="24"/>
          <w:szCs w:val="24"/>
        </w:rPr>
        <w:t>ID</w:t>
      </w:r>
      <w:r w:rsidRPr="00706665">
        <w:rPr>
          <w:rFonts w:asciiTheme="majorHAnsi" w:hAnsiTheme="majorHAnsi"/>
          <w:sz w:val="24"/>
          <w:szCs w:val="24"/>
        </w:rPr>
        <w:t xml:space="preserve"> Sp. z o.o. powiadomień od sprzedawcy lub wytwórcy oraz POB przekazującego i przejmującego odpowiedzialność za bilansowanie handlowe, jednak nie wcześniej niż po 10 dniach kalendarzowych od powyższej daty.</w:t>
      </w:r>
    </w:p>
    <w:p w14:paraId="7A0DF1A6" w14:textId="4069F6F1" w:rsidR="002A2742" w:rsidRPr="00AE3F1B" w:rsidRDefault="002A2742" w:rsidP="00175586">
      <w:pPr>
        <w:spacing w:after="158" w:line="249" w:lineRule="auto"/>
        <w:ind w:left="567" w:right="-3" w:hanging="567"/>
        <w:jc w:val="left"/>
        <w:rPr>
          <w:rFonts w:ascii="Garamond" w:hAnsi="Garamond"/>
          <w:sz w:val="24"/>
          <w:szCs w:val="24"/>
        </w:rPr>
      </w:pPr>
      <w:r w:rsidRPr="00AE3F1B">
        <w:rPr>
          <w:rFonts w:ascii="Garamond" w:hAnsi="Garamond"/>
          <w:sz w:val="24"/>
          <w:szCs w:val="24"/>
        </w:rPr>
        <w:t>D.</w:t>
      </w:r>
      <w:r w:rsidR="007C2267" w:rsidRPr="00AE3F1B">
        <w:rPr>
          <w:rFonts w:ascii="Garamond" w:hAnsi="Garamond"/>
          <w:sz w:val="24"/>
          <w:szCs w:val="24"/>
        </w:rPr>
        <w:t>5</w:t>
      </w:r>
      <w:r w:rsidRPr="00AE3F1B">
        <w:rPr>
          <w:rFonts w:ascii="Garamond" w:hAnsi="Garamond"/>
          <w:sz w:val="24"/>
          <w:szCs w:val="24"/>
        </w:rPr>
        <w:t xml:space="preserve">. </w:t>
      </w:r>
      <w:r w:rsidR="006E032E">
        <w:rPr>
          <w:rFonts w:ascii="Garamond" w:hAnsi="Garamond"/>
          <w:sz w:val="24"/>
          <w:szCs w:val="24"/>
        </w:rPr>
        <w:tab/>
      </w:r>
      <w:r w:rsidRPr="00AE3F1B">
        <w:rPr>
          <w:rFonts w:ascii="Garamond" w:hAnsi="Garamond"/>
          <w:sz w:val="24"/>
          <w:szCs w:val="24"/>
        </w:rPr>
        <w:t xml:space="preserve">POB odpowiedzialny za bilansowanie sprzedawcy jest zobowiązany do natychmiastowego, skutecznego poinformowania </w:t>
      </w:r>
      <w:r w:rsidR="007C2267" w:rsidRPr="00AE3F1B">
        <w:rPr>
          <w:rFonts w:ascii="Garamond" w:hAnsi="Garamond"/>
          <w:sz w:val="24"/>
          <w:szCs w:val="24"/>
        </w:rPr>
        <w:t>ID</w:t>
      </w:r>
      <w:r w:rsidRPr="00AE3F1B">
        <w:rPr>
          <w:rFonts w:ascii="Garamond" w:hAnsi="Garamond"/>
          <w:sz w:val="24"/>
          <w:szCs w:val="24"/>
        </w:rPr>
        <w:t xml:space="preserve"> Sp. z o.o. oraz sprzedawcy lub wytwórcy, który go wskazał, o zaprzestaniu działalności na RB.</w:t>
      </w:r>
    </w:p>
    <w:p w14:paraId="03FC6738" w14:textId="765BF243" w:rsidR="002A2742" w:rsidRPr="00AE3F1B" w:rsidRDefault="002A2742" w:rsidP="00175586">
      <w:pPr>
        <w:spacing w:after="185" w:line="249" w:lineRule="auto"/>
        <w:ind w:left="567" w:right="-3" w:hanging="567"/>
        <w:jc w:val="left"/>
        <w:rPr>
          <w:rFonts w:ascii="Garamond" w:hAnsi="Garamond"/>
          <w:sz w:val="24"/>
          <w:szCs w:val="24"/>
        </w:rPr>
      </w:pPr>
      <w:r w:rsidRPr="00AE3F1B">
        <w:rPr>
          <w:rFonts w:ascii="Garamond" w:hAnsi="Garamond"/>
          <w:sz w:val="24"/>
          <w:szCs w:val="24"/>
        </w:rPr>
        <w:lastRenderedPageBreak/>
        <w:t xml:space="preserve">D.6. </w:t>
      </w:r>
      <w:r w:rsidR="006E032E">
        <w:rPr>
          <w:rFonts w:ascii="Garamond" w:hAnsi="Garamond"/>
          <w:sz w:val="24"/>
          <w:szCs w:val="24"/>
        </w:rPr>
        <w:tab/>
      </w:r>
      <w:r w:rsidRPr="00AE3F1B">
        <w:rPr>
          <w:rFonts w:ascii="Garamond" w:hAnsi="Garamond"/>
          <w:sz w:val="24"/>
          <w:szCs w:val="24"/>
        </w:rPr>
        <w:t xml:space="preserve">Zaprzestanie działalności przez sprzedawcę lub wskazanego przez sprzedawcę lub </w:t>
      </w:r>
      <w:proofErr w:type="spellStart"/>
      <w:r w:rsidRPr="00AE3F1B">
        <w:rPr>
          <w:rFonts w:ascii="Garamond" w:hAnsi="Garamond"/>
          <w:sz w:val="24"/>
          <w:szCs w:val="24"/>
        </w:rPr>
        <w:t>URDw</w:t>
      </w:r>
      <w:proofErr w:type="spellEnd"/>
      <w:r w:rsidRPr="00AE3F1B">
        <w:rPr>
          <w:rFonts w:ascii="Garamond" w:hAnsi="Garamond"/>
          <w:sz w:val="24"/>
          <w:szCs w:val="24"/>
        </w:rPr>
        <w:t xml:space="preserve"> POB, skutkuje jednoczesnym zaprzestaniem realizacji umów sprzedaży energii tego sprzedawcy lub </w:t>
      </w:r>
      <w:proofErr w:type="spellStart"/>
      <w:r w:rsidRPr="00AE3F1B">
        <w:rPr>
          <w:rFonts w:ascii="Garamond" w:hAnsi="Garamond"/>
          <w:sz w:val="24"/>
          <w:szCs w:val="24"/>
        </w:rPr>
        <w:t>URDw</w:t>
      </w:r>
      <w:proofErr w:type="spellEnd"/>
      <w:r w:rsidRPr="00AE3F1B">
        <w:rPr>
          <w:rFonts w:ascii="Garamond" w:hAnsi="Garamond"/>
          <w:sz w:val="24"/>
          <w:szCs w:val="24"/>
        </w:rPr>
        <w:t xml:space="preserve"> i zaprzestaniem bilansowania handlowego tego sprzedawcy lub </w:t>
      </w:r>
      <w:proofErr w:type="spellStart"/>
      <w:r w:rsidRPr="00AE3F1B">
        <w:rPr>
          <w:rFonts w:ascii="Garamond" w:hAnsi="Garamond"/>
          <w:sz w:val="24"/>
          <w:szCs w:val="24"/>
        </w:rPr>
        <w:t>URDw</w:t>
      </w:r>
      <w:proofErr w:type="spellEnd"/>
      <w:r w:rsidRPr="00AE3F1B">
        <w:rPr>
          <w:rFonts w:ascii="Garamond" w:hAnsi="Garamond"/>
          <w:sz w:val="24"/>
          <w:szCs w:val="24"/>
        </w:rPr>
        <w:t xml:space="preserve"> przez POB na obszarze działania OSD.</w:t>
      </w:r>
    </w:p>
    <w:p w14:paraId="051070D7" w14:textId="57AF2CF1" w:rsidR="002A2742" w:rsidRPr="00AE3F1B" w:rsidRDefault="002A2742" w:rsidP="00175586">
      <w:pPr>
        <w:spacing w:after="335" w:line="249" w:lineRule="auto"/>
        <w:ind w:left="567" w:right="-3" w:hanging="567"/>
        <w:jc w:val="left"/>
        <w:rPr>
          <w:rFonts w:ascii="Garamond" w:hAnsi="Garamond"/>
          <w:sz w:val="24"/>
          <w:szCs w:val="24"/>
        </w:rPr>
      </w:pPr>
      <w:r w:rsidRPr="00AE3F1B">
        <w:rPr>
          <w:rFonts w:ascii="Garamond" w:hAnsi="Garamond"/>
          <w:sz w:val="24"/>
          <w:szCs w:val="24"/>
        </w:rPr>
        <w:t>D.7</w:t>
      </w:r>
      <w:r w:rsidR="007C2267" w:rsidRPr="00AE3F1B">
        <w:rPr>
          <w:rFonts w:ascii="Garamond" w:hAnsi="Garamond"/>
          <w:sz w:val="24"/>
          <w:szCs w:val="24"/>
        </w:rPr>
        <w:t>.</w:t>
      </w:r>
      <w:r w:rsidR="006E032E">
        <w:rPr>
          <w:rFonts w:ascii="Garamond" w:hAnsi="Garamond"/>
          <w:sz w:val="24"/>
          <w:szCs w:val="24"/>
        </w:rPr>
        <w:tab/>
      </w:r>
      <w:r w:rsidRPr="00AE3F1B">
        <w:rPr>
          <w:rFonts w:ascii="Garamond" w:hAnsi="Garamond"/>
          <w:sz w:val="24"/>
          <w:szCs w:val="24"/>
        </w:rPr>
        <w:t xml:space="preserve">Powiadomienie OSD o rozwiązaniu umowy o świadczenie usługi bilansowania handlowego pomiędzy POB i sprzedawcą lub POB i </w:t>
      </w:r>
      <w:proofErr w:type="spellStart"/>
      <w:r w:rsidRPr="00AE3F1B">
        <w:rPr>
          <w:rFonts w:ascii="Garamond" w:hAnsi="Garamond"/>
          <w:sz w:val="24"/>
          <w:szCs w:val="24"/>
        </w:rPr>
        <w:t>URDw</w:t>
      </w:r>
      <w:proofErr w:type="spellEnd"/>
      <w:r w:rsidRPr="00AE3F1B">
        <w:rPr>
          <w:rFonts w:ascii="Garamond" w:hAnsi="Garamond"/>
          <w:sz w:val="24"/>
          <w:szCs w:val="24"/>
        </w:rPr>
        <w:t xml:space="preserve"> powinno nastąpić niezwłocznie po uzyskaniu takich informacji przez zainteresowane Strony, jednak nie później niż 15 dni kalendarzowych przed planowanym zakończeniem świadczenia usługi bilansowania handlowego.</w:t>
      </w:r>
    </w:p>
    <w:p w14:paraId="62C5A2FF" w14:textId="77777777" w:rsidR="00A03703" w:rsidRPr="001F3AF3" w:rsidRDefault="007C7DCF">
      <w:pPr>
        <w:numPr>
          <w:ilvl w:val="0"/>
          <w:numId w:val="49"/>
        </w:numPr>
        <w:spacing w:after="178" w:line="248" w:lineRule="auto"/>
        <w:ind w:left="567" w:right="-3" w:hanging="567"/>
        <w:jc w:val="left"/>
        <w:rPr>
          <w:rFonts w:asciiTheme="majorHAnsi" w:hAnsiTheme="majorHAnsi"/>
          <w:b/>
          <w:bCs/>
          <w:sz w:val="24"/>
          <w:szCs w:val="24"/>
        </w:rPr>
      </w:pPr>
      <w:r w:rsidRPr="001F3AF3">
        <w:rPr>
          <w:rFonts w:asciiTheme="majorHAnsi" w:hAnsiTheme="majorHAnsi"/>
          <w:b/>
          <w:bCs/>
          <w:sz w:val="24"/>
          <w:szCs w:val="24"/>
        </w:rPr>
        <w:t>Postępowanie reklamacyjne</w:t>
      </w:r>
    </w:p>
    <w:p w14:paraId="530B07FF" w14:textId="12EF0961" w:rsidR="00A03703" w:rsidRPr="00AE3F1B" w:rsidRDefault="00A03703" w:rsidP="00175586">
      <w:pPr>
        <w:spacing w:after="164" w:line="249" w:lineRule="auto"/>
        <w:ind w:left="567" w:right="-3" w:hanging="567"/>
        <w:jc w:val="left"/>
        <w:rPr>
          <w:rFonts w:ascii="Garamond" w:hAnsi="Garamond"/>
          <w:sz w:val="24"/>
          <w:szCs w:val="24"/>
        </w:rPr>
      </w:pPr>
      <w:r w:rsidRPr="00AE3F1B">
        <w:rPr>
          <w:rFonts w:ascii="Garamond" w:hAnsi="Garamond"/>
          <w:sz w:val="24"/>
          <w:szCs w:val="24"/>
        </w:rPr>
        <w:t>E.</w:t>
      </w:r>
      <w:r w:rsidR="005B3AD1">
        <w:rPr>
          <w:rFonts w:ascii="Garamond" w:hAnsi="Garamond"/>
          <w:sz w:val="24"/>
          <w:szCs w:val="24"/>
        </w:rPr>
        <w:t>1.</w:t>
      </w:r>
      <w:r w:rsidRPr="00AE3F1B">
        <w:rPr>
          <w:rFonts w:ascii="Garamond" w:hAnsi="Garamond"/>
          <w:sz w:val="24"/>
          <w:szCs w:val="24"/>
        </w:rPr>
        <w:t xml:space="preserve">  </w:t>
      </w:r>
      <w:r w:rsidR="005B3AD1">
        <w:rPr>
          <w:rFonts w:ascii="Garamond" w:hAnsi="Garamond"/>
          <w:sz w:val="24"/>
          <w:szCs w:val="24"/>
        </w:rPr>
        <w:t xml:space="preserve"> </w:t>
      </w:r>
      <w:r w:rsidRPr="00AE3F1B">
        <w:rPr>
          <w:rFonts w:ascii="Garamond" w:hAnsi="Garamond"/>
          <w:sz w:val="24"/>
          <w:szCs w:val="24"/>
        </w:rPr>
        <w:t xml:space="preserve">Składanie i rozpatrywanie reklamacji </w:t>
      </w:r>
      <w:r w:rsidR="006E032E" w:rsidRPr="00AE3F1B">
        <w:rPr>
          <w:rFonts w:ascii="Garamond" w:hAnsi="Garamond"/>
          <w:sz w:val="24"/>
          <w:szCs w:val="24"/>
        </w:rPr>
        <w:t>odbywają</w:t>
      </w:r>
      <w:r w:rsidRPr="00AE3F1B">
        <w:rPr>
          <w:rFonts w:ascii="Garamond" w:hAnsi="Garamond"/>
          <w:sz w:val="24"/>
          <w:szCs w:val="24"/>
        </w:rPr>
        <w:t xml:space="preserve"> się na zasadach opisanych w </w:t>
      </w:r>
      <w:r w:rsidR="004B0D5B" w:rsidRPr="004B0D5B">
        <w:rPr>
          <w:rFonts w:ascii="Garamond" w:hAnsi="Garamond"/>
          <w:sz w:val="24"/>
          <w:szCs w:val="24"/>
        </w:rPr>
        <w:t>IRiESD</w:t>
      </w:r>
      <w:r w:rsidRPr="00AE3F1B">
        <w:rPr>
          <w:rFonts w:ascii="Garamond" w:hAnsi="Garamond"/>
          <w:sz w:val="24"/>
          <w:szCs w:val="24"/>
        </w:rPr>
        <w:t xml:space="preserve"> Korzystanie w części dotyczącej standardów jakościowych obsługi odbiorców.</w:t>
      </w:r>
    </w:p>
    <w:p w14:paraId="693EA909" w14:textId="433D36B2" w:rsidR="00A03703" w:rsidRPr="00AE3F1B" w:rsidRDefault="00A03703">
      <w:pPr>
        <w:numPr>
          <w:ilvl w:val="1"/>
          <w:numId w:val="49"/>
        </w:numPr>
        <w:spacing w:after="130" w:line="249" w:lineRule="auto"/>
        <w:ind w:left="567" w:right="-3" w:hanging="567"/>
        <w:jc w:val="left"/>
        <w:rPr>
          <w:rFonts w:ascii="Garamond" w:hAnsi="Garamond"/>
          <w:sz w:val="24"/>
          <w:szCs w:val="24"/>
        </w:rPr>
      </w:pPr>
      <w:r w:rsidRPr="00AE3F1B">
        <w:rPr>
          <w:rFonts w:ascii="Garamond" w:hAnsi="Garamond"/>
          <w:sz w:val="24"/>
          <w:szCs w:val="24"/>
        </w:rPr>
        <w:t>Postępowanie w sprawie reklamacji złożonych od</w:t>
      </w:r>
      <w:r w:rsidR="00D356CE">
        <w:rPr>
          <w:rFonts w:ascii="Garamond" w:hAnsi="Garamond"/>
          <w:sz w:val="24"/>
          <w:szCs w:val="24"/>
        </w:rPr>
        <w:t xml:space="preserve"> </w:t>
      </w:r>
      <w:r w:rsidRPr="00AE3F1B">
        <w:rPr>
          <w:rFonts w:ascii="Garamond" w:hAnsi="Garamond"/>
          <w:sz w:val="24"/>
          <w:szCs w:val="24"/>
        </w:rPr>
        <w:t xml:space="preserve">sprzedawcy przez URD posiadającego zawartą umowę kompleksową, w sprawach innych niż opisane w </w:t>
      </w:r>
      <w:r w:rsidR="00BA6D98" w:rsidRPr="00BA6D98">
        <w:rPr>
          <w:rFonts w:ascii="Garamond" w:hAnsi="Garamond"/>
          <w:sz w:val="24"/>
          <w:szCs w:val="24"/>
        </w:rPr>
        <w:t>IRiESD</w:t>
      </w:r>
      <w:r w:rsidRPr="00AE3F1B">
        <w:rPr>
          <w:rFonts w:ascii="Garamond" w:hAnsi="Garamond"/>
          <w:sz w:val="24"/>
          <w:szCs w:val="24"/>
        </w:rPr>
        <w:t>-Korzystanie, realizowane jest</w:t>
      </w:r>
      <w:r w:rsidRPr="00AE3F1B">
        <w:rPr>
          <w:rFonts w:ascii="Garamond" w:hAnsi="Garamond"/>
          <w:sz w:val="24"/>
          <w:szCs w:val="24"/>
        </w:rPr>
        <w:br/>
        <w:t>w następujący sposób:</w:t>
      </w:r>
    </w:p>
    <w:p w14:paraId="23E7B196" w14:textId="77777777" w:rsidR="00A03703" w:rsidRPr="00AE3F1B" w:rsidRDefault="00A03703">
      <w:pPr>
        <w:numPr>
          <w:ilvl w:val="2"/>
          <w:numId w:val="49"/>
        </w:numPr>
        <w:spacing w:after="124" w:line="249" w:lineRule="auto"/>
        <w:ind w:left="851" w:right="-3" w:hanging="425"/>
        <w:jc w:val="left"/>
        <w:rPr>
          <w:rFonts w:ascii="Garamond" w:hAnsi="Garamond"/>
          <w:sz w:val="24"/>
          <w:szCs w:val="24"/>
        </w:rPr>
      </w:pPr>
      <w:r w:rsidRPr="00AE3F1B">
        <w:rPr>
          <w:rFonts w:ascii="Garamond" w:hAnsi="Garamond"/>
          <w:sz w:val="24"/>
          <w:szCs w:val="24"/>
        </w:rPr>
        <w:t>reklamacje dotyczące odczytu wskazań układu pomiarowo-rozliczeniowego przekazywane są przez sprzedawcę do ID. OSD dokonuje weryfikacji wskazań układu pomiarowo-rozliczeniowego w terminie 7 dni kalendarzowych od daty otrzymania reklamacji od sprzedawcy i w tym samym terminie przekazuje odpowiedź sprzedawcy,</w:t>
      </w:r>
    </w:p>
    <w:p w14:paraId="0A948FE0" w14:textId="77777777" w:rsidR="00A03703" w:rsidRPr="00AE3F1B" w:rsidRDefault="00A03703">
      <w:pPr>
        <w:numPr>
          <w:ilvl w:val="2"/>
          <w:numId w:val="49"/>
        </w:numPr>
        <w:spacing w:after="171" w:line="249" w:lineRule="auto"/>
        <w:ind w:left="851" w:right="-3" w:hanging="425"/>
        <w:jc w:val="left"/>
        <w:rPr>
          <w:rFonts w:ascii="Garamond" w:hAnsi="Garamond"/>
          <w:sz w:val="24"/>
          <w:szCs w:val="24"/>
        </w:rPr>
      </w:pPr>
      <w:r w:rsidRPr="00AE3F1B">
        <w:rPr>
          <w:rFonts w:ascii="Garamond" w:hAnsi="Garamond"/>
          <w:sz w:val="24"/>
          <w:szCs w:val="24"/>
        </w:rPr>
        <w:t>reklamacje dotyczące prawidłowości działania układu pomiarowo-rozliczeniowego sprzedawca przekazuje do ID w ciągu 2 dni roboczych w formie elektronicznej. OSD bezzwłocznie podejmuje działania w celu rozpatrzenia reklamacji oraz naprawy lub wymiany układu pomiarowo-rozliczeniowego. OSD niezwłocznie informuje w formie elektronicznej sprzedawcę o zrealizowanych działaniach, w tym naprawach lub wymianach, a także o ewentualnej korekcie danych pomiarowych w wyniku stwierdzonych nieprawidłowości pracy układu pomiarowo-rozliczeniowego. OSD wykonuje powyższe czynności w terminie 9 dni kalendarzowych od otrzymania reklamacji,</w:t>
      </w:r>
    </w:p>
    <w:p w14:paraId="006049B0" w14:textId="77777777" w:rsidR="00A03703" w:rsidRPr="00AE3F1B" w:rsidRDefault="00A03703">
      <w:pPr>
        <w:numPr>
          <w:ilvl w:val="2"/>
          <w:numId w:val="49"/>
        </w:numPr>
        <w:spacing w:after="170" w:line="249" w:lineRule="auto"/>
        <w:ind w:left="851" w:right="-3" w:hanging="425"/>
        <w:jc w:val="left"/>
        <w:rPr>
          <w:rFonts w:ascii="Garamond" w:hAnsi="Garamond"/>
          <w:sz w:val="24"/>
          <w:szCs w:val="24"/>
        </w:rPr>
      </w:pPr>
      <w:r w:rsidRPr="00AE3F1B">
        <w:rPr>
          <w:rFonts w:ascii="Garamond" w:hAnsi="Garamond"/>
          <w:sz w:val="24"/>
          <w:szCs w:val="24"/>
        </w:rPr>
        <w:t>w przypadku żądania URD laboratoryjnego sprawdzenia licznika, sprzedawca informuje o tym ID w terminie 2 dni roboczych. OSD realizuje żądanie URD w terminie zapewniającym realizację obowiązku w ciągu 14 dni kalendarzowych od zgłoszenia URD. Pokrycie kosztów laboratoryjnego sprawdzenia licznika odbywa się zgodnie z zapisami obowiązującego prawa,</w:t>
      </w:r>
    </w:p>
    <w:p w14:paraId="08F79917" w14:textId="77777777" w:rsidR="00A03703" w:rsidRPr="00AE3F1B" w:rsidRDefault="00A03703">
      <w:pPr>
        <w:numPr>
          <w:ilvl w:val="2"/>
          <w:numId w:val="49"/>
        </w:numPr>
        <w:spacing w:after="145" w:line="249" w:lineRule="auto"/>
        <w:ind w:left="851" w:right="-3" w:hanging="425"/>
        <w:jc w:val="left"/>
        <w:rPr>
          <w:rFonts w:ascii="Garamond" w:hAnsi="Garamond"/>
          <w:sz w:val="24"/>
          <w:szCs w:val="24"/>
        </w:rPr>
      </w:pPr>
      <w:r w:rsidRPr="00AE3F1B">
        <w:rPr>
          <w:rFonts w:ascii="Garamond" w:hAnsi="Garamond"/>
          <w:sz w:val="24"/>
          <w:szCs w:val="24"/>
        </w:rPr>
        <w:t>w ciągu 30 dni kalendarzowych od dnia otrzymania wyniku badania laboratoryjnego o którym mowa w ppkt. 3), URD może zlecić wykonanie dodatkowej ekspertyzy badanego uprzednio układu pomiarowo-rozliczeniowego. Koszt ekspertyzy pokrywa URD na zasadach określonych w przepisach prawa,</w:t>
      </w:r>
    </w:p>
    <w:p w14:paraId="1DB8CB05" w14:textId="0F2B056E" w:rsidR="00A03703" w:rsidRPr="00AE3F1B" w:rsidRDefault="00A03703">
      <w:pPr>
        <w:numPr>
          <w:ilvl w:val="2"/>
          <w:numId w:val="49"/>
        </w:numPr>
        <w:spacing w:after="15" w:line="249" w:lineRule="auto"/>
        <w:ind w:left="851" w:right="-3" w:hanging="425"/>
        <w:jc w:val="left"/>
        <w:rPr>
          <w:rFonts w:ascii="Garamond" w:hAnsi="Garamond"/>
          <w:sz w:val="24"/>
          <w:szCs w:val="24"/>
        </w:rPr>
      </w:pPr>
      <w:r w:rsidRPr="00AE3F1B">
        <w:rPr>
          <w:rFonts w:ascii="Garamond" w:hAnsi="Garamond"/>
          <w:sz w:val="24"/>
          <w:szCs w:val="24"/>
        </w:rPr>
        <w:t xml:space="preserve">reklamacje dotyczące dotrzymania parametrów jakościowych energii elektrycznej dostarczanej </w:t>
      </w:r>
      <w:r w:rsidRPr="00AE3F1B">
        <w:rPr>
          <w:rFonts w:ascii="Garamond" w:hAnsi="Garamond"/>
          <w:sz w:val="24"/>
          <w:szCs w:val="24"/>
        </w:rPr>
        <w:br/>
        <w:t xml:space="preserve">z sieci elektroenergetycznej, przekazywane są do ID przez sprzedawcę w terminie 2 dni roboczych. OSD w miarę możliwości technicznych i organizacyjnych, dokonuje sprawdzenia dotrzymania parametrów jakościowych energii elektrycznej dostarczanej z sieci elektroenergetycznej, poprzez wykonanie odpowiednich pomiarów. OSD przekazuje sprzedawcy informację o wynikach sprawdzenia niezwłocznie po zakończeniu pomiarów. </w:t>
      </w:r>
      <w:r w:rsidRPr="00AE3F1B">
        <w:rPr>
          <w:rFonts w:ascii="Garamond" w:hAnsi="Garamond"/>
          <w:sz w:val="24"/>
          <w:szCs w:val="24"/>
        </w:rPr>
        <w:br/>
        <w:t xml:space="preserve">W przypadku zgodności zmierzonych parametrów z określonymi w umowie kompleksowej </w:t>
      </w:r>
      <w:r w:rsidRPr="00AE3F1B">
        <w:rPr>
          <w:rFonts w:ascii="Garamond" w:hAnsi="Garamond"/>
          <w:sz w:val="24"/>
          <w:szCs w:val="24"/>
        </w:rPr>
        <w:lastRenderedPageBreak/>
        <w:t xml:space="preserve">lub </w:t>
      </w:r>
      <w:r w:rsidR="005B3AD1" w:rsidRPr="005B3AD1">
        <w:rPr>
          <w:rFonts w:ascii="Garamond" w:hAnsi="Garamond"/>
          <w:sz w:val="24"/>
          <w:szCs w:val="24"/>
        </w:rPr>
        <w:t>IRiESD</w:t>
      </w:r>
      <w:r w:rsidRPr="00AE3F1B">
        <w:rPr>
          <w:rFonts w:ascii="Garamond" w:hAnsi="Garamond"/>
          <w:sz w:val="24"/>
          <w:szCs w:val="24"/>
        </w:rPr>
        <w:t>, koszty sprawdzenia i pomiarów ponosi URD, na zasadach określonych w taryfie OSD,</w:t>
      </w:r>
    </w:p>
    <w:p w14:paraId="5551417E" w14:textId="77777777" w:rsidR="00A03703" w:rsidRPr="00AE3F1B" w:rsidRDefault="00A03703">
      <w:pPr>
        <w:numPr>
          <w:ilvl w:val="2"/>
          <w:numId w:val="49"/>
        </w:numPr>
        <w:spacing w:after="142" w:line="249" w:lineRule="auto"/>
        <w:ind w:left="851" w:right="-3" w:hanging="425"/>
        <w:jc w:val="left"/>
        <w:rPr>
          <w:rFonts w:ascii="Garamond" w:hAnsi="Garamond"/>
          <w:sz w:val="24"/>
          <w:szCs w:val="24"/>
        </w:rPr>
      </w:pPr>
      <w:r w:rsidRPr="00AE3F1B">
        <w:rPr>
          <w:rFonts w:ascii="Garamond" w:hAnsi="Garamond"/>
          <w:sz w:val="24"/>
          <w:szCs w:val="24"/>
        </w:rPr>
        <w:t>w przypadku otrzymania przez sprzedawcę od:</w:t>
      </w:r>
    </w:p>
    <w:p w14:paraId="294A62B1" w14:textId="77777777" w:rsidR="00A03703" w:rsidRPr="00AE3F1B" w:rsidRDefault="00A03703">
      <w:pPr>
        <w:numPr>
          <w:ilvl w:val="0"/>
          <w:numId w:val="50"/>
        </w:numPr>
        <w:spacing w:after="0" w:line="249" w:lineRule="auto"/>
        <w:ind w:left="993" w:right="-3" w:hanging="284"/>
        <w:jc w:val="left"/>
        <w:rPr>
          <w:rFonts w:ascii="Garamond" w:hAnsi="Garamond"/>
          <w:sz w:val="24"/>
          <w:szCs w:val="24"/>
        </w:rPr>
      </w:pPr>
      <w:r w:rsidRPr="00AE3F1B">
        <w:rPr>
          <w:rFonts w:ascii="Garamond" w:hAnsi="Garamond"/>
          <w:sz w:val="24"/>
          <w:szCs w:val="24"/>
        </w:rPr>
        <w:t xml:space="preserve">URD przyłączonego do sieci o napięciu znamionowym nie wyższym niż 1 </w:t>
      </w:r>
      <w:proofErr w:type="spellStart"/>
      <w:r w:rsidRPr="00AE3F1B">
        <w:rPr>
          <w:rFonts w:ascii="Garamond" w:hAnsi="Garamond"/>
          <w:sz w:val="24"/>
          <w:szCs w:val="24"/>
        </w:rPr>
        <w:t>kV</w:t>
      </w:r>
      <w:proofErr w:type="spellEnd"/>
      <w:r w:rsidRPr="00AE3F1B">
        <w:rPr>
          <w:rFonts w:ascii="Garamond" w:hAnsi="Garamond"/>
          <w:sz w:val="24"/>
          <w:szCs w:val="24"/>
        </w:rPr>
        <w:t>, wniosku o udzielenie bonifikaty z tytułu przekroczenia dopuszczalnych czasów przerw w dostarczaniu energii elektrycznej,</w:t>
      </w:r>
    </w:p>
    <w:p w14:paraId="25B8EF47" w14:textId="77777777" w:rsidR="00A03703" w:rsidRPr="00AE3F1B" w:rsidRDefault="00A03703">
      <w:pPr>
        <w:numPr>
          <w:ilvl w:val="0"/>
          <w:numId w:val="50"/>
        </w:numPr>
        <w:spacing w:after="121" w:line="249" w:lineRule="auto"/>
        <w:ind w:left="993" w:right="-3" w:hanging="284"/>
        <w:jc w:val="left"/>
        <w:rPr>
          <w:rFonts w:ascii="Garamond" w:hAnsi="Garamond"/>
          <w:sz w:val="24"/>
          <w:szCs w:val="24"/>
        </w:rPr>
      </w:pPr>
      <w:r w:rsidRPr="00AE3F1B">
        <w:rPr>
          <w:rFonts w:ascii="Garamond" w:hAnsi="Garamond"/>
          <w:sz w:val="24"/>
          <w:szCs w:val="24"/>
        </w:rPr>
        <w:t>URD wniosku o udzielenie bonifikaty z tytułu niedotrzymania parametrów jakościowych energii elektrycznej, z wyłączeniem niedotrzymania parametrów jakościowych energii elektrycznej określających dopuszczalne czasy przerw w dostarczaniu energii elektrycznej, sprzedawca przekazuje do OSD w formie elektronicznej ten wniosek w ciągu 2 dni roboczych od dnia otrzymania wniosku URD.</w:t>
      </w:r>
    </w:p>
    <w:p w14:paraId="42C03B81" w14:textId="77777777" w:rsidR="00A03703" w:rsidRPr="00AE3F1B" w:rsidRDefault="00A03703" w:rsidP="006E032E">
      <w:pPr>
        <w:spacing w:after="127" w:line="249" w:lineRule="auto"/>
        <w:ind w:left="567" w:right="-3"/>
        <w:jc w:val="left"/>
        <w:rPr>
          <w:rFonts w:ascii="Garamond" w:hAnsi="Garamond"/>
          <w:sz w:val="24"/>
          <w:szCs w:val="24"/>
        </w:rPr>
      </w:pPr>
      <w:r w:rsidRPr="00AE3F1B">
        <w:rPr>
          <w:rFonts w:ascii="Garamond" w:hAnsi="Garamond"/>
          <w:sz w:val="24"/>
          <w:szCs w:val="24"/>
        </w:rPr>
        <w:t>OSD po rozpatrzeniu wniosku, przekazuje do sprzedawcy informację o uznaniu bądź odrzuceniu wniosku URD wraz z podaniem przyczyn odrzucenia, w terminie 14 dni kalendarzowych od dnia otrzymania wniosku od sprzedawcy.</w:t>
      </w:r>
    </w:p>
    <w:p w14:paraId="63B78CFE" w14:textId="1E75B662" w:rsidR="00A03703" w:rsidRPr="006E032E" w:rsidRDefault="00A03703">
      <w:pPr>
        <w:pStyle w:val="Akapitzlist"/>
        <w:numPr>
          <w:ilvl w:val="0"/>
          <w:numId w:val="177"/>
        </w:numPr>
        <w:spacing w:after="15" w:line="249" w:lineRule="auto"/>
        <w:ind w:right="-3"/>
        <w:jc w:val="left"/>
        <w:rPr>
          <w:rFonts w:ascii="Garamond" w:hAnsi="Garamond"/>
          <w:sz w:val="24"/>
          <w:szCs w:val="24"/>
        </w:rPr>
      </w:pPr>
      <w:r w:rsidRPr="006E032E">
        <w:rPr>
          <w:rFonts w:ascii="Garamond" w:hAnsi="Garamond"/>
          <w:sz w:val="24"/>
          <w:szCs w:val="24"/>
        </w:rPr>
        <w:t xml:space="preserve">w przypadku udzielenia URD przez OSD bonifikaty bez wcześniejszego wniosku URD, bonifikata ta jest uwzględniana w rozliczeniach z URD za najbliższy okres rozliczeniowy </w:t>
      </w:r>
      <w:r w:rsidR="0045224E" w:rsidRPr="006E032E">
        <w:rPr>
          <w:rFonts w:ascii="Garamond" w:hAnsi="Garamond"/>
          <w:sz w:val="24"/>
          <w:szCs w:val="24"/>
        </w:rPr>
        <w:br/>
      </w:r>
      <w:r w:rsidRPr="006E032E">
        <w:rPr>
          <w:rFonts w:ascii="Garamond" w:hAnsi="Garamond"/>
          <w:sz w:val="24"/>
          <w:szCs w:val="24"/>
        </w:rPr>
        <w:t>i uwzględniana w rozliczeniach pomiędzy OSD a sprzedawcą,</w:t>
      </w:r>
    </w:p>
    <w:p w14:paraId="13A8D0E8" w14:textId="7B34D338" w:rsidR="00A03703" w:rsidRPr="006E032E" w:rsidRDefault="00A03703">
      <w:pPr>
        <w:pStyle w:val="Akapitzlist"/>
        <w:numPr>
          <w:ilvl w:val="0"/>
          <w:numId w:val="177"/>
        </w:numPr>
        <w:spacing w:after="119" w:line="249" w:lineRule="auto"/>
        <w:ind w:right="-3"/>
        <w:jc w:val="left"/>
        <w:rPr>
          <w:rFonts w:ascii="Garamond" w:hAnsi="Garamond"/>
          <w:sz w:val="24"/>
          <w:szCs w:val="24"/>
        </w:rPr>
      </w:pPr>
      <w:r w:rsidRPr="006E032E">
        <w:rPr>
          <w:rFonts w:ascii="Garamond" w:hAnsi="Garamond"/>
          <w:sz w:val="24"/>
          <w:szCs w:val="24"/>
        </w:rPr>
        <w:t>w przypadku otrzymania przez sprzedawcę reklamacji URD w sprawie bonifikaty, sprzedawca przekazuje OSD reklamację w formie elektronicznej w ciągu 2 dni roboczych. OSD po rozpatrzeniu reklamacji, przekazuje sprzedawcy informację o uznaniu bądź odrzuceniu reklamacji URD, wraz z podaniem przyczyn odrzucenia, w terminie 21 dni kalendarzowych od dnia otrzymania reklamacji od sprzedawcy,</w:t>
      </w:r>
    </w:p>
    <w:p w14:paraId="4E630595" w14:textId="47764477" w:rsidR="00A03703" w:rsidRPr="00AE3F1B" w:rsidRDefault="00A03703">
      <w:pPr>
        <w:numPr>
          <w:ilvl w:val="0"/>
          <w:numId w:val="51"/>
        </w:numPr>
        <w:spacing w:after="157" w:line="249" w:lineRule="auto"/>
        <w:ind w:left="851" w:right="-3" w:hanging="425"/>
        <w:jc w:val="left"/>
        <w:rPr>
          <w:rFonts w:ascii="Garamond" w:hAnsi="Garamond"/>
          <w:sz w:val="24"/>
          <w:szCs w:val="24"/>
        </w:rPr>
      </w:pPr>
      <w:r w:rsidRPr="00AE3F1B">
        <w:rPr>
          <w:rFonts w:ascii="Garamond" w:hAnsi="Garamond"/>
          <w:sz w:val="24"/>
          <w:szCs w:val="24"/>
        </w:rPr>
        <w:t xml:space="preserve">wnioski URD o odszkodowanie wynikające z niedotrzymania parametrów jakościowych energii elektrycznej dostarczanej z sieci elektroenergetycznej, niedotrzymania standardów jakościowych obsługi URD, przerw w dostarczaniu energii </w:t>
      </w:r>
      <w:r w:rsidR="006E032E" w:rsidRPr="00AE3F1B">
        <w:rPr>
          <w:rFonts w:ascii="Garamond" w:hAnsi="Garamond"/>
          <w:sz w:val="24"/>
          <w:szCs w:val="24"/>
        </w:rPr>
        <w:t>elektrycznej</w:t>
      </w:r>
      <w:r w:rsidRPr="00AE3F1B">
        <w:rPr>
          <w:rFonts w:ascii="Garamond" w:hAnsi="Garamond"/>
          <w:sz w:val="24"/>
          <w:szCs w:val="24"/>
        </w:rPr>
        <w:t xml:space="preserve"> bądź </w:t>
      </w:r>
      <w:r w:rsidR="006E032E" w:rsidRPr="00AE3F1B">
        <w:rPr>
          <w:rFonts w:ascii="Garamond" w:hAnsi="Garamond"/>
          <w:sz w:val="24"/>
          <w:szCs w:val="24"/>
        </w:rPr>
        <w:t>niewykonania</w:t>
      </w:r>
      <w:r w:rsidRPr="00AE3F1B">
        <w:rPr>
          <w:rFonts w:ascii="Garamond" w:hAnsi="Garamond"/>
          <w:sz w:val="24"/>
          <w:szCs w:val="24"/>
        </w:rPr>
        <w:t xml:space="preserve"> lub nienależytego wykonania usługi dystrybucji na rzecz URD, sprzedawca przekazuje w ciągu 2 dni roboczych do ID w formie elektronicznej wraz ze skanem wniosku. OSD niezwłocznie rozpatruje złożone wnioski i informuje sprzedawcę lub URD o wyniku ich rozpatrzenia,</w:t>
      </w:r>
    </w:p>
    <w:p w14:paraId="47DA12E6" w14:textId="77777777" w:rsidR="00A03703" w:rsidRPr="00AE3F1B" w:rsidRDefault="00A03703">
      <w:pPr>
        <w:numPr>
          <w:ilvl w:val="0"/>
          <w:numId w:val="51"/>
        </w:numPr>
        <w:spacing w:after="135" w:line="249" w:lineRule="auto"/>
        <w:ind w:left="851" w:right="-3" w:hanging="425"/>
        <w:jc w:val="left"/>
        <w:rPr>
          <w:rFonts w:ascii="Garamond" w:hAnsi="Garamond"/>
          <w:sz w:val="24"/>
          <w:szCs w:val="24"/>
        </w:rPr>
      </w:pPr>
      <w:r w:rsidRPr="00AE3F1B">
        <w:rPr>
          <w:rFonts w:ascii="Garamond" w:hAnsi="Garamond"/>
          <w:sz w:val="24"/>
          <w:szCs w:val="24"/>
        </w:rPr>
        <w:t>W przypadku prowadzonego postępowania reklamacyjnego sprzedawca na żądanie ID, w terminie 7 dni od otrzymania żądania, prześle w formie elektronicznej do OSD kopię odpowiedzi udzielonej URD.</w:t>
      </w:r>
    </w:p>
    <w:p w14:paraId="1413DF5E" w14:textId="30FA57E8" w:rsidR="00A03703" w:rsidRDefault="00A03703" w:rsidP="006E032E">
      <w:pPr>
        <w:spacing w:after="174" w:line="249" w:lineRule="auto"/>
        <w:ind w:left="849" w:right="-3"/>
        <w:jc w:val="left"/>
        <w:rPr>
          <w:rFonts w:ascii="Garamond" w:hAnsi="Garamond"/>
          <w:sz w:val="24"/>
          <w:szCs w:val="24"/>
        </w:rPr>
      </w:pPr>
      <w:r w:rsidRPr="00AE3F1B">
        <w:rPr>
          <w:rFonts w:ascii="Garamond" w:hAnsi="Garamond"/>
          <w:sz w:val="24"/>
          <w:szCs w:val="24"/>
        </w:rPr>
        <w:t xml:space="preserve">Odpowiedzi na reklamacje URD złożone do sprzedawcy, zgodnie z zasadami opisanymi </w:t>
      </w:r>
      <w:r w:rsidR="0045224E" w:rsidRPr="00AE3F1B">
        <w:rPr>
          <w:rFonts w:ascii="Garamond" w:hAnsi="Garamond"/>
          <w:sz w:val="24"/>
          <w:szCs w:val="24"/>
        </w:rPr>
        <w:br/>
      </w:r>
      <w:r w:rsidRPr="00AE3F1B">
        <w:rPr>
          <w:rFonts w:ascii="Garamond" w:hAnsi="Garamond"/>
          <w:sz w:val="24"/>
          <w:szCs w:val="24"/>
        </w:rPr>
        <w:t xml:space="preserve">w niniejszym punkcie, udzielane są URD przez sprzedawcę </w:t>
      </w:r>
      <w:r w:rsidR="006E032E" w:rsidRPr="00AE3F1B">
        <w:rPr>
          <w:rFonts w:ascii="Garamond" w:hAnsi="Garamond"/>
          <w:sz w:val="24"/>
          <w:szCs w:val="24"/>
        </w:rPr>
        <w:t>z wyjątkiem</w:t>
      </w:r>
      <w:r w:rsidRPr="00AE3F1B">
        <w:rPr>
          <w:rFonts w:ascii="Garamond" w:hAnsi="Garamond"/>
          <w:sz w:val="24"/>
          <w:szCs w:val="24"/>
        </w:rPr>
        <w:t xml:space="preserve"> pkt. 7).</w:t>
      </w:r>
    </w:p>
    <w:p w14:paraId="3C25513D" w14:textId="77777777" w:rsidR="006E032E" w:rsidRDefault="006E032E" w:rsidP="006E032E">
      <w:pPr>
        <w:spacing w:after="174" w:line="249" w:lineRule="auto"/>
        <w:ind w:left="849" w:right="-3"/>
        <w:jc w:val="left"/>
        <w:rPr>
          <w:rFonts w:ascii="Garamond" w:hAnsi="Garamond"/>
          <w:sz w:val="24"/>
          <w:szCs w:val="24"/>
        </w:rPr>
      </w:pPr>
    </w:p>
    <w:p w14:paraId="6759B8E4" w14:textId="77777777" w:rsidR="006E032E" w:rsidRDefault="006E032E" w:rsidP="006E032E">
      <w:pPr>
        <w:spacing w:after="174" w:line="249" w:lineRule="auto"/>
        <w:ind w:left="849" w:right="-3"/>
        <w:jc w:val="left"/>
        <w:rPr>
          <w:rFonts w:ascii="Garamond" w:hAnsi="Garamond"/>
          <w:sz w:val="24"/>
          <w:szCs w:val="24"/>
        </w:rPr>
      </w:pPr>
    </w:p>
    <w:p w14:paraId="2266C36A" w14:textId="77777777" w:rsidR="006E032E" w:rsidRPr="00AE3F1B" w:rsidRDefault="006E032E" w:rsidP="006E032E">
      <w:pPr>
        <w:spacing w:after="174" w:line="249" w:lineRule="auto"/>
        <w:ind w:left="849" w:right="-3"/>
        <w:jc w:val="left"/>
        <w:rPr>
          <w:rFonts w:ascii="Garamond" w:hAnsi="Garamond"/>
          <w:sz w:val="24"/>
          <w:szCs w:val="24"/>
        </w:rPr>
      </w:pPr>
    </w:p>
    <w:p w14:paraId="596CDC82" w14:textId="5E1EBD3C" w:rsidR="00A03703" w:rsidRPr="00AE3F1B" w:rsidRDefault="00A03703" w:rsidP="007C7DCF">
      <w:pPr>
        <w:tabs>
          <w:tab w:val="left" w:pos="0"/>
          <w:tab w:val="center" w:pos="3969"/>
        </w:tabs>
        <w:spacing w:after="195" w:line="249" w:lineRule="auto"/>
        <w:ind w:right="-3"/>
        <w:jc w:val="left"/>
        <w:rPr>
          <w:rFonts w:ascii="Garamond" w:hAnsi="Garamond"/>
          <w:sz w:val="24"/>
          <w:szCs w:val="24"/>
        </w:rPr>
      </w:pPr>
      <w:r w:rsidRPr="00AE3F1B">
        <w:rPr>
          <w:rFonts w:ascii="Garamond" w:hAnsi="Garamond"/>
          <w:sz w:val="24"/>
          <w:szCs w:val="24"/>
        </w:rPr>
        <w:t>E.3.</w:t>
      </w:r>
      <w:r w:rsidR="006E032E">
        <w:rPr>
          <w:rFonts w:ascii="Garamond" w:hAnsi="Garamond"/>
          <w:sz w:val="24"/>
          <w:szCs w:val="24"/>
        </w:rPr>
        <w:t xml:space="preserve">   </w:t>
      </w:r>
      <w:r w:rsidRPr="00AE3F1B">
        <w:rPr>
          <w:rFonts w:ascii="Garamond" w:hAnsi="Garamond"/>
          <w:sz w:val="24"/>
          <w:szCs w:val="24"/>
        </w:rPr>
        <w:t>ID rozstrzyga zgłoszoną reklamację w terminie nie dłuższym niż:</w:t>
      </w:r>
    </w:p>
    <w:p w14:paraId="40544C61" w14:textId="772BFBDB" w:rsidR="00A03703" w:rsidRPr="00AE189C" w:rsidRDefault="00A03703">
      <w:pPr>
        <w:pStyle w:val="Akapitzlist"/>
        <w:numPr>
          <w:ilvl w:val="0"/>
          <w:numId w:val="178"/>
        </w:numPr>
        <w:spacing w:after="55" w:line="249" w:lineRule="auto"/>
        <w:ind w:right="-3"/>
        <w:jc w:val="left"/>
        <w:rPr>
          <w:rFonts w:ascii="Garamond" w:hAnsi="Garamond"/>
          <w:sz w:val="24"/>
          <w:szCs w:val="24"/>
        </w:rPr>
      </w:pPr>
      <w:r w:rsidRPr="00AE189C">
        <w:rPr>
          <w:rFonts w:ascii="Garamond" w:hAnsi="Garamond"/>
          <w:sz w:val="24"/>
          <w:szCs w:val="24"/>
        </w:rPr>
        <w:t>określonym w pkt. E.</w:t>
      </w:r>
      <w:r w:rsidR="007606DB">
        <w:rPr>
          <w:rFonts w:ascii="Garamond" w:hAnsi="Garamond"/>
          <w:sz w:val="24"/>
          <w:szCs w:val="24"/>
        </w:rPr>
        <w:t>1</w:t>
      </w:r>
      <w:r w:rsidRPr="00AE189C">
        <w:rPr>
          <w:rFonts w:ascii="Garamond" w:hAnsi="Garamond"/>
          <w:sz w:val="24"/>
          <w:szCs w:val="24"/>
        </w:rPr>
        <w:t>. — jeżeli reklamacja została złożona do sprzedawcy przez URD posiadającego zawartą ze sprzedawcą umowę kompleksową,</w:t>
      </w:r>
    </w:p>
    <w:p w14:paraId="7D030751" w14:textId="39B49CDC" w:rsidR="00A03703" w:rsidRPr="00AE189C" w:rsidRDefault="00A03703">
      <w:pPr>
        <w:pStyle w:val="Akapitzlist"/>
        <w:numPr>
          <w:ilvl w:val="0"/>
          <w:numId w:val="178"/>
        </w:numPr>
        <w:spacing w:after="57" w:line="249" w:lineRule="auto"/>
        <w:ind w:right="-3"/>
        <w:jc w:val="left"/>
        <w:rPr>
          <w:rFonts w:ascii="Garamond" w:hAnsi="Garamond"/>
          <w:sz w:val="24"/>
          <w:szCs w:val="24"/>
        </w:rPr>
      </w:pPr>
      <w:r w:rsidRPr="00AE189C">
        <w:rPr>
          <w:rFonts w:ascii="Garamond" w:hAnsi="Garamond"/>
          <w:sz w:val="24"/>
          <w:szCs w:val="24"/>
        </w:rPr>
        <w:t xml:space="preserve">14 dni kalendarzowych od daty otrzymania zgłoszenia reklamacji od URD — jeżeli reklamacja dotyczy rozliczeń za świadczone przez OSD usługi </w:t>
      </w:r>
      <w:r w:rsidR="006E032E" w:rsidRPr="00AE189C">
        <w:rPr>
          <w:rFonts w:ascii="Garamond" w:hAnsi="Garamond"/>
          <w:sz w:val="24"/>
          <w:szCs w:val="24"/>
        </w:rPr>
        <w:t>dystrybucji</w:t>
      </w:r>
      <w:r w:rsidRPr="00AE189C">
        <w:rPr>
          <w:rFonts w:ascii="Garamond" w:hAnsi="Garamond"/>
          <w:sz w:val="24"/>
          <w:szCs w:val="24"/>
        </w:rPr>
        <w:t xml:space="preserve"> lub jeżeli </w:t>
      </w:r>
      <w:r w:rsidRPr="00AE189C">
        <w:rPr>
          <w:rFonts w:ascii="Garamond" w:hAnsi="Garamond"/>
          <w:sz w:val="24"/>
          <w:szCs w:val="24"/>
        </w:rPr>
        <w:lastRenderedPageBreak/>
        <w:t>reklamacja dotyczy kwestii związanych ze wstrzymaniem dostarczania energii elektrycznej dokonanym z inicjatywy OSD,</w:t>
      </w:r>
    </w:p>
    <w:p w14:paraId="783CA5B5" w14:textId="77777777" w:rsidR="00A03703" w:rsidRPr="00AE189C" w:rsidRDefault="00A03703">
      <w:pPr>
        <w:pStyle w:val="Akapitzlist"/>
        <w:numPr>
          <w:ilvl w:val="0"/>
          <w:numId w:val="178"/>
        </w:numPr>
        <w:spacing w:after="71" w:line="249" w:lineRule="auto"/>
        <w:ind w:right="-3"/>
        <w:jc w:val="left"/>
        <w:rPr>
          <w:rFonts w:ascii="Garamond" w:hAnsi="Garamond"/>
          <w:sz w:val="24"/>
          <w:szCs w:val="24"/>
        </w:rPr>
      </w:pPr>
      <w:r w:rsidRPr="00AE189C">
        <w:rPr>
          <w:rFonts w:ascii="Garamond" w:hAnsi="Garamond"/>
          <w:sz w:val="24"/>
          <w:szCs w:val="24"/>
        </w:rPr>
        <w:t>7 dni kalendarzowych od daty otrzymania zgłoszenia reklamacji od sprzedawcy — jeżeli reklamacja została złożona sprzedawcy przez URD posiadającego zawartą umowę sprzedaży i reklamacja dotyczy odczytu wskazań układu pomiarowo-rozliczeniowego udostępnionego przez OSD do sprzedawcy,</w:t>
      </w:r>
    </w:p>
    <w:p w14:paraId="49AE178D" w14:textId="77777777" w:rsidR="00A03703" w:rsidRPr="00AE189C" w:rsidRDefault="00A03703">
      <w:pPr>
        <w:pStyle w:val="Akapitzlist"/>
        <w:numPr>
          <w:ilvl w:val="0"/>
          <w:numId w:val="178"/>
        </w:numPr>
        <w:spacing w:after="153" w:line="249" w:lineRule="auto"/>
        <w:ind w:right="-3"/>
        <w:jc w:val="left"/>
        <w:rPr>
          <w:rFonts w:ascii="Garamond" w:hAnsi="Garamond"/>
          <w:sz w:val="24"/>
          <w:szCs w:val="24"/>
        </w:rPr>
      </w:pPr>
      <w:r w:rsidRPr="00AE189C">
        <w:rPr>
          <w:rFonts w:ascii="Garamond" w:hAnsi="Garamond"/>
          <w:sz w:val="24"/>
          <w:szCs w:val="24"/>
        </w:rPr>
        <w:t>30 dni kalendarzowych od daty otrzymania zgłoszenia reklamacji — w pozostałych przypadkach.</w:t>
      </w:r>
    </w:p>
    <w:p w14:paraId="36CA4D5F" w14:textId="77777777" w:rsidR="00A03703" w:rsidRPr="00AE3F1B" w:rsidRDefault="00A03703" w:rsidP="006316A5">
      <w:pPr>
        <w:spacing w:after="217" w:line="249" w:lineRule="auto"/>
        <w:ind w:left="567" w:right="-3"/>
        <w:jc w:val="left"/>
        <w:rPr>
          <w:rFonts w:ascii="Garamond" w:hAnsi="Garamond"/>
          <w:sz w:val="24"/>
          <w:szCs w:val="24"/>
        </w:rPr>
      </w:pPr>
      <w:r w:rsidRPr="00AE3F1B">
        <w:rPr>
          <w:rFonts w:ascii="Garamond" w:hAnsi="Garamond"/>
          <w:sz w:val="24"/>
          <w:szCs w:val="24"/>
        </w:rPr>
        <w:t>W przypadku konieczności wykonania dodatkowych analiz i pomiarów, OSD we wskazanych powyżej terminach, informuje o planowanym terminie rozpatrzenia reklamacji.</w:t>
      </w:r>
    </w:p>
    <w:p w14:paraId="0A07047D" w14:textId="72F4E74F" w:rsidR="0045224E" w:rsidRPr="001F3AF3" w:rsidRDefault="00AE189C" w:rsidP="00AE189C">
      <w:pPr>
        <w:spacing w:line="248" w:lineRule="auto"/>
        <w:ind w:left="567" w:right="-3" w:hanging="567"/>
        <w:jc w:val="left"/>
        <w:rPr>
          <w:rFonts w:asciiTheme="majorHAnsi" w:hAnsiTheme="majorHAnsi"/>
          <w:b/>
          <w:bCs/>
          <w:sz w:val="24"/>
          <w:szCs w:val="24"/>
        </w:rPr>
      </w:pPr>
      <w:r w:rsidRPr="001F3AF3">
        <w:rPr>
          <w:rFonts w:asciiTheme="majorHAnsi" w:hAnsiTheme="majorHAnsi"/>
          <w:b/>
          <w:bCs/>
          <w:noProof/>
          <w:sz w:val="24"/>
          <w:szCs w:val="24"/>
        </w:rPr>
        <w:t>F.</w:t>
      </w:r>
      <w:r w:rsidRPr="001F3AF3">
        <w:rPr>
          <w:rFonts w:asciiTheme="majorHAnsi" w:hAnsiTheme="majorHAnsi"/>
          <w:b/>
          <w:bCs/>
          <w:sz w:val="24"/>
          <w:szCs w:val="24"/>
        </w:rPr>
        <w:t xml:space="preserve"> Procedura</w:t>
      </w:r>
      <w:r w:rsidR="007C7DCF" w:rsidRPr="001F3AF3">
        <w:rPr>
          <w:rFonts w:asciiTheme="majorHAnsi" w:hAnsiTheme="majorHAnsi"/>
          <w:b/>
          <w:bCs/>
          <w:sz w:val="24"/>
          <w:szCs w:val="24"/>
        </w:rPr>
        <w:t xml:space="preserve"> zmiany sprzedawcy</w:t>
      </w:r>
    </w:p>
    <w:p w14:paraId="4A43F41E" w14:textId="6CDA1626" w:rsidR="0045224E" w:rsidRPr="00AE3F1B" w:rsidRDefault="004B6113" w:rsidP="00AE189C">
      <w:pPr>
        <w:spacing w:line="248" w:lineRule="auto"/>
        <w:ind w:left="567" w:right="-3" w:hanging="567"/>
        <w:jc w:val="left"/>
        <w:rPr>
          <w:rFonts w:ascii="Garamond" w:hAnsi="Garamond"/>
          <w:sz w:val="24"/>
          <w:szCs w:val="24"/>
        </w:rPr>
      </w:pPr>
      <w:r w:rsidRPr="00AE3F1B">
        <w:rPr>
          <w:rFonts w:ascii="Garamond" w:hAnsi="Garamond"/>
          <w:sz w:val="24"/>
          <w:szCs w:val="24"/>
        </w:rPr>
        <w:t xml:space="preserve"> F.1.</w:t>
      </w:r>
      <w:r w:rsidR="0045224E" w:rsidRPr="00AE3F1B">
        <w:rPr>
          <w:rFonts w:ascii="Garamond" w:hAnsi="Garamond"/>
          <w:sz w:val="24"/>
          <w:szCs w:val="24"/>
        </w:rPr>
        <w:t xml:space="preserve">   </w:t>
      </w:r>
      <w:r w:rsidR="00AE189C">
        <w:rPr>
          <w:rFonts w:ascii="Garamond" w:hAnsi="Garamond"/>
          <w:sz w:val="24"/>
          <w:szCs w:val="24"/>
        </w:rPr>
        <w:tab/>
      </w:r>
      <w:r w:rsidR="0045224E" w:rsidRPr="00AE3F1B">
        <w:rPr>
          <w:rFonts w:ascii="Garamond" w:hAnsi="Garamond"/>
          <w:sz w:val="24"/>
          <w:szCs w:val="24"/>
        </w:rPr>
        <w:t>Wymagania ogólne</w:t>
      </w:r>
    </w:p>
    <w:p w14:paraId="2BF91265" w14:textId="6CD8194F" w:rsidR="0045224E" w:rsidRPr="00AE3F1B" w:rsidRDefault="004B6113" w:rsidP="00AE189C">
      <w:pPr>
        <w:spacing w:line="249" w:lineRule="auto"/>
        <w:ind w:left="709" w:right="-3" w:hanging="709"/>
        <w:jc w:val="left"/>
        <w:rPr>
          <w:rFonts w:ascii="Garamond" w:hAnsi="Garamond"/>
          <w:sz w:val="24"/>
          <w:szCs w:val="24"/>
        </w:rPr>
      </w:pPr>
      <w:r w:rsidRPr="00AE3F1B">
        <w:rPr>
          <w:rFonts w:ascii="Garamond" w:hAnsi="Garamond"/>
          <w:sz w:val="24"/>
          <w:szCs w:val="24"/>
        </w:rPr>
        <w:t xml:space="preserve"> </w:t>
      </w:r>
      <w:r w:rsidR="00AE189C" w:rsidRPr="00AE3F1B">
        <w:rPr>
          <w:rFonts w:ascii="Garamond" w:hAnsi="Garamond"/>
          <w:sz w:val="24"/>
          <w:szCs w:val="24"/>
        </w:rPr>
        <w:t xml:space="preserve">F.1.1. </w:t>
      </w:r>
      <w:r w:rsidR="00AE189C">
        <w:rPr>
          <w:rFonts w:ascii="Garamond" w:hAnsi="Garamond"/>
          <w:sz w:val="24"/>
          <w:szCs w:val="24"/>
        </w:rPr>
        <w:tab/>
      </w:r>
      <w:r w:rsidR="00AE189C" w:rsidRPr="00AE3F1B">
        <w:rPr>
          <w:rFonts w:ascii="Garamond" w:hAnsi="Garamond"/>
          <w:sz w:val="24"/>
          <w:szCs w:val="24"/>
        </w:rPr>
        <w:t>Procedura</w:t>
      </w:r>
      <w:r w:rsidR="0045224E" w:rsidRPr="00AE3F1B">
        <w:rPr>
          <w:rFonts w:ascii="Garamond" w:hAnsi="Garamond"/>
          <w:sz w:val="24"/>
          <w:szCs w:val="24"/>
        </w:rPr>
        <w:t xml:space="preserve"> zmiany sprzedawcy energii elektrycznej dotyczy odbiorców przyłączonych do sieci </w:t>
      </w:r>
      <w:r w:rsidRPr="00AE3F1B">
        <w:rPr>
          <w:rFonts w:ascii="Garamond" w:hAnsi="Garamond"/>
          <w:sz w:val="24"/>
          <w:szCs w:val="24"/>
        </w:rPr>
        <w:br/>
      </w:r>
      <w:r w:rsidR="0045224E" w:rsidRPr="00AE3F1B">
        <w:rPr>
          <w:rFonts w:ascii="Garamond" w:hAnsi="Garamond"/>
          <w:sz w:val="24"/>
          <w:szCs w:val="24"/>
        </w:rPr>
        <w:t xml:space="preserve">dystrybucyjnej ID Sp. z o.o. nie objętych rozszerzonym obszarem Rynku Bilansującego. </w:t>
      </w:r>
      <w:r w:rsidRPr="00AE3F1B">
        <w:rPr>
          <w:rFonts w:ascii="Garamond" w:hAnsi="Garamond"/>
          <w:sz w:val="24"/>
          <w:szCs w:val="24"/>
        </w:rPr>
        <w:br/>
      </w:r>
      <w:r w:rsidR="0045224E" w:rsidRPr="00AE3F1B">
        <w:rPr>
          <w:rFonts w:ascii="Garamond" w:hAnsi="Garamond"/>
          <w:sz w:val="24"/>
          <w:szCs w:val="24"/>
        </w:rPr>
        <w:t xml:space="preserve">Procedura dotyczy również przypadku rozdzielenia przez odbiorcę umowy kompleksowej, </w:t>
      </w:r>
      <w:r w:rsidR="0045224E" w:rsidRPr="00AE3F1B">
        <w:rPr>
          <w:rFonts w:ascii="Garamond" w:hAnsi="Garamond"/>
          <w:sz w:val="24"/>
          <w:szCs w:val="24"/>
        </w:rPr>
        <w:br/>
        <w:t xml:space="preserve">bez zmiany sprzedawcy energii elektrycznej, na oddzielną: umowę sprzedaży i umowę </w:t>
      </w:r>
      <w:r w:rsidRPr="00AE3F1B">
        <w:rPr>
          <w:rFonts w:ascii="Garamond" w:hAnsi="Garamond"/>
          <w:sz w:val="24"/>
          <w:szCs w:val="24"/>
        </w:rPr>
        <w:br/>
      </w:r>
      <w:r w:rsidR="0045224E" w:rsidRPr="00AE3F1B">
        <w:rPr>
          <w:rFonts w:ascii="Garamond" w:hAnsi="Garamond"/>
          <w:sz w:val="24"/>
          <w:szCs w:val="24"/>
        </w:rPr>
        <w:t>dystrybucji.</w:t>
      </w:r>
    </w:p>
    <w:p w14:paraId="0D436AF6" w14:textId="3560D263" w:rsidR="0045224E" w:rsidRPr="00AE3F1B" w:rsidRDefault="0045224E" w:rsidP="00AE189C">
      <w:pPr>
        <w:spacing w:line="249" w:lineRule="auto"/>
        <w:ind w:left="709" w:right="-3" w:hanging="709"/>
        <w:jc w:val="left"/>
        <w:rPr>
          <w:rFonts w:ascii="Garamond" w:hAnsi="Garamond"/>
          <w:sz w:val="24"/>
          <w:szCs w:val="24"/>
        </w:rPr>
      </w:pPr>
      <w:r w:rsidRPr="00AE3F1B">
        <w:rPr>
          <w:rFonts w:ascii="Garamond" w:hAnsi="Garamond"/>
          <w:sz w:val="24"/>
          <w:szCs w:val="24"/>
        </w:rPr>
        <w:t xml:space="preserve">F.1.2.   Podstawą realizacji sprzedaży energii elektrycznej na obszarze działania ID Sp. z o.o. jest generalna umowa dystrybucji </w:t>
      </w:r>
      <w:r w:rsidR="001F3AF3">
        <w:rPr>
          <w:rFonts w:ascii="Garamond" w:hAnsi="Garamond"/>
          <w:sz w:val="24"/>
          <w:szCs w:val="24"/>
        </w:rPr>
        <w:t xml:space="preserve">(GUD) </w:t>
      </w:r>
      <w:r w:rsidRPr="00AE3F1B">
        <w:rPr>
          <w:rFonts w:ascii="Garamond" w:hAnsi="Garamond"/>
          <w:sz w:val="24"/>
          <w:szCs w:val="24"/>
        </w:rPr>
        <w:t xml:space="preserve">zawarta przez sprzedawcę z ID Sp. </w:t>
      </w:r>
      <w:r w:rsidR="00AE189C" w:rsidRPr="00AE3F1B">
        <w:rPr>
          <w:rFonts w:ascii="Garamond" w:hAnsi="Garamond"/>
          <w:sz w:val="24"/>
          <w:szCs w:val="24"/>
        </w:rPr>
        <w:t>z o.o.</w:t>
      </w:r>
      <w:r w:rsidRPr="00AE3F1B">
        <w:rPr>
          <w:rFonts w:ascii="Garamond" w:hAnsi="Garamond"/>
          <w:sz w:val="24"/>
          <w:szCs w:val="24"/>
        </w:rPr>
        <w:t xml:space="preserve"> Generalna umowa dystrybucji reguluje kompleksowo stosunki pomiędzy sprzedawcą, a ID Sp. z o.o. oraz określa warunki sprzedaży energii elektrycznej dla wszystkich odbiorców przyłączonych do sieci dystrybucyjnej ID Sp. z o.o., którym ten sprzedawca będzie sprzedawać energię elektryczną.</w:t>
      </w:r>
    </w:p>
    <w:p w14:paraId="6E6B10AB" w14:textId="1FF4282A" w:rsidR="0045224E" w:rsidRPr="00AE3F1B" w:rsidRDefault="0045224E" w:rsidP="00AE189C">
      <w:pPr>
        <w:spacing w:line="249" w:lineRule="auto"/>
        <w:ind w:left="709" w:right="-3" w:hanging="709"/>
        <w:jc w:val="left"/>
        <w:rPr>
          <w:rFonts w:ascii="Garamond" w:hAnsi="Garamond"/>
          <w:sz w:val="24"/>
          <w:szCs w:val="24"/>
        </w:rPr>
      </w:pPr>
      <w:r w:rsidRPr="00AE3F1B">
        <w:rPr>
          <w:rFonts w:ascii="Garamond" w:hAnsi="Garamond"/>
          <w:sz w:val="24"/>
          <w:szCs w:val="24"/>
        </w:rPr>
        <w:t xml:space="preserve">F.1.3.   Układy pomiarowo-rozliczeniowe podmiotów chcących skorzystać z prawa wyboru sprzedawcy lub dokonać rozdzielenia umowy kompleksowej, muszą spełniać postanowienia określone </w:t>
      </w:r>
      <w:r w:rsidR="00EA0D68">
        <w:rPr>
          <w:rFonts w:ascii="Garamond" w:hAnsi="Garamond"/>
          <w:sz w:val="24"/>
          <w:szCs w:val="24"/>
        </w:rPr>
        <w:br/>
      </w:r>
      <w:r w:rsidRPr="00AE3F1B">
        <w:rPr>
          <w:rFonts w:ascii="Garamond" w:hAnsi="Garamond"/>
          <w:sz w:val="24"/>
          <w:szCs w:val="24"/>
        </w:rPr>
        <w:t xml:space="preserve">w </w:t>
      </w:r>
      <w:r w:rsidR="00BA6D98" w:rsidRPr="00BA6D98">
        <w:rPr>
          <w:rFonts w:ascii="Garamond" w:hAnsi="Garamond"/>
          <w:sz w:val="24"/>
          <w:szCs w:val="24"/>
        </w:rPr>
        <w:t>IRiESD</w:t>
      </w:r>
      <w:r w:rsidRPr="00AE3F1B">
        <w:rPr>
          <w:rFonts w:ascii="Garamond" w:hAnsi="Garamond"/>
          <w:sz w:val="24"/>
          <w:szCs w:val="24"/>
        </w:rPr>
        <w:t>-Korzystanie.</w:t>
      </w:r>
      <w:r w:rsidR="006316A5">
        <w:rPr>
          <w:rFonts w:ascii="Garamond" w:hAnsi="Garamond"/>
          <w:sz w:val="24"/>
          <w:szCs w:val="24"/>
        </w:rPr>
        <w:t xml:space="preserve"> </w:t>
      </w:r>
      <w:r w:rsidRPr="00AE3F1B">
        <w:rPr>
          <w:rFonts w:ascii="Garamond" w:hAnsi="Garamond"/>
          <w:sz w:val="24"/>
          <w:szCs w:val="24"/>
        </w:rPr>
        <w:t>URD zawiera z ID Sp. z o.o. umowę o świadczenie usług dystrybucji przed rozwiązaniem umowy kompleksowej. Umowa dystrybucji między URD i ID Sp. z o.o. powinna zostać zawarta przed zgłoszeniem do ID Sp. z o.o. przez sprzedawcę powiadomienia, o którym mowa w pkt. B.</w:t>
      </w:r>
      <w:r w:rsidR="007606DB">
        <w:rPr>
          <w:rFonts w:ascii="Garamond" w:hAnsi="Garamond"/>
          <w:sz w:val="24"/>
          <w:szCs w:val="24"/>
        </w:rPr>
        <w:t>1</w:t>
      </w:r>
      <w:r w:rsidRPr="00AE3F1B">
        <w:rPr>
          <w:rFonts w:ascii="Garamond" w:hAnsi="Garamond"/>
          <w:sz w:val="24"/>
          <w:szCs w:val="24"/>
        </w:rPr>
        <w:t>.</w:t>
      </w:r>
      <w:r w:rsidR="007606DB">
        <w:rPr>
          <w:rFonts w:ascii="Garamond" w:hAnsi="Garamond"/>
          <w:sz w:val="24"/>
          <w:szCs w:val="24"/>
        </w:rPr>
        <w:t>1</w:t>
      </w:r>
      <w:r w:rsidRPr="00AE3F1B">
        <w:rPr>
          <w:rFonts w:ascii="Garamond" w:hAnsi="Garamond"/>
          <w:sz w:val="24"/>
          <w:szCs w:val="24"/>
        </w:rPr>
        <w:t>.</w:t>
      </w:r>
    </w:p>
    <w:p w14:paraId="1C6B5DE5" w14:textId="5E73DF21" w:rsidR="0045224E" w:rsidRPr="00AE3F1B" w:rsidRDefault="0045224E" w:rsidP="00AE189C">
      <w:pPr>
        <w:spacing w:line="249" w:lineRule="auto"/>
        <w:ind w:left="708" w:right="-3" w:hanging="708"/>
        <w:jc w:val="left"/>
        <w:rPr>
          <w:rFonts w:ascii="Garamond" w:hAnsi="Garamond"/>
          <w:sz w:val="24"/>
          <w:szCs w:val="24"/>
        </w:rPr>
      </w:pPr>
      <w:r w:rsidRPr="00AE3F1B">
        <w:rPr>
          <w:rFonts w:ascii="Garamond" w:hAnsi="Garamond"/>
          <w:sz w:val="24"/>
          <w:szCs w:val="24"/>
        </w:rPr>
        <w:t xml:space="preserve">F. 1.4. </w:t>
      </w:r>
      <w:r w:rsidR="00AE189C">
        <w:rPr>
          <w:rFonts w:ascii="Garamond" w:hAnsi="Garamond"/>
          <w:sz w:val="24"/>
          <w:szCs w:val="24"/>
        </w:rPr>
        <w:tab/>
      </w:r>
      <w:r w:rsidRPr="00AE3F1B">
        <w:rPr>
          <w:rFonts w:ascii="Garamond" w:hAnsi="Garamond"/>
          <w:sz w:val="24"/>
          <w:szCs w:val="24"/>
        </w:rPr>
        <w:t>Przy każdej zmianie sprzedawcy przez odbiorcę, dokonywany jest przez ID Sp. z o.o. odczyt wskazań układu pomiarowo-rozliczeniowego. Ustalenie wskazań układu pomiarowo rozliczeniowego na dzień zmiany sprzedawcy, dokonywane jest na podstawie odczytu wykonanego maksymalnie z pięciodniowym wyprzedzeniem lub opóźnieniem.</w:t>
      </w:r>
    </w:p>
    <w:p w14:paraId="5DFDD1B6" w14:textId="77777777" w:rsidR="0045224E" w:rsidRDefault="0045224E" w:rsidP="00AE189C">
      <w:pPr>
        <w:spacing w:line="249" w:lineRule="auto"/>
        <w:ind w:left="708" w:right="-3"/>
        <w:jc w:val="left"/>
        <w:rPr>
          <w:rFonts w:ascii="Garamond" w:hAnsi="Garamond"/>
          <w:sz w:val="24"/>
          <w:szCs w:val="24"/>
        </w:rPr>
      </w:pPr>
      <w:r w:rsidRPr="00AE3F1B">
        <w:rPr>
          <w:rFonts w:ascii="Garamond" w:hAnsi="Garamond"/>
          <w:sz w:val="24"/>
          <w:szCs w:val="24"/>
        </w:rPr>
        <w:t>Dla odbiorców przyłączonych do sieci ID Sp. z o.o. na niskim napięciu, ID Sp. z o.o. może ustalić wskazania układu pomiarowo-rozliczeniowego na dzień zmiany sprzedawcy również na podstawie ostatniego posiadanego odczytu, jednak nie starszego niż 6 miesięcy, przeliczonego na dzień zmiany sprzedawcy na podstawie przyznanego profilu lub średniodobowego zużycia energii w ostatnim okresie rozliczeniowym, za który ID Sp. z o.o. posiada odczytane wskazania.</w:t>
      </w:r>
    </w:p>
    <w:p w14:paraId="40448470" w14:textId="77777777" w:rsidR="00AE189C" w:rsidRPr="00AE3F1B" w:rsidRDefault="00AE189C" w:rsidP="00AE189C">
      <w:pPr>
        <w:spacing w:line="249" w:lineRule="auto"/>
        <w:ind w:left="708" w:right="-3"/>
        <w:jc w:val="left"/>
        <w:rPr>
          <w:rFonts w:ascii="Garamond" w:hAnsi="Garamond"/>
          <w:sz w:val="24"/>
          <w:szCs w:val="24"/>
        </w:rPr>
      </w:pPr>
    </w:p>
    <w:p w14:paraId="6D6323CF" w14:textId="1E43D38D" w:rsidR="0045224E" w:rsidRPr="00AE3F1B" w:rsidRDefault="0045224E" w:rsidP="00AE189C">
      <w:pPr>
        <w:spacing w:line="249" w:lineRule="auto"/>
        <w:ind w:left="630" w:right="-3" w:hanging="630"/>
        <w:jc w:val="left"/>
        <w:rPr>
          <w:rFonts w:ascii="Garamond" w:hAnsi="Garamond"/>
          <w:sz w:val="24"/>
          <w:szCs w:val="24"/>
        </w:rPr>
      </w:pPr>
      <w:r w:rsidRPr="00AE3F1B">
        <w:rPr>
          <w:rFonts w:ascii="Garamond" w:hAnsi="Garamond"/>
          <w:sz w:val="24"/>
          <w:szCs w:val="24"/>
        </w:rPr>
        <w:t>F.1.5.</w:t>
      </w:r>
      <w:r w:rsidR="00AE189C">
        <w:rPr>
          <w:rFonts w:ascii="Garamond" w:hAnsi="Garamond"/>
          <w:sz w:val="24"/>
          <w:szCs w:val="24"/>
        </w:rPr>
        <w:tab/>
      </w:r>
      <w:r w:rsidRPr="00AE3F1B">
        <w:rPr>
          <w:rFonts w:ascii="Garamond" w:hAnsi="Garamond"/>
          <w:sz w:val="24"/>
          <w:szCs w:val="24"/>
        </w:rPr>
        <w:t xml:space="preserve"> Zmiana sprzedawcy tj. wejście w życie nowej umowy sprzedaży zawartej pomiędzy URD a sprzedawcą, dokonywana jest w pierwszym dniu miesiąca kalendarzowego następującego po miesiącu, w którym ID Sp. z o.o. otrzymał powiadomienie zawarcia umowy sprzedaży z nowym sprzedawcą i dokonał pozytywnej weryfikacji tego powiadomienia, z uwzględnieniem zapisów obowiązującej umowy dystrybucji.</w:t>
      </w:r>
    </w:p>
    <w:p w14:paraId="0F619D3C" w14:textId="1F99A284" w:rsidR="0045224E" w:rsidRPr="00AE3F1B" w:rsidRDefault="0045224E" w:rsidP="00AE189C">
      <w:pPr>
        <w:spacing w:after="186" w:line="249" w:lineRule="auto"/>
        <w:ind w:left="630" w:right="-3" w:hanging="630"/>
        <w:jc w:val="left"/>
        <w:rPr>
          <w:rFonts w:ascii="Garamond" w:hAnsi="Garamond"/>
          <w:sz w:val="24"/>
          <w:szCs w:val="24"/>
        </w:rPr>
      </w:pPr>
      <w:r w:rsidRPr="00AE3F1B">
        <w:rPr>
          <w:rFonts w:ascii="Garamond" w:hAnsi="Garamond"/>
          <w:sz w:val="24"/>
          <w:szCs w:val="24"/>
        </w:rPr>
        <w:lastRenderedPageBreak/>
        <w:t xml:space="preserve">F.1.6. </w:t>
      </w:r>
      <w:r w:rsidR="00AE189C">
        <w:rPr>
          <w:rFonts w:ascii="Garamond" w:hAnsi="Garamond"/>
          <w:sz w:val="24"/>
          <w:szCs w:val="24"/>
        </w:rPr>
        <w:tab/>
      </w:r>
      <w:r w:rsidRPr="00AE3F1B">
        <w:rPr>
          <w:rFonts w:ascii="Garamond" w:hAnsi="Garamond"/>
          <w:sz w:val="24"/>
          <w:szCs w:val="24"/>
        </w:rPr>
        <w:t xml:space="preserve">Odbiorca może mieć dla jednego PPE zawartą dowolną ilość umów sprzedaży energii elektrycznej. W umowie o świadczenie usług dystrybucji odbiorca wskazuje jednak tylko jednego ze swoich sprzedawców, tzw. sprzedawcę podstawowego. Powiadomienia, o którym mowa </w:t>
      </w:r>
      <w:r w:rsidR="00EA0D68">
        <w:rPr>
          <w:rFonts w:ascii="Garamond" w:hAnsi="Garamond"/>
          <w:sz w:val="24"/>
          <w:szCs w:val="24"/>
        </w:rPr>
        <w:br/>
      </w:r>
      <w:r w:rsidRPr="00AE3F1B">
        <w:rPr>
          <w:rFonts w:ascii="Garamond" w:hAnsi="Garamond"/>
          <w:sz w:val="24"/>
          <w:szCs w:val="24"/>
        </w:rPr>
        <w:t xml:space="preserve">w pkt. B. 1.1 dokonuje wyłącznie sprzedawca podstawowy. </w:t>
      </w:r>
      <w:r w:rsidR="00EA0D68">
        <w:rPr>
          <w:rFonts w:ascii="Garamond" w:hAnsi="Garamond"/>
          <w:sz w:val="24"/>
          <w:szCs w:val="24"/>
        </w:rPr>
        <w:br/>
      </w:r>
      <w:r w:rsidRPr="00AE3F1B">
        <w:rPr>
          <w:rFonts w:ascii="Garamond" w:hAnsi="Garamond"/>
          <w:sz w:val="24"/>
          <w:szCs w:val="24"/>
        </w:rPr>
        <w:t xml:space="preserve">Energia elektryczna zmierzona w PPE odbiorcy, będzie wykazywana na MB POB wskazanego </w:t>
      </w:r>
      <w:r w:rsidR="00EA0D68">
        <w:rPr>
          <w:rFonts w:ascii="Garamond" w:hAnsi="Garamond"/>
          <w:sz w:val="24"/>
          <w:szCs w:val="24"/>
        </w:rPr>
        <w:br/>
      </w:r>
      <w:r w:rsidRPr="00AE3F1B">
        <w:rPr>
          <w:rFonts w:ascii="Garamond" w:hAnsi="Garamond"/>
          <w:sz w:val="24"/>
          <w:szCs w:val="24"/>
        </w:rPr>
        <w:t>w generalnej umowie dystrybucji przez sprzedawcę podstawowego.</w:t>
      </w:r>
    </w:p>
    <w:p w14:paraId="2ED9C2F7" w14:textId="66BDC4AD" w:rsidR="0045224E" w:rsidRPr="00AE3F1B" w:rsidRDefault="0045224E" w:rsidP="00175586">
      <w:pPr>
        <w:spacing w:after="131" w:line="249" w:lineRule="auto"/>
        <w:ind w:left="567" w:right="-3" w:hanging="567"/>
        <w:jc w:val="left"/>
        <w:rPr>
          <w:rFonts w:ascii="Garamond" w:hAnsi="Garamond"/>
          <w:sz w:val="24"/>
          <w:szCs w:val="24"/>
        </w:rPr>
      </w:pPr>
      <w:r w:rsidRPr="00AE3F1B">
        <w:rPr>
          <w:rFonts w:ascii="Garamond" w:hAnsi="Garamond"/>
          <w:sz w:val="24"/>
          <w:szCs w:val="24"/>
        </w:rPr>
        <w:t xml:space="preserve">F.1.7. Zmiana Sprzedawcy i rozpoczęcie sprzedaży energii elektrycznej przez nowego sprzedawcę, następuje w terminie nie dłuższym niż 21 dni od dnia dokonania </w:t>
      </w:r>
      <w:r w:rsidR="00AE189C" w:rsidRPr="00AE3F1B">
        <w:rPr>
          <w:rFonts w:ascii="Garamond" w:hAnsi="Garamond"/>
          <w:sz w:val="24"/>
          <w:szCs w:val="24"/>
        </w:rPr>
        <w:t>powiadomienia,</w:t>
      </w:r>
      <w:r w:rsidRPr="00AE3F1B">
        <w:rPr>
          <w:rFonts w:ascii="Garamond" w:hAnsi="Garamond"/>
          <w:sz w:val="24"/>
          <w:szCs w:val="24"/>
        </w:rPr>
        <w:t xml:space="preserve"> o którym mowa w p</w:t>
      </w:r>
      <w:r w:rsidR="00EA0D68">
        <w:rPr>
          <w:rFonts w:ascii="Garamond" w:hAnsi="Garamond"/>
          <w:sz w:val="24"/>
          <w:szCs w:val="24"/>
        </w:rPr>
        <w:t xml:space="preserve">kt </w:t>
      </w:r>
      <w:r w:rsidRPr="00AE3F1B">
        <w:rPr>
          <w:rFonts w:ascii="Garamond" w:hAnsi="Garamond"/>
          <w:sz w:val="24"/>
          <w:szCs w:val="24"/>
        </w:rPr>
        <w:t>B.1.1., pod warunkiem jego pozytywnej weryfikacji, chyba że w powiadomieniu został określony termin późniejszy.</w:t>
      </w:r>
    </w:p>
    <w:p w14:paraId="73195219" w14:textId="77777777" w:rsidR="0045224E" w:rsidRPr="00706665" w:rsidRDefault="0045224E" w:rsidP="00AE189C">
      <w:pPr>
        <w:spacing w:line="248" w:lineRule="auto"/>
        <w:ind w:left="567" w:right="-3" w:hanging="567"/>
        <w:jc w:val="left"/>
        <w:rPr>
          <w:rFonts w:asciiTheme="majorHAnsi" w:hAnsiTheme="majorHAnsi"/>
          <w:b/>
          <w:bCs/>
          <w:sz w:val="24"/>
          <w:szCs w:val="24"/>
        </w:rPr>
      </w:pPr>
      <w:bookmarkStart w:id="99" w:name="_Hlk171928512"/>
      <w:r w:rsidRPr="00706665">
        <w:rPr>
          <w:rFonts w:asciiTheme="majorHAnsi" w:hAnsiTheme="majorHAnsi"/>
          <w:b/>
          <w:bCs/>
          <w:noProof/>
          <w:sz w:val="24"/>
          <w:szCs w:val="24"/>
        </w:rPr>
        <w:t xml:space="preserve">F.2.    </w:t>
      </w:r>
      <w:r w:rsidRPr="00706665">
        <w:rPr>
          <w:rFonts w:asciiTheme="majorHAnsi" w:hAnsiTheme="majorHAnsi"/>
          <w:b/>
          <w:bCs/>
          <w:sz w:val="24"/>
          <w:szCs w:val="24"/>
        </w:rPr>
        <w:t>Procedura zmiany sprzedawcy przez odbiorcę</w:t>
      </w:r>
    </w:p>
    <w:p w14:paraId="2D6F7727" w14:textId="04A938EA" w:rsidR="0045224E" w:rsidRPr="00AE3F1B" w:rsidRDefault="0045224E" w:rsidP="00AE189C">
      <w:pPr>
        <w:spacing w:line="249" w:lineRule="auto"/>
        <w:ind w:left="567" w:right="-3" w:hanging="567"/>
        <w:jc w:val="left"/>
        <w:rPr>
          <w:rFonts w:ascii="Garamond" w:hAnsi="Garamond"/>
          <w:sz w:val="24"/>
          <w:szCs w:val="24"/>
        </w:rPr>
      </w:pPr>
      <w:r w:rsidRPr="00AE3F1B">
        <w:rPr>
          <w:rFonts w:ascii="Garamond" w:hAnsi="Garamond"/>
          <w:sz w:val="24"/>
          <w:szCs w:val="24"/>
        </w:rPr>
        <w:t>F.2.1. Warunkiem koniecznym umożliwiającym zmianę sprzedawcy przez odbiorcę jest istnienie umowy o świadczenie usług dystrybucji, zawartej pomiędzy ID Sp. z o.o. a odbiorcą oraz spełnienie wymagań określonych w pkt. F.1. oraz zawarcie:</w:t>
      </w:r>
    </w:p>
    <w:p w14:paraId="283AE691" w14:textId="77777777" w:rsidR="0045224E" w:rsidRPr="00AE189C" w:rsidRDefault="0045224E">
      <w:pPr>
        <w:pStyle w:val="Akapitzlist"/>
        <w:numPr>
          <w:ilvl w:val="0"/>
          <w:numId w:val="179"/>
        </w:numPr>
        <w:spacing w:line="249" w:lineRule="auto"/>
        <w:ind w:right="-3"/>
        <w:jc w:val="left"/>
        <w:rPr>
          <w:rFonts w:ascii="Garamond" w:hAnsi="Garamond"/>
          <w:sz w:val="24"/>
          <w:szCs w:val="24"/>
        </w:rPr>
      </w:pPr>
      <w:r w:rsidRPr="00AE189C">
        <w:rPr>
          <w:rFonts w:ascii="Garamond" w:hAnsi="Garamond"/>
          <w:sz w:val="24"/>
          <w:szCs w:val="24"/>
        </w:rPr>
        <w:t xml:space="preserve">umowy o świadczenie usług dystrybucji pomiędzy OSD, a URD </w:t>
      </w:r>
      <w:r w:rsidR="00EA0D68" w:rsidRPr="00AE189C">
        <w:rPr>
          <w:rFonts w:ascii="Garamond" w:hAnsi="Garamond"/>
          <w:sz w:val="24"/>
          <w:szCs w:val="24"/>
        </w:rPr>
        <w:t>-</w:t>
      </w:r>
      <w:r w:rsidRPr="00AE189C">
        <w:rPr>
          <w:rFonts w:ascii="Garamond" w:hAnsi="Garamond"/>
          <w:sz w:val="24"/>
          <w:szCs w:val="24"/>
        </w:rPr>
        <w:t xml:space="preserve"> w przypadku zawarcia przez URD umowy sprzedaży, albo</w:t>
      </w:r>
    </w:p>
    <w:p w14:paraId="76AC0284" w14:textId="77777777" w:rsidR="0045224E" w:rsidRPr="00AE189C" w:rsidRDefault="0045224E">
      <w:pPr>
        <w:pStyle w:val="Akapitzlist"/>
        <w:numPr>
          <w:ilvl w:val="0"/>
          <w:numId w:val="179"/>
        </w:numPr>
        <w:spacing w:line="249" w:lineRule="auto"/>
        <w:ind w:right="-3"/>
        <w:jc w:val="left"/>
        <w:rPr>
          <w:rFonts w:ascii="Garamond" w:hAnsi="Garamond"/>
          <w:sz w:val="24"/>
          <w:szCs w:val="24"/>
        </w:rPr>
      </w:pPr>
      <w:r w:rsidRPr="00AE189C">
        <w:rPr>
          <w:rFonts w:ascii="Garamond" w:hAnsi="Garamond"/>
          <w:sz w:val="24"/>
          <w:szCs w:val="24"/>
        </w:rPr>
        <w:t>umowy kompleksowej pomiędzy sprzedawcą a URD.</w:t>
      </w:r>
    </w:p>
    <w:p w14:paraId="3FE98AD9" w14:textId="77777777" w:rsidR="0045224E" w:rsidRPr="00AE189C" w:rsidRDefault="0045224E">
      <w:pPr>
        <w:pStyle w:val="Akapitzlist"/>
        <w:numPr>
          <w:ilvl w:val="0"/>
          <w:numId w:val="180"/>
        </w:numPr>
        <w:spacing w:line="249" w:lineRule="auto"/>
        <w:ind w:right="-3"/>
        <w:jc w:val="left"/>
        <w:rPr>
          <w:rFonts w:ascii="Garamond" w:hAnsi="Garamond"/>
          <w:sz w:val="24"/>
          <w:szCs w:val="24"/>
        </w:rPr>
      </w:pPr>
      <w:r w:rsidRPr="00AE189C">
        <w:rPr>
          <w:rFonts w:ascii="Garamond" w:hAnsi="Garamond"/>
          <w:sz w:val="24"/>
          <w:szCs w:val="24"/>
        </w:rPr>
        <w:t>Odbiorca dokonuje wyboru sprzedawcy i zawiera z nim umowę sprzedaży energii elektrycznej albo umowę kompleksową.</w:t>
      </w:r>
    </w:p>
    <w:p w14:paraId="7D807B46" w14:textId="77777777" w:rsidR="0045224E" w:rsidRPr="00AE189C" w:rsidRDefault="0045224E">
      <w:pPr>
        <w:pStyle w:val="Akapitzlist"/>
        <w:numPr>
          <w:ilvl w:val="0"/>
          <w:numId w:val="180"/>
        </w:numPr>
        <w:spacing w:line="249" w:lineRule="auto"/>
        <w:ind w:right="-3"/>
        <w:jc w:val="left"/>
        <w:rPr>
          <w:rFonts w:ascii="Garamond" w:hAnsi="Garamond"/>
          <w:sz w:val="24"/>
          <w:szCs w:val="24"/>
        </w:rPr>
      </w:pPr>
      <w:r w:rsidRPr="00AE189C">
        <w:rPr>
          <w:rFonts w:ascii="Garamond" w:hAnsi="Garamond"/>
          <w:sz w:val="24"/>
          <w:szCs w:val="24"/>
        </w:rPr>
        <w:t>Odbiorca wypowiada dotychczasową umowę sprzedaży/umowę kompleksową lub upoważnia nowego sprzedawcę do dokonania wypowiedzenia.</w:t>
      </w:r>
    </w:p>
    <w:p w14:paraId="45062178" w14:textId="335FFE3D" w:rsidR="0045224E" w:rsidRPr="00AE3F1B" w:rsidRDefault="0045224E" w:rsidP="00AE189C">
      <w:pPr>
        <w:spacing w:line="249" w:lineRule="auto"/>
        <w:ind w:left="567" w:right="-3" w:hanging="567"/>
        <w:jc w:val="left"/>
        <w:rPr>
          <w:rFonts w:ascii="Garamond" w:hAnsi="Garamond"/>
          <w:sz w:val="24"/>
          <w:szCs w:val="24"/>
        </w:rPr>
      </w:pPr>
      <w:r w:rsidRPr="00AE3F1B">
        <w:rPr>
          <w:rFonts w:ascii="Garamond" w:hAnsi="Garamond"/>
          <w:sz w:val="24"/>
          <w:szCs w:val="24"/>
        </w:rPr>
        <w:t>F. 2.</w:t>
      </w:r>
      <w:r w:rsidR="00586005">
        <w:rPr>
          <w:rFonts w:ascii="Garamond" w:hAnsi="Garamond"/>
          <w:sz w:val="24"/>
          <w:szCs w:val="24"/>
        </w:rPr>
        <w:t>2</w:t>
      </w:r>
      <w:r w:rsidRPr="00AE3F1B">
        <w:rPr>
          <w:rFonts w:ascii="Garamond" w:hAnsi="Garamond"/>
          <w:sz w:val="24"/>
          <w:szCs w:val="24"/>
        </w:rPr>
        <w:t>.</w:t>
      </w:r>
      <w:r w:rsidR="00A22619">
        <w:rPr>
          <w:rFonts w:ascii="Garamond" w:hAnsi="Garamond"/>
          <w:sz w:val="24"/>
          <w:szCs w:val="24"/>
        </w:rPr>
        <w:t xml:space="preserve"> </w:t>
      </w:r>
      <w:r w:rsidRPr="00AE3F1B">
        <w:rPr>
          <w:rFonts w:ascii="Garamond" w:hAnsi="Garamond"/>
          <w:sz w:val="24"/>
          <w:szCs w:val="24"/>
        </w:rPr>
        <w:t>Nowy sprzedawca w imieniu własnym i odbiorcy, powiadamia ID Sp. z o.o. (na zasadach opisanych w pkt B.</w:t>
      </w:r>
      <w:r w:rsidR="007606DB">
        <w:rPr>
          <w:rFonts w:ascii="Garamond" w:hAnsi="Garamond"/>
          <w:sz w:val="24"/>
          <w:szCs w:val="24"/>
        </w:rPr>
        <w:t>1</w:t>
      </w:r>
      <w:r w:rsidRPr="00AE3F1B">
        <w:rPr>
          <w:rFonts w:ascii="Garamond" w:hAnsi="Garamond"/>
          <w:sz w:val="24"/>
          <w:szCs w:val="24"/>
        </w:rPr>
        <w:t xml:space="preserve">.) oraz dotychczasowego sprzedawcę, o fakcie zawarcia umowy sprzedaży </w:t>
      </w:r>
      <w:r w:rsidR="009C0FFC">
        <w:rPr>
          <w:rFonts w:ascii="Garamond" w:hAnsi="Garamond"/>
          <w:sz w:val="24"/>
          <w:szCs w:val="24"/>
        </w:rPr>
        <w:br/>
      </w:r>
      <w:r w:rsidRPr="00AE3F1B">
        <w:rPr>
          <w:rFonts w:ascii="Garamond" w:hAnsi="Garamond"/>
          <w:sz w:val="24"/>
          <w:szCs w:val="24"/>
        </w:rPr>
        <w:t>z odbiorcą.</w:t>
      </w:r>
    </w:p>
    <w:p w14:paraId="5E89501A" w14:textId="51E1F2A4" w:rsidR="0045224E" w:rsidRPr="00AE3F1B" w:rsidRDefault="0045224E" w:rsidP="00AE189C">
      <w:pPr>
        <w:spacing w:line="249" w:lineRule="auto"/>
        <w:ind w:left="567" w:right="-3"/>
        <w:jc w:val="left"/>
        <w:rPr>
          <w:rFonts w:ascii="Garamond" w:hAnsi="Garamond"/>
          <w:sz w:val="24"/>
          <w:szCs w:val="24"/>
        </w:rPr>
      </w:pPr>
      <w:r w:rsidRPr="00AE3F1B">
        <w:rPr>
          <w:rFonts w:ascii="Garamond" w:hAnsi="Garamond"/>
          <w:sz w:val="24"/>
          <w:szCs w:val="24"/>
        </w:rPr>
        <w:t>Nowy sprzedawca energii elektrycznej w imieniu własnym oraz URD, powiadamia ID</w:t>
      </w:r>
      <w:r w:rsidR="00AE189C">
        <w:rPr>
          <w:rFonts w:ascii="Garamond" w:hAnsi="Garamond"/>
          <w:sz w:val="24"/>
          <w:szCs w:val="24"/>
        </w:rPr>
        <w:t xml:space="preserve"> </w:t>
      </w:r>
      <w:r w:rsidRPr="00AE3F1B">
        <w:rPr>
          <w:rFonts w:ascii="Garamond" w:hAnsi="Garamond"/>
          <w:sz w:val="24"/>
          <w:szCs w:val="24"/>
        </w:rPr>
        <w:t>o zawarciu umowy sprzedaży energii elektrycznej lub umowy kompleksowej oraz o planowanym terminie rozpoczęcia sprzedaży energii elektrycznej, nie późniejszym niż 90 dni kalendarzowych od dnia złożenia powiadomienia. Powiadomienie składa się nie później niż na 21 dni kalendarzowych przed planowanym terminem wejścia w życie umowy sprzedaży lub umowy kompleksowej.</w:t>
      </w:r>
    </w:p>
    <w:p w14:paraId="54D2D055" w14:textId="77777777" w:rsidR="0045224E" w:rsidRPr="00AE3F1B" w:rsidRDefault="0045224E" w:rsidP="00AE189C">
      <w:pPr>
        <w:spacing w:line="249" w:lineRule="auto"/>
        <w:ind w:left="567" w:right="-3"/>
        <w:jc w:val="left"/>
        <w:rPr>
          <w:rFonts w:ascii="Garamond" w:hAnsi="Garamond"/>
          <w:sz w:val="24"/>
          <w:szCs w:val="24"/>
        </w:rPr>
      </w:pPr>
      <w:r w:rsidRPr="00AE3F1B">
        <w:rPr>
          <w:rFonts w:ascii="Garamond" w:hAnsi="Garamond"/>
          <w:sz w:val="24"/>
          <w:szCs w:val="24"/>
        </w:rPr>
        <w:t xml:space="preserve">W przypadku zawarcia umowy sprzedaży lub umowy kompleksowej z konsumentem lub osobą fizyczną, o której mowa wart. 38a ustawy o prawach konsumenta tj. zawierającą umowę sprzedaży lub umowę kompleksową bezpośrednio związaną z jej działalnością gospodarczą, </w:t>
      </w:r>
      <w:r w:rsidR="00EA0D68">
        <w:rPr>
          <w:rFonts w:ascii="Garamond" w:hAnsi="Garamond"/>
          <w:sz w:val="24"/>
          <w:szCs w:val="24"/>
        </w:rPr>
        <w:br/>
      </w:r>
      <w:r w:rsidRPr="00AE3F1B">
        <w:rPr>
          <w:rFonts w:ascii="Garamond" w:hAnsi="Garamond"/>
          <w:sz w:val="24"/>
          <w:szCs w:val="24"/>
        </w:rPr>
        <w:t xml:space="preserve">gdy ta umowa nie posiada dla tej osoby charakteru zawodowego, powiadomienia należy dokonać po bezskutecznym upływie terminu na odstąpienie od umowy przewidzianego w art. 27 ustawy </w:t>
      </w:r>
      <w:r w:rsidR="00EA0D68">
        <w:rPr>
          <w:rFonts w:ascii="Garamond" w:hAnsi="Garamond"/>
          <w:sz w:val="24"/>
          <w:szCs w:val="24"/>
        </w:rPr>
        <w:br/>
      </w:r>
      <w:r w:rsidRPr="00AE3F1B">
        <w:rPr>
          <w:rFonts w:ascii="Garamond" w:hAnsi="Garamond"/>
          <w:sz w:val="24"/>
          <w:szCs w:val="24"/>
        </w:rPr>
        <w:t>o prawach konsumenta, o ile konsument lub ww. osoba fizyczna, nie złożyli żądania wcześniejszego rozpoczęcia sprzedaży energii elektrycznej lub świadczenia usługi kompleksowej przed upływem terminu 14 dni na odstąpienie od umów.</w:t>
      </w:r>
    </w:p>
    <w:p w14:paraId="368F3362" w14:textId="77777777" w:rsidR="0045224E" w:rsidRPr="00AE3F1B" w:rsidRDefault="0045224E" w:rsidP="006316A5">
      <w:pPr>
        <w:spacing w:after="140" w:line="249" w:lineRule="auto"/>
        <w:ind w:left="567" w:right="-3"/>
        <w:jc w:val="left"/>
        <w:rPr>
          <w:rFonts w:ascii="Garamond" w:hAnsi="Garamond"/>
          <w:sz w:val="24"/>
          <w:szCs w:val="24"/>
        </w:rPr>
      </w:pPr>
      <w:r w:rsidRPr="00AE3F1B">
        <w:rPr>
          <w:rFonts w:ascii="Garamond" w:hAnsi="Garamond"/>
          <w:sz w:val="24"/>
          <w:szCs w:val="24"/>
        </w:rPr>
        <w:t>Dodatkowo URD może dokonać powiadomienia OSD o zawarciu umowy sprzedaży lub umowy kompleksowej, poprzez złożenie wniosku (wzór wniosku powiadomienia jest publikowany na stronie internetowej OSD).</w:t>
      </w:r>
    </w:p>
    <w:p w14:paraId="2EB2FCA9" w14:textId="7BB23B30" w:rsidR="0045224E" w:rsidRPr="00AE3F1B" w:rsidRDefault="0045224E" w:rsidP="00AE189C">
      <w:pPr>
        <w:spacing w:line="249" w:lineRule="auto"/>
        <w:ind w:left="567" w:right="-3" w:hanging="567"/>
        <w:jc w:val="left"/>
        <w:rPr>
          <w:rFonts w:ascii="Garamond" w:hAnsi="Garamond"/>
          <w:sz w:val="24"/>
          <w:szCs w:val="24"/>
        </w:rPr>
      </w:pPr>
      <w:r w:rsidRPr="00AE3F1B">
        <w:rPr>
          <w:rFonts w:ascii="Garamond" w:hAnsi="Garamond"/>
          <w:sz w:val="24"/>
          <w:szCs w:val="24"/>
        </w:rPr>
        <w:t>F.2.</w:t>
      </w:r>
      <w:r w:rsidR="00586005">
        <w:rPr>
          <w:rFonts w:ascii="Garamond" w:hAnsi="Garamond"/>
          <w:sz w:val="24"/>
          <w:szCs w:val="24"/>
        </w:rPr>
        <w:t>3</w:t>
      </w:r>
      <w:r w:rsidRPr="00AE3F1B">
        <w:rPr>
          <w:rFonts w:ascii="Garamond" w:hAnsi="Garamond"/>
          <w:sz w:val="24"/>
          <w:szCs w:val="24"/>
        </w:rPr>
        <w:t>. Sprzedawca zobowiązany jest uzyskać pełnomocnictwo URD na dokonanie powiadomienia OSD, o którym mowa w pkt F.2.</w:t>
      </w:r>
      <w:r w:rsidR="00586005">
        <w:rPr>
          <w:rFonts w:ascii="Garamond" w:hAnsi="Garamond"/>
          <w:sz w:val="24"/>
          <w:szCs w:val="24"/>
        </w:rPr>
        <w:t>2</w:t>
      </w:r>
      <w:r w:rsidRPr="00AE3F1B">
        <w:rPr>
          <w:rFonts w:ascii="Garamond" w:hAnsi="Garamond"/>
          <w:sz w:val="24"/>
          <w:szCs w:val="24"/>
        </w:rPr>
        <w:t>., w imieniu URD oraz złożyć OSD oświadczenie o fakcie posiadania tego pełnomocnictwa.</w:t>
      </w:r>
    </w:p>
    <w:p w14:paraId="2393B2DE" w14:textId="33E73008" w:rsidR="0045224E" w:rsidRPr="00AE3F1B" w:rsidRDefault="0045224E" w:rsidP="00AE189C">
      <w:pPr>
        <w:spacing w:line="249" w:lineRule="auto"/>
        <w:ind w:left="567" w:right="-3" w:hanging="567"/>
        <w:jc w:val="left"/>
        <w:rPr>
          <w:rFonts w:ascii="Garamond" w:hAnsi="Garamond"/>
          <w:sz w:val="24"/>
          <w:szCs w:val="24"/>
        </w:rPr>
      </w:pPr>
      <w:r w:rsidRPr="00AE3F1B">
        <w:rPr>
          <w:rFonts w:ascii="Garamond" w:hAnsi="Garamond"/>
          <w:sz w:val="24"/>
          <w:szCs w:val="24"/>
        </w:rPr>
        <w:lastRenderedPageBreak/>
        <w:t>F.2.</w:t>
      </w:r>
      <w:r w:rsidR="00586005">
        <w:rPr>
          <w:rFonts w:ascii="Garamond" w:hAnsi="Garamond"/>
          <w:sz w:val="24"/>
          <w:szCs w:val="24"/>
        </w:rPr>
        <w:t>4</w:t>
      </w:r>
      <w:r w:rsidRPr="00AE3F1B">
        <w:rPr>
          <w:rFonts w:ascii="Garamond" w:hAnsi="Garamond"/>
          <w:sz w:val="24"/>
          <w:szCs w:val="24"/>
        </w:rPr>
        <w:t xml:space="preserve">. OSD w terminie do 5 dni roboczych od dnia przyjęcia powiadomień, o których mowa </w:t>
      </w:r>
      <w:r w:rsidRPr="00AE3F1B">
        <w:rPr>
          <w:rFonts w:ascii="Garamond" w:hAnsi="Garamond"/>
          <w:sz w:val="24"/>
          <w:szCs w:val="24"/>
        </w:rPr>
        <w:br/>
        <w:t>w pkt</w:t>
      </w:r>
      <w:r w:rsidR="00AE189C">
        <w:rPr>
          <w:rFonts w:ascii="Garamond" w:hAnsi="Garamond"/>
          <w:sz w:val="24"/>
          <w:szCs w:val="24"/>
        </w:rPr>
        <w:t xml:space="preserve"> </w:t>
      </w:r>
      <w:r w:rsidRPr="00AE3F1B">
        <w:rPr>
          <w:rFonts w:ascii="Garamond" w:hAnsi="Garamond"/>
          <w:sz w:val="24"/>
          <w:szCs w:val="24"/>
        </w:rPr>
        <w:t>B.1.1., dokonuje ich weryfikacji, zgodnie z zapisami rozdziału B. ID informuje nowego sprzedawcę o wyniku przeprowadzonej weryfikacji.</w:t>
      </w:r>
    </w:p>
    <w:p w14:paraId="7441AF75" w14:textId="288E78C8" w:rsidR="0045224E" w:rsidRPr="00AE3F1B" w:rsidRDefault="0045224E" w:rsidP="00AE189C">
      <w:pPr>
        <w:spacing w:line="249" w:lineRule="auto"/>
        <w:ind w:left="567" w:right="-3" w:hanging="567"/>
        <w:jc w:val="left"/>
        <w:rPr>
          <w:rFonts w:ascii="Garamond" w:hAnsi="Garamond"/>
          <w:sz w:val="24"/>
          <w:szCs w:val="24"/>
        </w:rPr>
      </w:pPr>
      <w:r w:rsidRPr="00AE3F1B">
        <w:rPr>
          <w:rFonts w:ascii="Garamond" w:hAnsi="Garamond"/>
          <w:sz w:val="24"/>
          <w:szCs w:val="24"/>
        </w:rPr>
        <w:t>F.2.</w:t>
      </w:r>
      <w:r w:rsidR="00586005">
        <w:rPr>
          <w:rFonts w:ascii="Garamond" w:hAnsi="Garamond"/>
          <w:sz w:val="24"/>
          <w:szCs w:val="24"/>
        </w:rPr>
        <w:t>5</w:t>
      </w:r>
      <w:r w:rsidRPr="00AE3F1B">
        <w:rPr>
          <w:rFonts w:ascii="Garamond" w:hAnsi="Garamond"/>
          <w:sz w:val="24"/>
          <w:szCs w:val="24"/>
        </w:rPr>
        <w:t>. Jeżeli powiadomienie, o którym mowa w pkt F.2.</w:t>
      </w:r>
      <w:r w:rsidR="00586005">
        <w:rPr>
          <w:rFonts w:ascii="Garamond" w:hAnsi="Garamond"/>
          <w:sz w:val="24"/>
          <w:szCs w:val="24"/>
        </w:rPr>
        <w:t>2</w:t>
      </w:r>
      <w:r w:rsidRPr="00AE3F1B">
        <w:rPr>
          <w:rFonts w:ascii="Garamond" w:hAnsi="Garamond"/>
          <w:sz w:val="24"/>
          <w:szCs w:val="24"/>
        </w:rPr>
        <w:t xml:space="preserve">. zawiera błędy lub braki formalne OSD informuje o tym sprzedawcę, który przedłożył powiadomienie w terminie nie dłuższym </w:t>
      </w:r>
      <w:r w:rsidRPr="00AE3F1B">
        <w:rPr>
          <w:rFonts w:ascii="Garamond" w:hAnsi="Garamond"/>
          <w:sz w:val="24"/>
          <w:szCs w:val="24"/>
        </w:rPr>
        <w:br/>
        <w:t xml:space="preserve">niż 5 dni roboczych od dnia otrzymania tego powiadomienia, wykazując wszystkie braki </w:t>
      </w:r>
      <w:r w:rsidRPr="00AE3F1B">
        <w:rPr>
          <w:rFonts w:ascii="Garamond" w:hAnsi="Garamond"/>
          <w:sz w:val="24"/>
          <w:szCs w:val="24"/>
        </w:rPr>
        <w:br/>
        <w:t>i informując o konieczności ich uzupełnienia.</w:t>
      </w:r>
    </w:p>
    <w:p w14:paraId="16F52048" w14:textId="7F52B5E7" w:rsidR="0045224E" w:rsidRPr="00AE3F1B" w:rsidRDefault="0045224E" w:rsidP="00AE189C">
      <w:pPr>
        <w:spacing w:line="249" w:lineRule="auto"/>
        <w:ind w:left="567" w:right="-3" w:hanging="567"/>
        <w:jc w:val="left"/>
        <w:rPr>
          <w:rFonts w:ascii="Garamond" w:hAnsi="Garamond"/>
          <w:sz w:val="24"/>
          <w:szCs w:val="24"/>
        </w:rPr>
      </w:pPr>
      <w:r w:rsidRPr="00AE3F1B">
        <w:rPr>
          <w:rFonts w:ascii="Garamond" w:hAnsi="Garamond"/>
          <w:sz w:val="24"/>
          <w:szCs w:val="24"/>
        </w:rPr>
        <w:t>F.2.</w:t>
      </w:r>
      <w:r w:rsidR="00586005">
        <w:rPr>
          <w:rFonts w:ascii="Garamond" w:hAnsi="Garamond"/>
          <w:sz w:val="24"/>
          <w:szCs w:val="24"/>
        </w:rPr>
        <w:t>6</w:t>
      </w:r>
      <w:r w:rsidRPr="00AE3F1B">
        <w:rPr>
          <w:rFonts w:ascii="Garamond" w:hAnsi="Garamond"/>
          <w:sz w:val="24"/>
          <w:szCs w:val="24"/>
        </w:rPr>
        <w:t>. Jeżeli błędy lub braki formalne, o których mowa w pkt F.2.</w:t>
      </w:r>
      <w:r w:rsidR="00586005">
        <w:rPr>
          <w:rFonts w:ascii="Garamond" w:hAnsi="Garamond"/>
          <w:sz w:val="24"/>
          <w:szCs w:val="24"/>
        </w:rPr>
        <w:t>5</w:t>
      </w:r>
      <w:r w:rsidRPr="00AE3F1B">
        <w:rPr>
          <w:rFonts w:ascii="Garamond" w:hAnsi="Garamond"/>
          <w:sz w:val="24"/>
          <w:szCs w:val="24"/>
        </w:rPr>
        <w:t>. nie zostaną uzupełnione w terminie nie dłuższym niż 5 dni roboczych, OSD dokonuje negatywnej weryfikacji powiadomienia, o którym mowa w pkt F.2.</w:t>
      </w:r>
      <w:r w:rsidR="00586005">
        <w:rPr>
          <w:rFonts w:ascii="Garamond" w:hAnsi="Garamond"/>
          <w:sz w:val="24"/>
          <w:szCs w:val="24"/>
        </w:rPr>
        <w:t>2</w:t>
      </w:r>
      <w:r w:rsidRPr="00AE3F1B">
        <w:rPr>
          <w:rFonts w:ascii="Garamond" w:hAnsi="Garamond"/>
          <w:sz w:val="24"/>
          <w:szCs w:val="24"/>
        </w:rPr>
        <w:t>., informując o tym sprzedawcę który przedłożył powiadomienie.</w:t>
      </w:r>
    </w:p>
    <w:p w14:paraId="54E41889" w14:textId="5B182598" w:rsidR="0045224E" w:rsidRPr="00AE3F1B" w:rsidRDefault="0045224E" w:rsidP="00AE189C">
      <w:pPr>
        <w:spacing w:line="249" w:lineRule="auto"/>
        <w:ind w:left="567" w:right="-3" w:hanging="567"/>
        <w:jc w:val="left"/>
        <w:rPr>
          <w:rFonts w:ascii="Garamond" w:hAnsi="Garamond"/>
          <w:sz w:val="24"/>
          <w:szCs w:val="24"/>
        </w:rPr>
      </w:pPr>
      <w:r w:rsidRPr="00AE3F1B">
        <w:rPr>
          <w:rFonts w:ascii="Garamond" w:hAnsi="Garamond"/>
          <w:sz w:val="24"/>
          <w:szCs w:val="24"/>
        </w:rPr>
        <w:t>F.2.</w:t>
      </w:r>
      <w:r w:rsidR="00586005">
        <w:rPr>
          <w:rFonts w:ascii="Garamond" w:hAnsi="Garamond"/>
          <w:sz w:val="24"/>
          <w:szCs w:val="24"/>
        </w:rPr>
        <w:t>7</w:t>
      </w:r>
      <w:r w:rsidRPr="00AE3F1B">
        <w:rPr>
          <w:rFonts w:ascii="Garamond" w:hAnsi="Garamond"/>
          <w:sz w:val="24"/>
          <w:szCs w:val="24"/>
        </w:rPr>
        <w:t>. Zmiana sprzedawcy i rozpoczęcie sprzedaży energii elektrycznej lub usługi kompleksowej przez nowego sprzedawcę następuje w terminie nie później niż 21 dni kalendarzowych od dnia dokonania powiadomienia, o którym mowa w pkt F.2.</w:t>
      </w:r>
      <w:r w:rsidR="00586005">
        <w:rPr>
          <w:rFonts w:ascii="Garamond" w:hAnsi="Garamond"/>
          <w:sz w:val="24"/>
          <w:szCs w:val="24"/>
        </w:rPr>
        <w:t>2</w:t>
      </w:r>
      <w:r w:rsidRPr="00AE3F1B">
        <w:rPr>
          <w:rFonts w:ascii="Garamond" w:hAnsi="Garamond"/>
          <w:sz w:val="24"/>
          <w:szCs w:val="24"/>
        </w:rPr>
        <w:t xml:space="preserve">. pod warunkiem jego pozytywnej weryfikacji przez ID, chyba, że w powiadomieniu określony został termin późniejszy, </w:t>
      </w:r>
      <w:r w:rsidR="00EA0D68">
        <w:rPr>
          <w:rFonts w:ascii="Garamond" w:hAnsi="Garamond"/>
          <w:sz w:val="24"/>
          <w:szCs w:val="24"/>
        </w:rPr>
        <w:br/>
      </w:r>
      <w:r w:rsidRPr="00AE3F1B">
        <w:rPr>
          <w:rFonts w:ascii="Garamond" w:hAnsi="Garamond"/>
          <w:sz w:val="24"/>
          <w:szCs w:val="24"/>
        </w:rPr>
        <w:t xml:space="preserve">z zastrzeżeniem </w:t>
      </w:r>
      <w:r w:rsidR="00AE189C" w:rsidRPr="00AE3F1B">
        <w:rPr>
          <w:rFonts w:ascii="Garamond" w:hAnsi="Garamond"/>
          <w:sz w:val="24"/>
          <w:szCs w:val="24"/>
        </w:rPr>
        <w:t>terminów,</w:t>
      </w:r>
      <w:r w:rsidRPr="00AE3F1B">
        <w:rPr>
          <w:rFonts w:ascii="Garamond" w:hAnsi="Garamond"/>
          <w:sz w:val="24"/>
          <w:szCs w:val="24"/>
        </w:rPr>
        <w:t xml:space="preserve"> o których mowa w pkt F.2.</w:t>
      </w:r>
      <w:r w:rsidR="00586005">
        <w:rPr>
          <w:rFonts w:ascii="Garamond" w:hAnsi="Garamond"/>
          <w:sz w:val="24"/>
          <w:szCs w:val="24"/>
        </w:rPr>
        <w:t>2</w:t>
      </w:r>
      <w:r w:rsidRPr="00AE3F1B">
        <w:rPr>
          <w:rFonts w:ascii="Garamond" w:hAnsi="Garamond"/>
          <w:sz w:val="24"/>
          <w:szCs w:val="24"/>
        </w:rPr>
        <w:t>.</w:t>
      </w:r>
    </w:p>
    <w:p w14:paraId="4D8E2A51" w14:textId="58A8ABC1" w:rsidR="0045224E" w:rsidRPr="00AE3F1B" w:rsidRDefault="0045224E" w:rsidP="00A22619">
      <w:pPr>
        <w:spacing w:line="249" w:lineRule="auto"/>
        <w:ind w:left="567" w:right="-3" w:hanging="567"/>
        <w:jc w:val="left"/>
        <w:rPr>
          <w:rFonts w:ascii="Garamond" w:hAnsi="Garamond"/>
          <w:sz w:val="24"/>
          <w:szCs w:val="24"/>
        </w:rPr>
      </w:pPr>
      <w:r w:rsidRPr="00AE3F1B">
        <w:rPr>
          <w:rFonts w:ascii="Garamond" w:hAnsi="Garamond"/>
          <w:sz w:val="24"/>
          <w:szCs w:val="24"/>
        </w:rPr>
        <w:t>F.2.</w:t>
      </w:r>
      <w:r w:rsidR="00586005">
        <w:rPr>
          <w:rFonts w:ascii="Garamond" w:hAnsi="Garamond"/>
          <w:sz w:val="24"/>
          <w:szCs w:val="24"/>
        </w:rPr>
        <w:t>8</w:t>
      </w:r>
      <w:r w:rsidRPr="00AE3F1B">
        <w:rPr>
          <w:rFonts w:ascii="Garamond" w:hAnsi="Garamond"/>
          <w:sz w:val="24"/>
          <w:szCs w:val="24"/>
        </w:rPr>
        <w:t>.</w:t>
      </w:r>
      <w:r w:rsidR="00AE189C">
        <w:rPr>
          <w:rFonts w:ascii="Garamond" w:hAnsi="Garamond"/>
          <w:sz w:val="24"/>
          <w:szCs w:val="24"/>
        </w:rPr>
        <w:t xml:space="preserve"> </w:t>
      </w:r>
      <w:r w:rsidRPr="00AE3F1B">
        <w:rPr>
          <w:rFonts w:ascii="Garamond" w:hAnsi="Garamond"/>
          <w:sz w:val="24"/>
          <w:szCs w:val="24"/>
        </w:rPr>
        <w:t xml:space="preserve">Zmiana sprzedawcy nie wymaga potwierdzenia rozwiązania umowy sprzedaży energii elektrycznej lub umowy kompleksowej przez dotychczasowego sprzedawcę. Informacja </w:t>
      </w:r>
      <w:r w:rsidR="009C0FFC">
        <w:rPr>
          <w:rFonts w:ascii="Garamond" w:hAnsi="Garamond"/>
          <w:sz w:val="24"/>
          <w:szCs w:val="24"/>
        </w:rPr>
        <w:br/>
      </w:r>
      <w:r w:rsidRPr="00AE3F1B">
        <w:rPr>
          <w:rFonts w:ascii="Garamond" w:hAnsi="Garamond"/>
          <w:sz w:val="24"/>
          <w:szCs w:val="24"/>
        </w:rPr>
        <w:t>od dotychczasowego sprzedawcy o braku możliwości rozwiązania umowy sprzedaży energii elektrycznej lub umowy kompleksowej nie wstrzymuje procesu zmiany sprzedawcy.</w:t>
      </w:r>
    </w:p>
    <w:p w14:paraId="61FA4A81" w14:textId="34F03DD7" w:rsidR="0045224E" w:rsidRPr="00AE3F1B" w:rsidRDefault="0045224E" w:rsidP="00AE189C">
      <w:pPr>
        <w:spacing w:line="249" w:lineRule="auto"/>
        <w:ind w:left="709" w:right="-3" w:hanging="709"/>
        <w:jc w:val="left"/>
        <w:rPr>
          <w:rFonts w:ascii="Garamond" w:hAnsi="Garamond"/>
          <w:sz w:val="24"/>
          <w:szCs w:val="24"/>
        </w:rPr>
      </w:pPr>
      <w:r w:rsidRPr="00AE3F1B">
        <w:rPr>
          <w:rFonts w:ascii="Garamond" w:hAnsi="Garamond"/>
          <w:sz w:val="24"/>
          <w:szCs w:val="24"/>
        </w:rPr>
        <w:t xml:space="preserve"> F.2.</w:t>
      </w:r>
      <w:r w:rsidR="00586005">
        <w:rPr>
          <w:rFonts w:ascii="Garamond" w:hAnsi="Garamond"/>
          <w:sz w:val="24"/>
          <w:szCs w:val="24"/>
        </w:rPr>
        <w:t>9</w:t>
      </w:r>
      <w:r w:rsidRPr="00AE3F1B">
        <w:rPr>
          <w:rFonts w:ascii="Garamond" w:hAnsi="Garamond"/>
          <w:sz w:val="24"/>
          <w:szCs w:val="24"/>
        </w:rPr>
        <w:t>. W przypadku otrzymania przez OSD, dla tego samego PPE, więcej niż jednego powiadomienia</w:t>
      </w:r>
      <w:r w:rsidR="00AE189C">
        <w:rPr>
          <w:rFonts w:ascii="Garamond" w:hAnsi="Garamond"/>
          <w:sz w:val="24"/>
          <w:szCs w:val="24"/>
        </w:rPr>
        <w:t xml:space="preserve"> </w:t>
      </w:r>
      <w:r w:rsidRPr="00AE3F1B">
        <w:rPr>
          <w:rFonts w:ascii="Garamond" w:hAnsi="Garamond"/>
          <w:sz w:val="24"/>
          <w:szCs w:val="24"/>
        </w:rPr>
        <w:t xml:space="preserve">do realizacji umowy sprzedaży lub umowy kompleksowej od tego </w:t>
      </w:r>
      <w:r w:rsidR="00AE189C" w:rsidRPr="00AE3F1B">
        <w:rPr>
          <w:rFonts w:ascii="Garamond" w:hAnsi="Garamond"/>
          <w:sz w:val="24"/>
          <w:szCs w:val="24"/>
        </w:rPr>
        <w:t>samego lub</w:t>
      </w:r>
      <w:r w:rsidRPr="00AE3F1B">
        <w:rPr>
          <w:rFonts w:ascii="Garamond" w:hAnsi="Garamond"/>
          <w:sz w:val="24"/>
          <w:szCs w:val="24"/>
        </w:rPr>
        <w:t xml:space="preserve"> różnych sprzedawców na ten sam termin rozpoczęcia sprzedaży lub świadczenia usługi kompleksowej,</w:t>
      </w:r>
      <w:r w:rsidR="006316A5">
        <w:rPr>
          <w:rFonts w:ascii="Garamond" w:hAnsi="Garamond"/>
          <w:sz w:val="24"/>
          <w:szCs w:val="24"/>
        </w:rPr>
        <w:t xml:space="preserve"> </w:t>
      </w:r>
      <w:r w:rsidRPr="00AE3F1B">
        <w:rPr>
          <w:rFonts w:ascii="Garamond" w:hAnsi="Garamond"/>
          <w:sz w:val="24"/>
          <w:szCs w:val="24"/>
        </w:rPr>
        <w:t xml:space="preserve">OSD przyjmie do realizacji umowę sprzedaży lub umowę kompleksową, którą otrzymał jako pierwszą, z zachowaniem </w:t>
      </w:r>
      <w:r w:rsidR="00AE189C" w:rsidRPr="00AE3F1B">
        <w:rPr>
          <w:rFonts w:ascii="Garamond" w:hAnsi="Garamond"/>
          <w:sz w:val="24"/>
          <w:szCs w:val="24"/>
        </w:rPr>
        <w:t>terminów,</w:t>
      </w:r>
      <w:r w:rsidRPr="00AE3F1B">
        <w:rPr>
          <w:rFonts w:ascii="Garamond" w:hAnsi="Garamond"/>
          <w:sz w:val="24"/>
          <w:szCs w:val="24"/>
        </w:rPr>
        <w:t xml:space="preserve"> o których mowa w punkcie F.2.</w:t>
      </w:r>
      <w:r w:rsidR="00586005">
        <w:rPr>
          <w:rFonts w:ascii="Garamond" w:hAnsi="Garamond"/>
          <w:sz w:val="24"/>
          <w:szCs w:val="24"/>
        </w:rPr>
        <w:t>2</w:t>
      </w:r>
      <w:r w:rsidRPr="00AE3F1B">
        <w:rPr>
          <w:rFonts w:ascii="Garamond" w:hAnsi="Garamond"/>
          <w:sz w:val="24"/>
          <w:szCs w:val="24"/>
        </w:rPr>
        <w:t>.</w:t>
      </w:r>
    </w:p>
    <w:p w14:paraId="5A0911FA" w14:textId="352E881E" w:rsidR="0045224E" w:rsidRPr="00AE3F1B" w:rsidRDefault="0045224E" w:rsidP="00AE189C">
      <w:pPr>
        <w:spacing w:line="249" w:lineRule="auto"/>
        <w:ind w:left="709" w:right="-3" w:hanging="709"/>
        <w:jc w:val="left"/>
        <w:rPr>
          <w:rFonts w:ascii="Garamond" w:hAnsi="Garamond"/>
          <w:sz w:val="24"/>
          <w:szCs w:val="24"/>
        </w:rPr>
      </w:pPr>
      <w:r w:rsidRPr="00AE3F1B">
        <w:rPr>
          <w:rFonts w:ascii="Garamond" w:hAnsi="Garamond"/>
          <w:sz w:val="24"/>
          <w:szCs w:val="24"/>
        </w:rPr>
        <w:t xml:space="preserve"> F.2.1</w:t>
      </w:r>
      <w:r w:rsidR="00586005">
        <w:rPr>
          <w:rFonts w:ascii="Garamond" w:hAnsi="Garamond"/>
          <w:sz w:val="24"/>
          <w:szCs w:val="24"/>
        </w:rPr>
        <w:t>0</w:t>
      </w:r>
      <w:r w:rsidRPr="00AE3F1B">
        <w:rPr>
          <w:rFonts w:ascii="Garamond" w:hAnsi="Garamond"/>
          <w:sz w:val="24"/>
          <w:szCs w:val="24"/>
        </w:rPr>
        <w:t>.</w:t>
      </w:r>
      <w:r w:rsidR="00AE189C">
        <w:rPr>
          <w:rFonts w:ascii="Garamond" w:hAnsi="Garamond"/>
          <w:sz w:val="24"/>
          <w:szCs w:val="24"/>
        </w:rPr>
        <w:t xml:space="preserve"> </w:t>
      </w:r>
      <w:r w:rsidR="00AE189C" w:rsidRPr="00AE3F1B">
        <w:rPr>
          <w:rFonts w:ascii="Garamond" w:hAnsi="Garamond"/>
          <w:sz w:val="24"/>
          <w:szCs w:val="24"/>
        </w:rPr>
        <w:t>Sprzedawca,</w:t>
      </w:r>
      <w:r w:rsidRPr="00AE3F1B">
        <w:rPr>
          <w:rFonts w:ascii="Garamond" w:hAnsi="Garamond"/>
          <w:sz w:val="24"/>
          <w:szCs w:val="24"/>
        </w:rPr>
        <w:t xml:space="preserve"> który dokonał powiadomienia, o którym mowa w pkt F.2.</w:t>
      </w:r>
      <w:r w:rsidR="00586005">
        <w:rPr>
          <w:rFonts w:ascii="Garamond" w:hAnsi="Garamond"/>
          <w:sz w:val="24"/>
          <w:szCs w:val="24"/>
        </w:rPr>
        <w:t>2</w:t>
      </w:r>
      <w:r w:rsidRPr="00AE3F1B">
        <w:rPr>
          <w:rFonts w:ascii="Garamond" w:hAnsi="Garamond"/>
          <w:sz w:val="24"/>
          <w:szCs w:val="24"/>
        </w:rPr>
        <w:t xml:space="preserve">., może w terminie </w:t>
      </w:r>
      <w:r w:rsidR="009C0FFC">
        <w:rPr>
          <w:rFonts w:ascii="Garamond" w:hAnsi="Garamond"/>
          <w:sz w:val="24"/>
          <w:szCs w:val="24"/>
        </w:rPr>
        <w:br/>
      </w:r>
      <w:r w:rsidRPr="00AE3F1B">
        <w:rPr>
          <w:rFonts w:ascii="Garamond" w:hAnsi="Garamond"/>
          <w:sz w:val="24"/>
          <w:szCs w:val="24"/>
        </w:rPr>
        <w:t>do pięciu dni kalendarzowych przed planowanym terminem rozpoczęcia sprzedaży energii elektrycznej lub świadczenia usługi kompleksowej, złożyć w imieniu swoim i URD oświadczenie o anulowaniu tego powiadomienia i cofnięciu wszystkich oświadczeń złożonych przez niego w imieniu URD w ramach zmiany sprzedawcy. Na skutek złożenia oświadczenia o anulowaniu powiadomienia, o którym mowa w pkt F.2.</w:t>
      </w:r>
      <w:r w:rsidR="00586005">
        <w:rPr>
          <w:rFonts w:ascii="Garamond" w:hAnsi="Garamond"/>
          <w:sz w:val="24"/>
          <w:szCs w:val="24"/>
        </w:rPr>
        <w:t>2</w:t>
      </w:r>
      <w:r w:rsidRPr="00AE3F1B">
        <w:rPr>
          <w:rFonts w:ascii="Garamond" w:hAnsi="Garamond"/>
          <w:sz w:val="24"/>
          <w:szCs w:val="24"/>
        </w:rPr>
        <w:t>, dochodzi do rozwiązania umowy dystrybucyjnej z mocą porozumienia stron, z dniem złożenia tego oświadczenia.</w:t>
      </w:r>
      <w:r w:rsidR="006316A5">
        <w:rPr>
          <w:rFonts w:ascii="Garamond" w:hAnsi="Garamond"/>
          <w:sz w:val="24"/>
          <w:szCs w:val="24"/>
        </w:rPr>
        <w:t xml:space="preserve"> </w:t>
      </w:r>
      <w:r w:rsidRPr="00AE3F1B">
        <w:rPr>
          <w:rFonts w:ascii="Garamond" w:hAnsi="Garamond"/>
          <w:sz w:val="24"/>
          <w:szCs w:val="24"/>
        </w:rPr>
        <w:t>Dokonanie przez sprzedawcę powiadomienia, o którym mowa w pkt F.2.</w:t>
      </w:r>
      <w:r w:rsidR="00586005">
        <w:rPr>
          <w:rFonts w:ascii="Garamond" w:hAnsi="Garamond"/>
          <w:sz w:val="24"/>
          <w:szCs w:val="24"/>
        </w:rPr>
        <w:t>2</w:t>
      </w:r>
      <w:r w:rsidRPr="00AE3F1B">
        <w:rPr>
          <w:rFonts w:ascii="Garamond" w:hAnsi="Garamond"/>
          <w:sz w:val="24"/>
          <w:szCs w:val="24"/>
        </w:rPr>
        <w:t xml:space="preserve">., jest równoznaczne </w:t>
      </w:r>
      <w:r w:rsidR="00207CE6" w:rsidRPr="00AE3F1B">
        <w:rPr>
          <w:rFonts w:ascii="Garamond" w:hAnsi="Garamond"/>
          <w:sz w:val="24"/>
          <w:szCs w:val="24"/>
        </w:rPr>
        <w:br/>
      </w:r>
      <w:r w:rsidRPr="00AE3F1B">
        <w:rPr>
          <w:rFonts w:ascii="Garamond" w:hAnsi="Garamond"/>
          <w:sz w:val="24"/>
          <w:szCs w:val="24"/>
        </w:rPr>
        <w:t xml:space="preserve">z dysponowaniem przez niego pełnomocnictwem do złożenia oświadczenia o anulowaniu tego powiadomienia i cofnięciu wszystkich oświadczeń złożonych przez niego w imieniu URD </w:t>
      </w:r>
      <w:r w:rsidR="00207CE6" w:rsidRPr="00AE3F1B">
        <w:rPr>
          <w:rFonts w:ascii="Garamond" w:hAnsi="Garamond"/>
          <w:sz w:val="24"/>
          <w:szCs w:val="24"/>
        </w:rPr>
        <w:br/>
      </w:r>
      <w:r w:rsidRPr="00AE3F1B">
        <w:rPr>
          <w:rFonts w:ascii="Garamond" w:hAnsi="Garamond"/>
          <w:sz w:val="24"/>
          <w:szCs w:val="24"/>
        </w:rPr>
        <w:t>w ramach zmiany sprzedawcy. W takim przypadku OSD nie przyjmuje do realizacji umowy sprzedaży energii elektrycznej lub umowy kompleksowej objętej tym powiadomieniem.</w:t>
      </w:r>
      <w:r w:rsidR="009C0FFC">
        <w:rPr>
          <w:rFonts w:ascii="Garamond" w:hAnsi="Garamond"/>
          <w:sz w:val="24"/>
          <w:szCs w:val="24"/>
        </w:rPr>
        <w:br/>
      </w:r>
      <w:r w:rsidRPr="00AE3F1B">
        <w:rPr>
          <w:rFonts w:ascii="Garamond" w:hAnsi="Garamond"/>
          <w:sz w:val="24"/>
          <w:szCs w:val="24"/>
        </w:rPr>
        <w:t>Złożenie oświadczenia o anulowaniu tego powiadomienia po wskazanym terminie będzie nieskuteczne wobec OSD.</w:t>
      </w:r>
      <w:r w:rsidR="006316A5">
        <w:rPr>
          <w:rFonts w:ascii="Garamond" w:hAnsi="Garamond"/>
          <w:sz w:val="24"/>
          <w:szCs w:val="24"/>
        </w:rPr>
        <w:t xml:space="preserve"> </w:t>
      </w:r>
      <w:r w:rsidRPr="00AE3F1B">
        <w:rPr>
          <w:rFonts w:ascii="Garamond" w:hAnsi="Garamond"/>
          <w:sz w:val="24"/>
          <w:szCs w:val="24"/>
        </w:rPr>
        <w:t xml:space="preserve">Sprzedawca, informuje URD - w </w:t>
      </w:r>
      <w:r w:rsidR="00AE189C" w:rsidRPr="00AE3F1B">
        <w:rPr>
          <w:rFonts w:ascii="Garamond" w:hAnsi="Garamond"/>
          <w:sz w:val="24"/>
          <w:szCs w:val="24"/>
        </w:rPr>
        <w:t>imieniu,</w:t>
      </w:r>
      <w:r w:rsidRPr="00AE3F1B">
        <w:rPr>
          <w:rFonts w:ascii="Garamond" w:hAnsi="Garamond"/>
          <w:sz w:val="24"/>
          <w:szCs w:val="24"/>
        </w:rPr>
        <w:t xml:space="preserve"> którego złożył oświadczenie o anulowaniu tego powiadomienia i cofnięciu wszystkich oświadczeń złożonych przez niego w imieniu URD w</w:t>
      </w:r>
      <w:r w:rsidR="006316A5">
        <w:rPr>
          <w:rFonts w:ascii="Garamond" w:hAnsi="Garamond"/>
          <w:sz w:val="24"/>
          <w:szCs w:val="24"/>
        </w:rPr>
        <w:t xml:space="preserve"> </w:t>
      </w:r>
      <w:r w:rsidRPr="00AE3F1B">
        <w:rPr>
          <w:rFonts w:ascii="Garamond" w:hAnsi="Garamond"/>
          <w:sz w:val="24"/>
          <w:szCs w:val="24"/>
        </w:rPr>
        <w:t>ramach procesu zmiany sprzedawcy - o anulowaniu powiadomienia, o którym mowa w pkt</w:t>
      </w:r>
      <w:r w:rsidR="00AE189C">
        <w:rPr>
          <w:rFonts w:ascii="Garamond" w:hAnsi="Garamond"/>
          <w:sz w:val="24"/>
          <w:szCs w:val="24"/>
        </w:rPr>
        <w:t xml:space="preserve"> </w:t>
      </w:r>
      <w:r w:rsidRPr="00AE3F1B">
        <w:rPr>
          <w:rFonts w:ascii="Garamond" w:hAnsi="Garamond"/>
          <w:sz w:val="24"/>
          <w:szCs w:val="24"/>
        </w:rPr>
        <w:t>F.2.</w:t>
      </w:r>
      <w:r w:rsidR="00586005">
        <w:rPr>
          <w:rFonts w:ascii="Garamond" w:hAnsi="Garamond"/>
          <w:sz w:val="24"/>
          <w:szCs w:val="24"/>
        </w:rPr>
        <w:t>2.</w:t>
      </w:r>
      <w:r w:rsidRPr="00AE3F1B">
        <w:rPr>
          <w:rFonts w:ascii="Garamond" w:hAnsi="Garamond"/>
          <w:sz w:val="24"/>
          <w:szCs w:val="24"/>
        </w:rPr>
        <w:t xml:space="preserve"> i rozwiązaniu umowy dystrybucyjnej z mocą porozumienia stron.</w:t>
      </w:r>
      <w:r w:rsidR="00207CE6" w:rsidRPr="00AE3F1B">
        <w:rPr>
          <w:rFonts w:ascii="Garamond" w:hAnsi="Garamond"/>
          <w:sz w:val="24"/>
          <w:szCs w:val="24"/>
        </w:rPr>
        <w:br/>
      </w:r>
    </w:p>
    <w:p w14:paraId="290378DE" w14:textId="4FB6E361" w:rsidR="0045224E" w:rsidRPr="00AE3F1B" w:rsidRDefault="0045224E" w:rsidP="00175586">
      <w:pPr>
        <w:spacing w:after="172" w:line="249" w:lineRule="auto"/>
        <w:ind w:left="567" w:right="-3" w:hanging="567"/>
        <w:jc w:val="left"/>
        <w:rPr>
          <w:rFonts w:ascii="Garamond" w:hAnsi="Garamond"/>
          <w:sz w:val="24"/>
          <w:szCs w:val="24"/>
        </w:rPr>
      </w:pPr>
      <w:r w:rsidRPr="00AE3F1B">
        <w:rPr>
          <w:rFonts w:ascii="Garamond" w:hAnsi="Garamond"/>
          <w:sz w:val="24"/>
          <w:szCs w:val="24"/>
        </w:rPr>
        <w:t>F.2.1</w:t>
      </w:r>
      <w:r w:rsidR="00586005">
        <w:rPr>
          <w:rFonts w:ascii="Garamond" w:hAnsi="Garamond"/>
          <w:sz w:val="24"/>
          <w:szCs w:val="24"/>
        </w:rPr>
        <w:t>1</w:t>
      </w:r>
      <w:r w:rsidRPr="00AE3F1B">
        <w:rPr>
          <w:rFonts w:ascii="Garamond" w:hAnsi="Garamond"/>
          <w:sz w:val="24"/>
          <w:szCs w:val="24"/>
        </w:rPr>
        <w:t>. W przypadku anulowania przez sprzedawcę powiadomienia zgodnie z pkt F.2.</w:t>
      </w:r>
      <w:r w:rsidR="00586005">
        <w:rPr>
          <w:rFonts w:ascii="Garamond" w:hAnsi="Garamond"/>
          <w:sz w:val="24"/>
          <w:szCs w:val="24"/>
        </w:rPr>
        <w:t>8</w:t>
      </w:r>
      <w:r w:rsidRPr="00AE3F1B">
        <w:rPr>
          <w:rFonts w:ascii="Garamond" w:hAnsi="Garamond"/>
          <w:sz w:val="24"/>
          <w:szCs w:val="24"/>
        </w:rPr>
        <w:t>.:</w:t>
      </w:r>
    </w:p>
    <w:p w14:paraId="05409659" w14:textId="1153345D" w:rsidR="0045224E" w:rsidRPr="00AE189C" w:rsidRDefault="0045224E">
      <w:pPr>
        <w:pStyle w:val="Akapitzlist"/>
        <w:numPr>
          <w:ilvl w:val="0"/>
          <w:numId w:val="181"/>
        </w:numPr>
        <w:spacing w:after="15" w:line="249" w:lineRule="auto"/>
        <w:ind w:right="-3"/>
        <w:jc w:val="left"/>
        <w:rPr>
          <w:rFonts w:ascii="Garamond" w:hAnsi="Garamond"/>
          <w:sz w:val="24"/>
          <w:szCs w:val="24"/>
        </w:rPr>
      </w:pPr>
      <w:r w:rsidRPr="00AE189C">
        <w:rPr>
          <w:rFonts w:ascii="Garamond" w:hAnsi="Garamond"/>
          <w:sz w:val="24"/>
          <w:szCs w:val="24"/>
        </w:rPr>
        <w:lastRenderedPageBreak/>
        <w:t xml:space="preserve">dla URD będącego odbiorcą w gospodarstwie domowym, który posiada zawartą umowę kompleksową z dotychczasowym sprzedawcą będącym sprzedawcą z urzędu, OSD będzie realizował tę umowę kompleksową. W takim przypadku punktu </w:t>
      </w:r>
      <w:r w:rsidR="000145D2" w:rsidRPr="000145D2">
        <w:rPr>
          <w:rFonts w:ascii="Garamond" w:hAnsi="Garamond"/>
          <w:sz w:val="24"/>
          <w:szCs w:val="24"/>
        </w:rPr>
        <w:t>A.1.11</w:t>
      </w:r>
      <w:r w:rsidRPr="00AE189C">
        <w:rPr>
          <w:rFonts w:ascii="Garamond" w:hAnsi="Garamond"/>
          <w:sz w:val="24"/>
          <w:szCs w:val="24"/>
        </w:rPr>
        <w:t>. nie stosuje się,</w:t>
      </w:r>
    </w:p>
    <w:p w14:paraId="19D48291" w14:textId="29D179D1" w:rsidR="0045224E" w:rsidRPr="00AE189C" w:rsidRDefault="0045224E">
      <w:pPr>
        <w:pStyle w:val="Akapitzlist"/>
        <w:numPr>
          <w:ilvl w:val="0"/>
          <w:numId w:val="181"/>
        </w:numPr>
        <w:spacing w:after="15" w:line="249" w:lineRule="auto"/>
        <w:ind w:right="-3"/>
        <w:jc w:val="left"/>
        <w:rPr>
          <w:rFonts w:ascii="Garamond" w:hAnsi="Garamond"/>
          <w:sz w:val="24"/>
          <w:szCs w:val="24"/>
        </w:rPr>
      </w:pPr>
      <w:r w:rsidRPr="00AE189C">
        <w:rPr>
          <w:rFonts w:ascii="Garamond" w:hAnsi="Garamond"/>
          <w:sz w:val="24"/>
          <w:szCs w:val="24"/>
        </w:rPr>
        <w:t xml:space="preserve">dla URD będącego odbiorcą w gospodarstwie domowym posiadającego zawartą umowę kompleksową z dotychczasowym sprzedawcą innym niż sprzedawca z urzędu, OSD będzie kontynuował dotychczasową umowę kompleksową, a jeżeli sprzedawca poinformował OSD o dacie rozwiązania lub wygaśnięcia umowy kompleksowej zgodnie z punktem </w:t>
      </w:r>
      <w:r w:rsidR="000145D2" w:rsidRPr="000145D2">
        <w:rPr>
          <w:rFonts w:ascii="Garamond" w:hAnsi="Garamond"/>
          <w:sz w:val="24"/>
          <w:szCs w:val="24"/>
        </w:rPr>
        <w:t>A.1.11</w:t>
      </w:r>
      <w:r w:rsidR="000145D2" w:rsidRPr="00AE189C">
        <w:rPr>
          <w:rFonts w:ascii="Garamond" w:hAnsi="Garamond"/>
          <w:sz w:val="24"/>
          <w:szCs w:val="24"/>
        </w:rPr>
        <w:t xml:space="preserve">. </w:t>
      </w:r>
      <w:r w:rsidRPr="00AE189C">
        <w:rPr>
          <w:rFonts w:ascii="Garamond" w:hAnsi="Garamond"/>
          <w:sz w:val="24"/>
          <w:szCs w:val="24"/>
        </w:rPr>
        <w:t>- zawrze, zgodnie z punktem A.2.5. rezerwową umowę kompleksową ze sprzedawcą rezerwowym lub umowę kompleksową ze sprzedawcą z urzędu,</w:t>
      </w:r>
    </w:p>
    <w:p w14:paraId="08A1AAED" w14:textId="5B3DF45D" w:rsidR="0045224E" w:rsidRPr="00AE189C" w:rsidRDefault="0045224E">
      <w:pPr>
        <w:pStyle w:val="Akapitzlist"/>
        <w:numPr>
          <w:ilvl w:val="0"/>
          <w:numId w:val="181"/>
        </w:numPr>
        <w:spacing w:after="15" w:line="249" w:lineRule="auto"/>
        <w:ind w:right="-3"/>
        <w:jc w:val="left"/>
        <w:rPr>
          <w:rFonts w:ascii="Garamond" w:hAnsi="Garamond"/>
          <w:sz w:val="24"/>
          <w:szCs w:val="24"/>
        </w:rPr>
      </w:pPr>
      <w:r w:rsidRPr="00AE189C">
        <w:rPr>
          <w:rFonts w:ascii="Garamond" w:hAnsi="Garamond"/>
          <w:sz w:val="24"/>
          <w:szCs w:val="24"/>
        </w:rPr>
        <w:t xml:space="preserve">dla URD, który posiada zawartą rezerwową umowę kompleksową z dotychczasowym sprzedawcą, OSD będzie kontynuował rezerwową umowę kompleksową, a jeżeli sprzedawca poinformował OSD o dacie rozwiązania lub wygaśnięcia rezerwowej umowy kompleksowej zgodnie z punktem </w:t>
      </w:r>
      <w:r w:rsidR="000145D2" w:rsidRPr="000145D2">
        <w:rPr>
          <w:rFonts w:ascii="Garamond" w:hAnsi="Garamond"/>
          <w:sz w:val="24"/>
          <w:szCs w:val="24"/>
        </w:rPr>
        <w:t>A.1.11</w:t>
      </w:r>
      <w:r w:rsidR="000145D2" w:rsidRPr="00AE189C">
        <w:rPr>
          <w:rFonts w:ascii="Garamond" w:hAnsi="Garamond"/>
          <w:sz w:val="24"/>
          <w:szCs w:val="24"/>
        </w:rPr>
        <w:t>.</w:t>
      </w:r>
      <w:r w:rsidRPr="00AE189C">
        <w:rPr>
          <w:rFonts w:ascii="Garamond" w:hAnsi="Garamond"/>
          <w:sz w:val="24"/>
          <w:szCs w:val="24"/>
        </w:rPr>
        <w:t xml:space="preserve"> - zaprzestaje dostarczania energii elektrycznej,</w:t>
      </w:r>
    </w:p>
    <w:p w14:paraId="3D270D0E" w14:textId="31E9AF9C" w:rsidR="0045224E" w:rsidRPr="00AE189C" w:rsidRDefault="0045224E">
      <w:pPr>
        <w:pStyle w:val="Akapitzlist"/>
        <w:numPr>
          <w:ilvl w:val="0"/>
          <w:numId w:val="181"/>
        </w:numPr>
        <w:spacing w:after="36" w:line="249" w:lineRule="auto"/>
        <w:ind w:right="-3"/>
        <w:jc w:val="left"/>
        <w:rPr>
          <w:rFonts w:ascii="Garamond" w:hAnsi="Garamond"/>
          <w:sz w:val="24"/>
          <w:szCs w:val="24"/>
        </w:rPr>
      </w:pPr>
      <w:r w:rsidRPr="00AE189C">
        <w:rPr>
          <w:rFonts w:ascii="Garamond" w:hAnsi="Garamond"/>
          <w:sz w:val="24"/>
          <w:szCs w:val="24"/>
        </w:rPr>
        <w:t xml:space="preserve">dla URD nie będącego odbiorcą w gospodarstwie domowym, który posiada zawartą umowę kompleksową z dotychczasowym sprzedawcą, OSD będzie kontynuował dotychczasową umowę kompleksową, a jeżeli sprzedawca poinformował OSD o dacie rozwiązania lub wygaśnięcia umowy kompleksowej zgodnie z punktem </w:t>
      </w:r>
      <w:r w:rsidR="000145D2" w:rsidRPr="000145D2">
        <w:rPr>
          <w:rFonts w:ascii="Garamond" w:hAnsi="Garamond"/>
          <w:sz w:val="24"/>
          <w:szCs w:val="24"/>
        </w:rPr>
        <w:t>A.1.11</w:t>
      </w:r>
      <w:r w:rsidR="000145D2" w:rsidRPr="00AE189C">
        <w:rPr>
          <w:rFonts w:ascii="Garamond" w:hAnsi="Garamond"/>
          <w:sz w:val="24"/>
          <w:szCs w:val="24"/>
        </w:rPr>
        <w:t>.</w:t>
      </w:r>
      <w:r w:rsidRPr="00AE189C">
        <w:rPr>
          <w:rFonts w:ascii="Garamond" w:hAnsi="Garamond"/>
          <w:sz w:val="24"/>
          <w:szCs w:val="24"/>
        </w:rPr>
        <w:t xml:space="preserve"> - zawrze zgodnie z punktem A.2.5. rezerwową umowę kompleksową ze sprzedawcą rezerwowym lub umowę kompleksową ze sprzedawcą z urzędu,</w:t>
      </w:r>
    </w:p>
    <w:p w14:paraId="1E2CAC74" w14:textId="1C3C162E" w:rsidR="0045224E" w:rsidRPr="00AE189C" w:rsidRDefault="0045224E">
      <w:pPr>
        <w:pStyle w:val="Akapitzlist"/>
        <w:numPr>
          <w:ilvl w:val="0"/>
          <w:numId w:val="181"/>
        </w:numPr>
        <w:spacing w:after="15" w:line="249" w:lineRule="auto"/>
        <w:ind w:right="-3"/>
        <w:jc w:val="left"/>
        <w:rPr>
          <w:rFonts w:ascii="Garamond" w:hAnsi="Garamond"/>
          <w:sz w:val="24"/>
          <w:szCs w:val="24"/>
        </w:rPr>
      </w:pPr>
      <w:r w:rsidRPr="00AE189C">
        <w:rPr>
          <w:rFonts w:ascii="Garamond" w:hAnsi="Garamond"/>
          <w:sz w:val="24"/>
          <w:szCs w:val="24"/>
        </w:rPr>
        <w:t xml:space="preserve">dla URD posiadającego zawartą umowę sprzedaży z dotychczasowym sprzedawcą, OSD będzie kontynuował dotychczasową umowę sprzedaży, a jeżeli sprzedawca poinformował </w:t>
      </w:r>
      <w:r w:rsidR="00207CE6" w:rsidRPr="00AE189C">
        <w:rPr>
          <w:rFonts w:ascii="Garamond" w:hAnsi="Garamond"/>
          <w:sz w:val="24"/>
          <w:szCs w:val="24"/>
        </w:rPr>
        <w:br/>
      </w:r>
      <w:r w:rsidRPr="00AE189C">
        <w:rPr>
          <w:rFonts w:ascii="Garamond" w:hAnsi="Garamond"/>
          <w:sz w:val="24"/>
          <w:szCs w:val="24"/>
        </w:rPr>
        <w:t xml:space="preserve">o rozwiązaniu lub wygaśnięciu umowy sprzedaży zgodnie z punktem </w:t>
      </w:r>
      <w:r w:rsidR="000145D2" w:rsidRPr="000145D2">
        <w:rPr>
          <w:rFonts w:ascii="Garamond" w:hAnsi="Garamond"/>
          <w:sz w:val="24"/>
          <w:szCs w:val="24"/>
        </w:rPr>
        <w:t>A.1.11</w:t>
      </w:r>
      <w:r w:rsidR="000145D2" w:rsidRPr="00AE189C">
        <w:rPr>
          <w:rFonts w:ascii="Garamond" w:hAnsi="Garamond"/>
          <w:sz w:val="24"/>
          <w:szCs w:val="24"/>
        </w:rPr>
        <w:t>.</w:t>
      </w:r>
    </w:p>
    <w:p w14:paraId="32E093DE" w14:textId="6E7E1CE3" w:rsidR="0045224E" w:rsidRPr="00AE189C" w:rsidRDefault="0045224E">
      <w:pPr>
        <w:pStyle w:val="Akapitzlist"/>
        <w:numPr>
          <w:ilvl w:val="0"/>
          <w:numId w:val="182"/>
        </w:numPr>
        <w:spacing w:after="15" w:line="249" w:lineRule="auto"/>
        <w:ind w:right="-3"/>
        <w:jc w:val="left"/>
        <w:rPr>
          <w:rFonts w:ascii="Garamond" w:hAnsi="Garamond"/>
          <w:sz w:val="24"/>
          <w:szCs w:val="24"/>
        </w:rPr>
      </w:pPr>
      <w:r w:rsidRPr="00AE189C">
        <w:rPr>
          <w:rFonts w:ascii="Garamond" w:hAnsi="Garamond"/>
          <w:sz w:val="24"/>
          <w:szCs w:val="24"/>
        </w:rPr>
        <w:t>zawrze zgodnie z punktem A.2.6. umowę sprzedaży rezerwowej ze sprzedawcą rezerwowym lub umowę kompleksową ze sprzedawcą z urzędu,</w:t>
      </w:r>
    </w:p>
    <w:p w14:paraId="1D1F342F" w14:textId="46AAC2FF" w:rsidR="00AE189C" w:rsidRDefault="0045224E">
      <w:pPr>
        <w:pStyle w:val="Akapitzlist"/>
        <w:numPr>
          <w:ilvl w:val="0"/>
          <w:numId w:val="181"/>
        </w:numPr>
        <w:spacing w:line="249" w:lineRule="auto"/>
        <w:ind w:right="-3"/>
        <w:jc w:val="left"/>
        <w:rPr>
          <w:rFonts w:ascii="Garamond" w:hAnsi="Garamond"/>
          <w:sz w:val="24"/>
          <w:szCs w:val="24"/>
        </w:rPr>
      </w:pPr>
      <w:r w:rsidRPr="00AE189C">
        <w:rPr>
          <w:rFonts w:ascii="Garamond" w:hAnsi="Garamond"/>
          <w:sz w:val="24"/>
          <w:szCs w:val="24"/>
        </w:rPr>
        <w:t xml:space="preserve">dla URD posiadającego zawartą umowę sprzedaży rezerwowej z dotychczasowym sprzedawcą, OSD będzie kontynuował umowę sprzedaży rezerwowej, a jeżeli sprzedawca poinformował o rozwiązaniu lub wygaśnięciu umowy sprzedaży rezerwowej zgodnie </w:t>
      </w:r>
      <w:r w:rsidR="00207CE6" w:rsidRPr="00AE189C">
        <w:rPr>
          <w:rFonts w:ascii="Garamond" w:hAnsi="Garamond"/>
          <w:sz w:val="24"/>
          <w:szCs w:val="24"/>
        </w:rPr>
        <w:br/>
      </w:r>
      <w:r w:rsidRPr="00AE189C">
        <w:rPr>
          <w:rFonts w:ascii="Garamond" w:hAnsi="Garamond"/>
          <w:sz w:val="24"/>
          <w:szCs w:val="24"/>
        </w:rPr>
        <w:t xml:space="preserve">z punktem </w:t>
      </w:r>
      <w:r w:rsidR="000145D2" w:rsidRPr="000145D2">
        <w:rPr>
          <w:rFonts w:ascii="Garamond" w:hAnsi="Garamond"/>
          <w:sz w:val="24"/>
          <w:szCs w:val="24"/>
        </w:rPr>
        <w:t>A.1.11</w:t>
      </w:r>
      <w:r w:rsidR="000145D2" w:rsidRPr="00AE189C">
        <w:rPr>
          <w:rFonts w:ascii="Garamond" w:hAnsi="Garamond"/>
          <w:sz w:val="24"/>
          <w:szCs w:val="24"/>
        </w:rPr>
        <w:t>.</w:t>
      </w:r>
      <w:r w:rsidRPr="00AE189C">
        <w:rPr>
          <w:rFonts w:ascii="Garamond" w:hAnsi="Garamond"/>
          <w:sz w:val="24"/>
          <w:szCs w:val="24"/>
        </w:rPr>
        <w:t xml:space="preserve"> - zaprzestaje dostarczania energii elektrycznej.</w:t>
      </w:r>
    </w:p>
    <w:p w14:paraId="4344E73B" w14:textId="77777777" w:rsidR="00A22619" w:rsidRPr="00A22619" w:rsidRDefault="00A22619" w:rsidP="00A22619">
      <w:pPr>
        <w:pStyle w:val="Akapitzlist"/>
        <w:spacing w:line="249" w:lineRule="auto"/>
        <w:ind w:right="-3"/>
        <w:jc w:val="left"/>
        <w:rPr>
          <w:rFonts w:ascii="Garamond" w:hAnsi="Garamond"/>
          <w:sz w:val="24"/>
          <w:szCs w:val="24"/>
        </w:rPr>
      </w:pPr>
    </w:p>
    <w:p w14:paraId="3ACAF0A6" w14:textId="228BDAA8" w:rsidR="0045224E" w:rsidRPr="00AE3F1B" w:rsidRDefault="00AE189C" w:rsidP="00AE189C">
      <w:pPr>
        <w:spacing w:line="248" w:lineRule="auto"/>
        <w:ind w:left="567" w:right="-3" w:hanging="567"/>
        <w:jc w:val="left"/>
        <w:rPr>
          <w:rFonts w:ascii="Garamond" w:hAnsi="Garamond"/>
          <w:sz w:val="24"/>
          <w:szCs w:val="24"/>
        </w:rPr>
      </w:pPr>
      <w:r w:rsidRPr="00AE3F1B">
        <w:rPr>
          <w:rFonts w:ascii="Garamond" w:hAnsi="Garamond"/>
          <w:noProof/>
          <w:sz w:val="24"/>
          <w:szCs w:val="24"/>
        </w:rPr>
        <w:t>F.3. Zasady</w:t>
      </w:r>
      <w:r w:rsidR="0045224E" w:rsidRPr="00AE3F1B">
        <w:rPr>
          <w:rFonts w:ascii="Garamond" w:hAnsi="Garamond"/>
          <w:sz w:val="24"/>
          <w:szCs w:val="24"/>
        </w:rPr>
        <w:t xml:space="preserve"> udzielania informacji</w:t>
      </w:r>
    </w:p>
    <w:p w14:paraId="167EE9D9" w14:textId="78E8039C" w:rsidR="0045224E" w:rsidRPr="00AE3F1B" w:rsidRDefault="0045224E">
      <w:pPr>
        <w:numPr>
          <w:ilvl w:val="2"/>
          <w:numId w:val="52"/>
        </w:numPr>
        <w:spacing w:line="249" w:lineRule="auto"/>
        <w:ind w:left="567" w:right="-3" w:hanging="567"/>
        <w:jc w:val="left"/>
        <w:rPr>
          <w:rFonts w:ascii="Garamond" w:hAnsi="Garamond"/>
          <w:sz w:val="24"/>
          <w:szCs w:val="24"/>
        </w:rPr>
      </w:pPr>
      <w:r w:rsidRPr="00AE3F1B">
        <w:rPr>
          <w:rFonts w:ascii="Garamond" w:hAnsi="Garamond"/>
          <w:sz w:val="24"/>
          <w:szCs w:val="24"/>
        </w:rPr>
        <w:t>Udzielanie informacji na temat zmiany sprzedawcy odbywa się na zasadach ogólnych opisanych w</w:t>
      </w:r>
      <w:r w:rsidR="005B3AD1">
        <w:rPr>
          <w:rFonts w:ascii="Garamond" w:hAnsi="Garamond"/>
          <w:sz w:val="24"/>
          <w:szCs w:val="24"/>
        </w:rPr>
        <w:t xml:space="preserve"> </w:t>
      </w:r>
      <w:r w:rsidR="005B3AD1" w:rsidRPr="005B3AD1">
        <w:rPr>
          <w:rFonts w:ascii="Garamond" w:hAnsi="Garamond"/>
          <w:sz w:val="24"/>
          <w:szCs w:val="24"/>
        </w:rPr>
        <w:t>IRiESD</w:t>
      </w:r>
      <w:r w:rsidRPr="00AE3F1B">
        <w:rPr>
          <w:rFonts w:ascii="Garamond" w:hAnsi="Garamond"/>
          <w:sz w:val="24"/>
          <w:szCs w:val="24"/>
        </w:rPr>
        <w:t>-Korzystanie w części dotyczącej standardów jakościowych obsługi odbiorców.</w:t>
      </w:r>
    </w:p>
    <w:p w14:paraId="1DDDDFA2" w14:textId="77777777" w:rsidR="0045224E" w:rsidRPr="00AE3F1B" w:rsidRDefault="0045224E">
      <w:pPr>
        <w:numPr>
          <w:ilvl w:val="2"/>
          <w:numId w:val="52"/>
        </w:numPr>
        <w:spacing w:after="97" w:line="249" w:lineRule="auto"/>
        <w:ind w:left="567" w:right="-3" w:hanging="567"/>
        <w:jc w:val="left"/>
        <w:rPr>
          <w:rFonts w:ascii="Garamond" w:hAnsi="Garamond"/>
          <w:sz w:val="24"/>
          <w:szCs w:val="24"/>
        </w:rPr>
      </w:pPr>
      <w:r w:rsidRPr="00AE3F1B">
        <w:rPr>
          <w:rFonts w:ascii="Garamond" w:hAnsi="Garamond"/>
          <w:sz w:val="24"/>
          <w:szCs w:val="24"/>
        </w:rPr>
        <w:t>OSD informuje odbiorców o warunkach zmiany sprzedawcy, a w szczególności o:</w:t>
      </w:r>
    </w:p>
    <w:p w14:paraId="63D90D5C" w14:textId="77777777" w:rsidR="0045224E" w:rsidRPr="00A22619" w:rsidRDefault="0045224E">
      <w:pPr>
        <w:pStyle w:val="Akapitzlist"/>
        <w:numPr>
          <w:ilvl w:val="0"/>
          <w:numId w:val="183"/>
        </w:numPr>
        <w:spacing w:after="15" w:line="249" w:lineRule="auto"/>
        <w:ind w:right="-3"/>
        <w:jc w:val="left"/>
        <w:rPr>
          <w:rFonts w:ascii="Garamond" w:hAnsi="Garamond"/>
          <w:sz w:val="24"/>
          <w:szCs w:val="24"/>
        </w:rPr>
      </w:pPr>
      <w:r w:rsidRPr="00A22619">
        <w:rPr>
          <w:rFonts w:ascii="Garamond" w:hAnsi="Garamond"/>
          <w:sz w:val="24"/>
          <w:szCs w:val="24"/>
        </w:rPr>
        <w:t>uwarunkowaniach formalno-prawnych,</w:t>
      </w:r>
    </w:p>
    <w:p w14:paraId="18E27584" w14:textId="77777777" w:rsidR="0045224E" w:rsidRPr="00A22619" w:rsidRDefault="0045224E">
      <w:pPr>
        <w:pStyle w:val="Akapitzlist"/>
        <w:numPr>
          <w:ilvl w:val="0"/>
          <w:numId w:val="183"/>
        </w:numPr>
        <w:spacing w:after="15" w:line="249" w:lineRule="auto"/>
        <w:ind w:right="-3"/>
        <w:jc w:val="left"/>
        <w:rPr>
          <w:rFonts w:ascii="Garamond" w:hAnsi="Garamond"/>
          <w:sz w:val="24"/>
          <w:szCs w:val="24"/>
        </w:rPr>
      </w:pPr>
      <w:r w:rsidRPr="00A22619">
        <w:rPr>
          <w:rFonts w:ascii="Garamond" w:hAnsi="Garamond"/>
          <w:sz w:val="24"/>
          <w:szCs w:val="24"/>
        </w:rPr>
        <w:t>ogólnych zasadach funkcjonowania rynku bilansującego,</w:t>
      </w:r>
    </w:p>
    <w:p w14:paraId="42C2FC6E" w14:textId="77777777" w:rsidR="0045224E" w:rsidRPr="00A22619" w:rsidRDefault="0045224E">
      <w:pPr>
        <w:pStyle w:val="Akapitzlist"/>
        <w:numPr>
          <w:ilvl w:val="0"/>
          <w:numId w:val="183"/>
        </w:numPr>
        <w:spacing w:after="15" w:line="249" w:lineRule="auto"/>
        <w:ind w:right="-3"/>
        <w:jc w:val="left"/>
        <w:rPr>
          <w:rFonts w:ascii="Garamond" w:hAnsi="Garamond"/>
          <w:sz w:val="24"/>
          <w:szCs w:val="24"/>
        </w:rPr>
      </w:pPr>
      <w:r w:rsidRPr="00A22619">
        <w:rPr>
          <w:rFonts w:ascii="Garamond" w:hAnsi="Garamond"/>
          <w:sz w:val="24"/>
          <w:szCs w:val="24"/>
        </w:rPr>
        <w:t>procedurach zmiany sprzedawcy,</w:t>
      </w:r>
    </w:p>
    <w:p w14:paraId="4D5AD9A2" w14:textId="77777777" w:rsidR="0045224E" w:rsidRPr="00A22619" w:rsidRDefault="0045224E">
      <w:pPr>
        <w:pStyle w:val="Akapitzlist"/>
        <w:numPr>
          <w:ilvl w:val="0"/>
          <w:numId w:val="183"/>
        </w:numPr>
        <w:spacing w:after="15" w:line="249" w:lineRule="auto"/>
        <w:ind w:right="-3"/>
        <w:jc w:val="left"/>
        <w:rPr>
          <w:rFonts w:ascii="Garamond" w:hAnsi="Garamond"/>
          <w:sz w:val="24"/>
          <w:szCs w:val="24"/>
        </w:rPr>
      </w:pPr>
      <w:r w:rsidRPr="00A22619">
        <w:rPr>
          <w:rFonts w:ascii="Garamond" w:hAnsi="Garamond"/>
          <w:sz w:val="24"/>
          <w:szCs w:val="24"/>
        </w:rPr>
        <w:t>wymaganych umowach,</w:t>
      </w:r>
    </w:p>
    <w:p w14:paraId="315BF53E" w14:textId="77777777" w:rsidR="0045224E" w:rsidRPr="00A22619" w:rsidRDefault="0045224E">
      <w:pPr>
        <w:pStyle w:val="Akapitzlist"/>
        <w:numPr>
          <w:ilvl w:val="0"/>
          <w:numId w:val="183"/>
        </w:numPr>
        <w:spacing w:after="15" w:line="249" w:lineRule="auto"/>
        <w:ind w:right="-3"/>
        <w:jc w:val="left"/>
        <w:rPr>
          <w:rFonts w:ascii="Garamond" w:hAnsi="Garamond"/>
          <w:sz w:val="24"/>
          <w:szCs w:val="24"/>
        </w:rPr>
      </w:pPr>
      <w:r w:rsidRPr="00A22619">
        <w:rPr>
          <w:rFonts w:ascii="Garamond" w:hAnsi="Garamond"/>
          <w:sz w:val="24"/>
          <w:szCs w:val="24"/>
        </w:rPr>
        <w:t>prawach i obowiązkach podmiotów korzystających z prawa wyboru sprzedawcy,</w:t>
      </w:r>
    </w:p>
    <w:p w14:paraId="2FDC19C0" w14:textId="74B34DF6" w:rsidR="0045224E" w:rsidRPr="00A22619" w:rsidRDefault="0045224E">
      <w:pPr>
        <w:pStyle w:val="Akapitzlist"/>
        <w:numPr>
          <w:ilvl w:val="0"/>
          <w:numId w:val="183"/>
        </w:numPr>
        <w:spacing w:after="37" w:line="249" w:lineRule="auto"/>
        <w:ind w:right="-3"/>
        <w:jc w:val="left"/>
        <w:rPr>
          <w:rFonts w:ascii="Garamond" w:hAnsi="Garamond"/>
          <w:sz w:val="24"/>
          <w:szCs w:val="24"/>
        </w:rPr>
      </w:pPr>
      <w:r w:rsidRPr="00A22619">
        <w:rPr>
          <w:rFonts w:ascii="Garamond" w:hAnsi="Garamond"/>
          <w:sz w:val="24"/>
          <w:szCs w:val="24"/>
        </w:rPr>
        <w:t>procedurach powiadamiania o zawartych umowach sprzedaży energii elektrycznej oraz weryfikacji</w:t>
      </w:r>
      <w:r w:rsidR="00A22619" w:rsidRPr="00A22619">
        <w:rPr>
          <w:rFonts w:ascii="Garamond" w:hAnsi="Garamond"/>
          <w:sz w:val="24"/>
          <w:szCs w:val="24"/>
        </w:rPr>
        <w:t xml:space="preserve"> </w:t>
      </w:r>
      <w:r w:rsidRPr="00A22619">
        <w:rPr>
          <w:rFonts w:ascii="Garamond" w:hAnsi="Garamond"/>
          <w:sz w:val="24"/>
          <w:szCs w:val="24"/>
        </w:rPr>
        <w:t>powiadomień,</w:t>
      </w:r>
    </w:p>
    <w:p w14:paraId="29D4A681" w14:textId="4F1B4A68" w:rsidR="0045224E" w:rsidRPr="00A22619" w:rsidRDefault="0045224E">
      <w:pPr>
        <w:pStyle w:val="Akapitzlist"/>
        <w:numPr>
          <w:ilvl w:val="0"/>
          <w:numId w:val="183"/>
        </w:numPr>
        <w:spacing w:after="15" w:line="249" w:lineRule="auto"/>
        <w:ind w:right="-3"/>
        <w:jc w:val="left"/>
        <w:rPr>
          <w:rFonts w:ascii="Garamond" w:hAnsi="Garamond"/>
          <w:sz w:val="24"/>
          <w:szCs w:val="24"/>
        </w:rPr>
      </w:pPr>
      <w:r w:rsidRPr="00A22619">
        <w:rPr>
          <w:rFonts w:ascii="Garamond" w:hAnsi="Garamond"/>
          <w:sz w:val="24"/>
          <w:szCs w:val="24"/>
        </w:rPr>
        <w:t>zasadach ustanawiania i zmiany podmiotów odpowiedzialnych za bilansowanie handlowe,</w:t>
      </w:r>
    </w:p>
    <w:p w14:paraId="5E046ED7" w14:textId="77777777" w:rsidR="0045224E" w:rsidRPr="00A22619" w:rsidRDefault="0045224E">
      <w:pPr>
        <w:pStyle w:val="Akapitzlist"/>
        <w:numPr>
          <w:ilvl w:val="0"/>
          <w:numId w:val="183"/>
        </w:numPr>
        <w:spacing w:after="115" w:line="249" w:lineRule="auto"/>
        <w:ind w:right="-3"/>
        <w:jc w:val="left"/>
        <w:rPr>
          <w:rFonts w:ascii="Garamond" w:hAnsi="Garamond"/>
          <w:sz w:val="24"/>
          <w:szCs w:val="24"/>
        </w:rPr>
      </w:pPr>
      <w:r w:rsidRPr="00A22619">
        <w:rPr>
          <w:rFonts w:ascii="Garamond" w:hAnsi="Garamond"/>
          <w:sz w:val="24"/>
          <w:szCs w:val="24"/>
        </w:rPr>
        <w:t>warunkach świadczenia usług dystrybucyjnych.</w:t>
      </w:r>
    </w:p>
    <w:p w14:paraId="6B1D0EFC" w14:textId="6E7F8EE3" w:rsidR="0045224E" w:rsidRPr="00AE3F1B" w:rsidRDefault="0045224E" w:rsidP="00A22619">
      <w:pPr>
        <w:spacing w:after="204" w:line="257" w:lineRule="auto"/>
        <w:ind w:left="360" w:right="-3"/>
        <w:jc w:val="left"/>
        <w:rPr>
          <w:rFonts w:ascii="Garamond" w:hAnsi="Garamond"/>
          <w:sz w:val="24"/>
          <w:szCs w:val="24"/>
        </w:rPr>
      </w:pPr>
      <w:r w:rsidRPr="00AE3F1B">
        <w:rPr>
          <w:rFonts w:ascii="Garamond" w:hAnsi="Garamond"/>
          <w:sz w:val="24"/>
          <w:szCs w:val="24"/>
        </w:rPr>
        <w:t>Adresy pocztowe, adresy email oraz numery telefoniczne niezbędne do kontaktu z OSD</w:t>
      </w:r>
      <w:r w:rsidR="00207CE6" w:rsidRPr="00AE3F1B">
        <w:rPr>
          <w:rFonts w:ascii="Garamond" w:hAnsi="Garamond"/>
          <w:sz w:val="24"/>
          <w:szCs w:val="24"/>
        </w:rPr>
        <w:t>n</w:t>
      </w:r>
      <w:r w:rsidR="00A22619">
        <w:rPr>
          <w:rFonts w:ascii="Garamond" w:hAnsi="Garamond"/>
          <w:sz w:val="24"/>
          <w:szCs w:val="24"/>
        </w:rPr>
        <w:t xml:space="preserve"> </w:t>
      </w:r>
      <w:r w:rsidRPr="00AE3F1B">
        <w:rPr>
          <w:rFonts w:ascii="Garamond" w:hAnsi="Garamond"/>
          <w:sz w:val="24"/>
          <w:szCs w:val="24"/>
        </w:rPr>
        <w:t>zamieszczone są na jego stronie internetowej OSD</w:t>
      </w:r>
      <w:r w:rsidR="00207CE6" w:rsidRPr="00AE3F1B">
        <w:rPr>
          <w:rFonts w:ascii="Garamond" w:hAnsi="Garamond"/>
          <w:sz w:val="24"/>
          <w:szCs w:val="24"/>
        </w:rPr>
        <w:t>n</w:t>
      </w:r>
      <w:r w:rsidRPr="00AE3F1B">
        <w:rPr>
          <w:rFonts w:ascii="Garamond" w:hAnsi="Garamond"/>
          <w:sz w:val="24"/>
          <w:szCs w:val="24"/>
        </w:rPr>
        <w:t>.</w:t>
      </w:r>
      <w:r w:rsidR="00A22619">
        <w:rPr>
          <w:rFonts w:ascii="Garamond" w:hAnsi="Garamond"/>
          <w:sz w:val="24"/>
          <w:szCs w:val="24"/>
        </w:rPr>
        <w:t xml:space="preserve"> </w:t>
      </w:r>
    </w:p>
    <w:p w14:paraId="54D4D46E" w14:textId="2A486E30" w:rsidR="0045224E" w:rsidRPr="00AE3F1B" w:rsidRDefault="0045224E" w:rsidP="00A22619">
      <w:pPr>
        <w:spacing w:line="249" w:lineRule="auto"/>
        <w:ind w:left="567" w:right="-3" w:hanging="567"/>
        <w:jc w:val="left"/>
        <w:rPr>
          <w:rFonts w:ascii="Garamond" w:hAnsi="Garamond"/>
          <w:sz w:val="24"/>
          <w:szCs w:val="24"/>
        </w:rPr>
      </w:pPr>
      <w:r w:rsidRPr="00AE3F1B">
        <w:rPr>
          <w:rFonts w:ascii="Garamond" w:hAnsi="Garamond"/>
          <w:sz w:val="24"/>
          <w:szCs w:val="24"/>
        </w:rPr>
        <w:lastRenderedPageBreak/>
        <w:t>F.3.3.</w:t>
      </w:r>
      <w:r w:rsidR="00A22619">
        <w:rPr>
          <w:rFonts w:ascii="Garamond" w:hAnsi="Garamond"/>
          <w:sz w:val="24"/>
          <w:szCs w:val="24"/>
        </w:rPr>
        <w:tab/>
      </w:r>
      <w:r w:rsidRPr="00AE3F1B">
        <w:rPr>
          <w:rFonts w:ascii="Garamond" w:hAnsi="Garamond"/>
          <w:sz w:val="24"/>
          <w:szCs w:val="24"/>
        </w:rPr>
        <w:t>Odpowiedzi na zapytanie złożone pisemnie w formie listownej lub elektronicznej przez odbiorcę ID Sp. z o.o. udziela w terminie do 14 dni od daty wpłynięcia zapytania do ID Sp. z o.o.</w:t>
      </w:r>
    </w:p>
    <w:p w14:paraId="5C13EAFC" w14:textId="44D3FAD4" w:rsidR="00A22619" w:rsidRDefault="00207CE6" w:rsidP="00A22619">
      <w:pPr>
        <w:spacing w:after="299" w:line="249" w:lineRule="auto"/>
        <w:ind w:left="567" w:right="-3" w:hanging="567"/>
        <w:jc w:val="left"/>
        <w:rPr>
          <w:rFonts w:ascii="Garamond" w:hAnsi="Garamond"/>
          <w:sz w:val="24"/>
          <w:szCs w:val="24"/>
        </w:rPr>
      </w:pPr>
      <w:r w:rsidRPr="00AE3F1B">
        <w:rPr>
          <w:rFonts w:ascii="Garamond" w:hAnsi="Garamond"/>
          <w:sz w:val="24"/>
          <w:szCs w:val="24"/>
        </w:rPr>
        <w:t>F.3.4.</w:t>
      </w:r>
      <w:r w:rsidR="00A22619">
        <w:rPr>
          <w:rFonts w:ascii="Garamond" w:hAnsi="Garamond"/>
          <w:sz w:val="24"/>
          <w:szCs w:val="24"/>
        </w:rPr>
        <w:tab/>
      </w:r>
      <w:r w:rsidR="0045224E" w:rsidRPr="00AE3F1B">
        <w:rPr>
          <w:rFonts w:ascii="Garamond" w:hAnsi="Garamond"/>
          <w:sz w:val="24"/>
          <w:szCs w:val="24"/>
        </w:rPr>
        <w:t xml:space="preserve">Lista sprzedawców mających zawarte </w:t>
      </w:r>
      <w:r w:rsidRPr="00AE3F1B">
        <w:rPr>
          <w:rFonts w:ascii="Garamond" w:hAnsi="Garamond"/>
          <w:sz w:val="24"/>
          <w:szCs w:val="24"/>
        </w:rPr>
        <w:t>umowy GUD</w:t>
      </w:r>
      <w:r w:rsidR="0045224E" w:rsidRPr="00AE3F1B">
        <w:rPr>
          <w:rFonts w:ascii="Garamond" w:hAnsi="Garamond"/>
          <w:sz w:val="24"/>
          <w:szCs w:val="24"/>
        </w:rPr>
        <w:t xml:space="preserve"> z ID Sp. z o.o. jest publikowana na stronie internetowej ID Sp. z o.o.</w:t>
      </w:r>
    </w:p>
    <w:p w14:paraId="366EE663" w14:textId="3CA9454A" w:rsidR="002A126E" w:rsidRPr="00A22619" w:rsidRDefault="00A22619" w:rsidP="00A22619">
      <w:pPr>
        <w:spacing w:line="249" w:lineRule="auto"/>
        <w:ind w:left="567" w:right="-3" w:hanging="567"/>
        <w:jc w:val="left"/>
        <w:rPr>
          <w:rFonts w:ascii="Garamond" w:hAnsi="Garamond"/>
          <w:sz w:val="24"/>
          <w:szCs w:val="24"/>
        </w:rPr>
      </w:pPr>
      <w:r>
        <w:rPr>
          <w:rFonts w:ascii="Garamond" w:hAnsi="Garamond"/>
          <w:sz w:val="24"/>
          <w:szCs w:val="24"/>
        </w:rPr>
        <w:t xml:space="preserve">G. </w:t>
      </w:r>
      <w:r>
        <w:rPr>
          <w:rFonts w:ascii="Garamond" w:hAnsi="Garamond"/>
          <w:sz w:val="24"/>
          <w:szCs w:val="24"/>
        </w:rPr>
        <w:tab/>
      </w:r>
      <w:r w:rsidR="009C0FFC" w:rsidRPr="00A22619">
        <w:rPr>
          <w:rFonts w:asciiTheme="majorHAnsi" w:hAnsiTheme="majorHAnsi"/>
          <w:b/>
          <w:bCs/>
          <w:sz w:val="24"/>
          <w:szCs w:val="24"/>
        </w:rPr>
        <w:t>Zasady wyznaczania, przydzielania i weryfikacji standardowych profili zużycia</w:t>
      </w:r>
    </w:p>
    <w:p w14:paraId="57893DF4" w14:textId="17264893" w:rsidR="002A126E" w:rsidRPr="00AE3F1B" w:rsidRDefault="002A126E" w:rsidP="00A22619">
      <w:pPr>
        <w:spacing w:line="249" w:lineRule="auto"/>
        <w:ind w:left="567" w:right="-3" w:hanging="567"/>
        <w:jc w:val="left"/>
        <w:rPr>
          <w:rFonts w:ascii="Garamond" w:hAnsi="Garamond"/>
          <w:sz w:val="24"/>
          <w:szCs w:val="24"/>
        </w:rPr>
      </w:pPr>
      <w:r w:rsidRPr="00AE3F1B">
        <w:rPr>
          <w:rFonts w:ascii="Garamond" w:hAnsi="Garamond"/>
          <w:sz w:val="24"/>
          <w:szCs w:val="24"/>
        </w:rPr>
        <w:t>G.</w:t>
      </w:r>
      <w:r w:rsidR="007606DB">
        <w:rPr>
          <w:rFonts w:ascii="Garamond" w:hAnsi="Garamond"/>
          <w:sz w:val="24"/>
          <w:szCs w:val="24"/>
        </w:rPr>
        <w:t>1</w:t>
      </w:r>
      <w:r w:rsidRPr="00AE3F1B">
        <w:rPr>
          <w:rFonts w:ascii="Garamond" w:hAnsi="Garamond"/>
          <w:sz w:val="24"/>
          <w:szCs w:val="24"/>
        </w:rPr>
        <w:t xml:space="preserve">.   ID Sp. z o.o. określa standardowe profile zużycia (profile) na podstawie pomierzonych zmienności obciążeń dobowych odbiorców przyłączonych bezpośrednio do sieci dystrybucyjnej nN o napięciu znamionowym nie wyższym niż 1kV oraz mocy umownej nie większej niż 40 </w:t>
      </w:r>
      <w:proofErr w:type="spellStart"/>
      <w:r w:rsidRPr="00AE3F1B">
        <w:rPr>
          <w:rFonts w:ascii="Garamond" w:hAnsi="Garamond"/>
          <w:sz w:val="24"/>
          <w:szCs w:val="24"/>
        </w:rPr>
        <w:t>kW.</w:t>
      </w:r>
      <w:proofErr w:type="spellEnd"/>
    </w:p>
    <w:p w14:paraId="471A9940" w14:textId="794938C3" w:rsidR="002A126E" w:rsidRPr="00AE3F1B" w:rsidRDefault="002A126E" w:rsidP="00A22619">
      <w:pPr>
        <w:spacing w:line="249" w:lineRule="auto"/>
        <w:ind w:left="567" w:right="-3" w:hanging="567"/>
        <w:jc w:val="left"/>
        <w:rPr>
          <w:rFonts w:ascii="Garamond" w:hAnsi="Garamond"/>
          <w:sz w:val="24"/>
          <w:szCs w:val="24"/>
        </w:rPr>
      </w:pPr>
      <w:r w:rsidRPr="00AE3F1B">
        <w:rPr>
          <w:rFonts w:ascii="Garamond" w:hAnsi="Garamond"/>
          <w:sz w:val="24"/>
          <w:szCs w:val="24"/>
        </w:rPr>
        <w:t xml:space="preserve">G.2. </w:t>
      </w:r>
      <w:r w:rsidR="00A22619">
        <w:rPr>
          <w:rFonts w:ascii="Garamond" w:hAnsi="Garamond"/>
          <w:sz w:val="24"/>
          <w:szCs w:val="24"/>
        </w:rPr>
        <w:tab/>
      </w:r>
      <w:r w:rsidRPr="00AE3F1B">
        <w:rPr>
          <w:rFonts w:ascii="Garamond" w:hAnsi="Garamond"/>
          <w:sz w:val="24"/>
          <w:szCs w:val="24"/>
        </w:rPr>
        <w:t>Dla odbiorców, którzy chcą skorzystać z prawa wyboru sprzedawcy, o których mowa w pkt G.1., ID Sp. z o.o. na podstawie:</w:t>
      </w:r>
    </w:p>
    <w:p w14:paraId="6275FD65" w14:textId="77777777" w:rsidR="002A126E" w:rsidRPr="00A22619" w:rsidRDefault="002A126E">
      <w:pPr>
        <w:pStyle w:val="Akapitzlist"/>
        <w:numPr>
          <w:ilvl w:val="0"/>
          <w:numId w:val="184"/>
        </w:numPr>
        <w:spacing w:line="249" w:lineRule="auto"/>
        <w:ind w:right="-3"/>
        <w:jc w:val="left"/>
        <w:rPr>
          <w:rFonts w:ascii="Garamond" w:hAnsi="Garamond"/>
          <w:sz w:val="24"/>
          <w:szCs w:val="24"/>
        </w:rPr>
      </w:pPr>
      <w:r w:rsidRPr="00A22619">
        <w:rPr>
          <w:rFonts w:ascii="Garamond" w:hAnsi="Garamond"/>
          <w:sz w:val="24"/>
          <w:szCs w:val="24"/>
        </w:rPr>
        <w:t>parametrów technicznych przyłącza,</w:t>
      </w:r>
    </w:p>
    <w:p w14:paraId="63870107" w14:textId="77777777" w:rsidR="002A126E" w:rsidRPr="00A22619" w:rsidRDefault="002A126E">
      <w:pPr>
        <w:pStyle w:val="Akapitzlist"/>
        <w:numPr>
          <w:ilvl w:val="0"/>
          <w:numId w:val="184"/>
        </w:numPr>
        <w:spacing w:line="249" w:lineRule="auto"/>
        <w:ind w:right="-3"/>
        <w:jc w:val="left"/>
        <w:rPr>
          <w:rFonts w:ascii="Garamond" w:hAnsi="Garamond"/>
          <w:sz w:val="24"/>
          <w:szCs w:val="24"/>
        </w:rPr>
      </w:pPr>
      <w:r w:rsidRPr="00A22619">
        <w:rPr>
          <w:rFonts w:ascii="Garamond" w:hAnsi="Garamond"/>
          <w:sz w:val="24"/>
          <w:szCs w:val="24"/>
        </w:rPr>
        <w:t>grupy taryfowej określonej w umowie dystrybucji,</w:t>
      </w:r>
    </w:p>
    <w:p w14:paraId="4D3F549D" w14:textId="77777777" w:rsidR="002A126E" w:rsidRPr="00A22619" w:rsidRDefault="002A126E">
      <w:pPr>
        <w:pStyle w:val="Akapitzlist"/>
        <w:numPr>
          <w:ilvl w:val="0"/>
          <w:numId w:val="184"/>
        </w:numPr>
        <w:spacing w:line="249" w:lineRule="auto"/>
        <w:ind w:right="-3"/>
        <w:jc w:val="left"/>
        <w:rPr>
          <w:rFonts w:ascii="Garamond" w:hAnsi="Garamond"/>
          <w:sz w:val="24"/>
          <w:szCs w:val="24"/>
        </w:rPr>
      </w:pPr>
      <w:r w:rsidRPr="00A22619">
        <w:rPr>
          <w:rFonts w:ascii="Garamond" w:hAnsi="Garamond"/>
          <w:sz w:val="24"/>
          <w:szCs w:val="24"/>
        </w:rPr>
        <w:t>historycznego lub przewidywanego rocznego zużycia energii elektrycznej, przydziela odpowiedni profil i planowaną ilość poboru energii na rok kalendarzowy.</w:t>
      </w:r>
    </w:p>
    <w:p w14:paraId="119DFA88" w14:textId="4CE7193B" w:rsidR="002A126E" w:rsidRPr="00AE3F1B" w:rsidRDefault="00A22619" w:rsidP="00A22619">
      <w:pPr>
        <w:spacing w:line="249" w:lineRule="auto"/>
        <w:ind w:left="567" w:right="-3" w:hanging="567"/>
        <w:jc w:val="left"/>
        <w:rPr>
          <w:rFonts w:ascii="Garamond" w:hAnsi="Garamond"/>
          <w:sz w:val="24"/>
          <w:szCs w:val="24"/>
        </w:rPr>
      </w:pPr>
      <w:r w:rsidRPr="00AE3F1B">
        <w:rPr>
          <w:rFonts w:ascii="Garamond" w:hAnsi="Garamond"/>
          <w:sz w:val="24"/>
          <w:szCs w:val="24"/>
        </w:rPr>
        <w:t xml:space="preserve">G.3. </w:t>
      </w:r>
      <w:r>
        <w:rPr>
          <w:rFonts w:ascii="Garamond" w:hAnsi="Garamond"/>
          <w:sz w:val="24"/>
          <w:szCs w:val="24"/>
        </w:rPr>
        <w:tab/>
      </w:r>
      <w:r w:rsidRPr="00AE3F1B">
        <w:rPr>
          <w:rFonts w:ascii="Garamond" w:hAnsi="Garamond"/>
          <w:sz w:val="24"/>
          <w:szCs w:val="24"/>
        </w:rPr>
        <w:t>Przydzielony</w:t>
      </w:r>
      <w:r w:rsidR="002A126E" w:rsidRPr="00AE3F1B">
        <w:rPr>
          <w:rFonts w:ascii="Garamond" w:hAnsi="Garamond"/>
          <w:sz w:val="24"/>
          <w:szCs w:val="24"/>
        </w:rPr>
        <w:t xml:space="preserve"> dla odbiorcy profil, w razie wystąpienia takiej konieczności, może zostać określony </w:t>
      </w:r>
      <w:r w:rsidR="002A126E" w:rsidRPr="00AE3F1B">
        <w:rPr>
          <w:rFonts w:ascii="Garamond" w:hAnsi="Garamond"/>
          <w:sz w:val="24"/>
          <w:szCs w:val="24"/>
        </w:rPr>
        <w:br/>
        <w:t xml:space="preserve">w generalnej umowie dystrybucji zawartej przez sprzedawcę tego odbiorcy profilowego </w:t>
      </w:r>
      <w:r>
        <w:rPr>
          <w:rFonts w:ascii="Garamond" w:hAnsi="Garamond"/>
          <w:sz w:val="24"/>
          <w:szCs w:val="24"/>
        </w:rPr>
        <w:t xml:space="preserve">              </w:t>
      </w:r>
      <w:r w:rsidR="002A126E" w:rsidRPr="00AE3F1B">
        <w:rPr>
          <w:rFonts w:ascii="Garamond" w:hAnsi="Garamond"/>
          <w:sz w:val="24"/>
          <w:szCs w:val="24"/>
        </w:rPr>
        <w:t xml:space="preserve">z ID Sp. </w:t>
      </w:r>
      <w:r w:rsidRPr="00AE3F1B">
        <w:rPr>
          <w:rFonts w:ascii="Garamond" w:hAnsi="Garamond"/>
          <w:sz w:val="24"/>
          <w:szCs w:val="24"/>
        </w:rPr>
        <w:t>z o.o.</w:t>
      </w:r>
    </w:p>
    <w:p w14:paraId="74A0F1AB" w14:textId="58BFC8E5" w:rsidR="002A126E" w:rsidRPr="00AE3F1B" w:rsidRDefault="002A126E" w:rsidP="00A22619">
      <w:pPr>
        <w:spacing w:line="249" w:lineRule="auto"/>
        <w:ind w:left="567" w:right="-3" w:hanging="567"/>
        <w:jc w:val="left"/>
        <w:rPr>
          <w:rFonts w:ascii="Garamond" w:hAnsi="Garamond"/>
          <w:sz w:val="24"/>
          <w:szCs w:val="24"/>
        </w:rPr>
      </w:pPr>
      <w:r w:rsidRPr="00AE3F1B">
        <w:rPr>
          <w:rFonts w:ascii="Garamond" w:hAnsi="Garamond"/>
          <w:sz w:val="24"/>
          <w:szCs w:val="24"/>
        </w:rPr>
        <w:t xml:space="preserve">G.4.  </w:t>
      </w:r>
      <w:r w:rsidR="00A22619">
        <w:rPr>
          <w:rFonts w:ascii="Garamond" w:hAnsi="Garamond"/>
          <w:sz w:val="24"/>
          <w:szCs w:val="24"/>
        </w:rPr>
        <w:tab/>
      </w:r>
      <w:r w:rsidRPr="00AE3F1B">
        <w:rPr>
          <w:rFonts w:ascii="Garamond" w:hAnsi="Garamond"/>
          <w:sz w:val="24"/>
          <w:szCs w:val="24"/>
        </w:rPr>
        <w:t xml:space="preserve">W przypadku zmiany parametrów, o których mowa w p.G.2., odbiorca jest zobowiązany </w:t>
      </w:r>
      <w:r w:rsidRPr="00AE3F1B">
        <w:rPr>
          <w:rFonts w:ascii="Garamond" w:hAnsi="Garamond"/>
          <w:sz w:val="24"/>
          <w:szCs w:val="24"/>
        </w:rPr>
        <w:br/>
        <w:t xml:space="preserve">do powiadomienia ID Sp. </w:t>
      </w:r>
      <w:r w:rsidR="00A22619" w:rsidRPr="00AE3F1B">
        <w:rPr>
          <w:rFonts w:ascii="Garamond" w:hAnsi="Garamond"/>
          <w:sz w:val="24"/>
          <w:szCs w:val="24"/>
        </w:rPr>
        <w:t>z o.o.</w:t>
      </w:r>
      <w:r w:rsidRPr="00AE3F1B">
        <w:rPr>
          <w:rFonts w:ascii="Garamond" w:hAnsi="Garamond"/>
          <w:sz w:val="24"/>
          <w:szCs w:val="24"/>
        </w:rPr>
        <w:t xml:space="preserve"> W takim przypadku ID Sp. z o.o. dokonuje weryfikacji przydzielonego profile oraz planowanej ilość poboru energii elektrycznej i dokonuje odpowiednich zmian w GUD.</w:t>
      </w:r>
    </w:p>
    <w:p w14:paraId="5D642B26" w14:textId="508AD893" w:rsidR="002A126E" w:rsidRPr="00AE3F1B" w:rsidRDefault="002A126E" w:rsidP="00A22619">
      <w:pPr>
        <w:spacing w:line="249" w:lineRule="auto"/>
        <w:ind w:left="567" w:right="-3" w:hanging="567"/>
        <w:jc w:val="left"/>
        <w:rPr>
          <w:rFonts w:ascii="Garamond" w:hAnsi="Garamond"/>
          <w:sz w:val="24"/>
          <w:szCs w:val="24"/>
        </w:rPr>
      </w:pPr>
      <w:r w:rsidRPr="00AE3F1B">
        <w:rPr>
          <w:rFonts w:ascii="Garamond" w:hAnsi="Garamond"/>
          <w:sz w:val="24"/>
          <w:szCs w:val="24"/>
        </w:rPr>
        <w:t xml:space="preserve">G.5.  </w:t>
      </w:r>
      <w:r w:rsidR="00A22619">
        <w:rPr>
          <w:rFonts w:ascii="Garamond" w:hAnsi="Garamond"/>
          <w:sz w:val="24"/>
          <w:szCs w:val="24"/>
        </w:rPr>
        <w:tab/>
      </w:r>
      <w:r w:rsidRPr="00AE3F1B">
        <w:rPr>
          <w:rFonts w:ascii="Garamond" w:hAnsi="Garamond"/>
          <w:sz w:val="24"/>
          <w:szCs w:val="24"/>
        </w:rPr>
        <w:t>Dla URD przyłączonych do sieci dystrybucyjnej ID Sp. z o.o. stosuje się standardowe profile zużycia dla grup taryfowych określonych w aktualnej Taryfie ID Sp. z o.o. Profile te publikowane będą przez ID Sp. z o.o. na stronie internetowej ID Sp. z o.o. w momencie wystąpienia konieczności prowadzenia rozliczeń na podstawie standardowych profile zużycia, na rzecz odbiorców, którzy skorzystali z prawa wyboru sprzedawcy.</w:t>
      </w:r>
    </w:p>
    <w:p w14:paraId="3A1F4ECB" w14:textId="79A36201" w:rsidR="00A22619" w:rsidRPr="00AE3F1B" w:rsidRDefault="002A126E" w:rsidP="00A22619">
      <w:pPr>
        <w:spacing w:line="249" w:lineRule="auto"/>
        <w:ind w:left="567" w:right="-3" w:hanging="567"/>
        <w:jc w:val="left"/>
        <w:rPr>
          <w:rFonts w:ascii="Garamond" w:hAnsi="Garamond"/>
          <w:sz w:val="24"/>
          <w:szCs w:val="24"/>
        </w:rPr>
      </w:pPr>
      <w:r w:rsidRPr="00AE3F1B">
        <w:rPr>
          <w:rFonts w:ascii="Garamond" w:hAnsi="Garamond"/>
          <w:sz w:val="24"/>
          <w:szCs w:val="24"/>
        </w:rPr>
        <w:t xml:space="preserve">G.6.  </w:t>
      </w:r>
      <w:r w:rsidR="00A22619">
        <w:rPr>
          <w:rFonts w:ascii="Garamond" w:hAnsi="Garamond"/>
          <w:sz w:val="24"/>
          <w:szCs w:val="24"/>
        </w:rPr>
        <w:tab/>
      </w:r>
      <w:r w:rsidRPr="00AE3F1B">
        <w:rPr>
          <w:rFonts w:ascii="Garamond" w:hAnsi="Garamond"/>
          <w:sz w:val="24"/>
          <w:szCs w:val="24"/>
        </w:rPr>
        <w:t xml:space="preserve">Dla odbiorców, o których mowa w pkt.G.1., którzy skorzystali z możliwości wyboru sprzedawcy, wyposażonych w układy pomiarowo-rozliczeniowe zintegrowane z lokalnym systemem pomiarowo-rozliczeniowym (LSPR) ID Sp. z o.o., przy określaniu dobowo godzinowego poboru energii elektrycznej tego odbiorcy stosuje w pierwszej kolejności dane rzeczywiste pozyskane </w:t>
      </w:r>
      <w:r w:rsidR="009C0FFC">
        <w:rPr>
          <w:rFonts w:ascii="Garamond" w:hAnsi="Garamond"/>
          <w:sz w:val="24"/>
          <w:szCs w:val="24"/>
        </w:rPr>
        <w:br/>
      </w:r>
      <w:r w:rsidRPr="00AE3F1B">
        <w:rPr>
          <w:rFonts w:ascii="Garamond" w:hAnsi="Garamond"/>
          <w:sz w:val="24"/>
          <w:szCs w:val="24"/>
        </w:rPr>
        <w:t>z LSPR. W przypadku braku możliwości określenia poboru w oparciu o dane rzeczywiste z LSPR zastosowanie mają zasady opisane od pkt.G.2. do pkt.G.5.</w:t>
      </w:r>
    </w:p>
    <w:bookmarkEnd w:id="99"/>
    <w:p w14:paraId="10EB2AF5" w14:textId="3ED24263" w:rsidR="002A126E" w:rsidRPr="00F93094" w:rsidRDefault="00A22619" w:rsidP="00A22619">
      <w:pPr>
        <w:spacing w:after="129" w:line="248" w:lineRule="auto"/>
        <w:ind w:right="-3"/>
        <w:rPr>
          <w:rFonts w:asciiTheme="majorHAnsi" w:hAnsiTheme="majorHAnsi"/>
          <w:b/>
          <w:bCs/>
          <w:sz w:val="24"/>
          <w:szCs w:val="24"/>
        </w:rPr>
      </w:pPr>
      <w:r>
        <w:rPr>
          <w:rFonts w:asciiTheme="majorHAnsi" w:hAnsiTheme="majorHAnsi"/>
          <w:b/>
          <w:bCs/>
          <w:sz w:val="24"/>
          <w:szCs w:val="24"/>
        </w:rPr>
        <w:t xml:space="preserve">H.     </w:t>
      </w:r>
      <w:r w:rsidR="009C0FFC" w:rsidRPr="00F93094">
        <w:rPr>
          <w:rFonts w:asciiTheme="majorHAnsi" w:hAnsiTheme="majorHAnsi"/>
          <w:b/>
          <w:bCs/>
          <w:sz w:val="24"/>
          <w:szCs w:val="24"/>
        </w:rPr>
        <w:t>Zarządzanie ograniczeniami systemowymi</w:t>
      </w:r>
    </w:p>
    <w:p w14:paraId="28DBB420" w14:textId="1CA4F86B" w:rsidR="002A126E" w:rsidRPr="00AE3F1B" w:rsidRDefault="002A126E" w:rsidP="00A22619">
      <w:pPr>
        <w:spacing w:line="249" w:lineRule="auto"/>
        <w:ind w:left="567" w:right="-3" w:hanging="567"/>
        <w:jc w:val="left"/>
        <w:rPr>
          <w:rFonts w:ascii="Garamond" w:hAnsi="Garamond"/>
          <w:sz w:val="24"/>
          <w:szCs w:val="24"/>
        </w:rPr>
      </w:pPr>
      <w:r w:rsidRPr="00AE3F1B">
        <w:rPr>
          <w:rFonts w:ascii="Garamond" w:hAnsi="Garamond"/>
          <w:sz w:val="24"/>
          <w:szCs w:val="24"/>
        </w:rPr>
        <w:t>H.</w:t>
      </w:r>
      <w:r w:rsidR="007606DB">
        <w:rPr>
          <w:rFonts w:ascii="Garamond" w:hAnsi="Garamond"/>
          <w:sz w:val="24"/>
          <w:szCs w:val="24"/>
        </w:rPr>
        <w:t>1</w:t>
      </w:r>
      <w:r w:rsidRPr="00AE3F1B">
        <w:rPr>
          <w:rFonts w:ascii="Garamond" w:hAnsi="Garamond"/>
          <w:sz w:val="24"/>
          <w:szCs w:val="24"/>
        </w:rPr>
        <w:t>.</w:t>
      </w:r>
      <w:r w:rsidR="00A22619">
        <w:rPr>
          <w:rFonts w:ascii="Garamond" w:hAnsi="Garamond"/>
          <w:sz w:val="24"/>
          <w:szCs w:val="24"/>
        </w:rPr>
        <w:t xml:space="preserve"> </w:t>
      </w:r>
      <w:r w:rsidR="00A22619">
        <w:rPr>
          <w:rFonts w:ascii="Garamond" w:hAnsi="Garamond"/>
          <w:sz w:val="24"/>
          <w:szCs w:val="24"/>
        </w:rPr>
        <w:tab/>
      </w:r>
      <w:r w:rsidRPr="00AE3F1B">
        <w:rPr>
          <w:rFonts w:ascii="Garamond" w:hAnsi="Garamond"/>
          <w:sz w:val="24"/>
          <w:szCs w:val="24"/>
        </w:rPr>
        <w:t>ID Sp. z o.o. identyfikuje ograniczenia systemowe ze względu na spełnienie wymagań niezawodności dostaw energii elektrycznej.</w:t>
      </w:r>
    </w:p>
    <w:p w14:paraId="0F99EF2B" w14:textId="63A6CD2D" w:rsidR="002A126E" w:rsidRPr="00AE3F1B" w:rsidRDefault="00A22619" w:rsidP="00A22619">
      <w:pPr>
        <w:spacing w:line="249" w:lineRule="auto"/>
        <w:ind w:left="567" w:right="-3" w:hanging="567"/>
        <w:jc w:val="left"/>
        <w:rPr>
          <w:rFonts w:ascii="Garamond" w:hAnsi="Garamond"/>
          <w:sz w:val="24"/>
          <w:szCs w:val="24"/>
        </w:rPr>
      </w:pPr>
      <w:r w:rsidRPr="00AE3F1B">
        <w:rPr>
          <w:rFonts w:ascii="Garamond" w:hAnsi="Garamond"/>
          <w:sz w:val="24"/>
          <w:szCs w:val="24"/>
        </w:rPr>
        <w:t xml:space="preserve">H.2. </w:t>
      </w:r>
      <w:r>
        <w:rPr>
          <w:rFonts w:ascii="Garamond" w:hAnsi="Garamond"/>
          <w:sz w:val="24"/>
          <w:szCs w:val="24"/>
        </w:rPr>
        <w:tab/>
      </w:r>
      <w:r w:rsidRPr="00AE3F1B">
        <w:rPr>
          <w:rFonts w:ascii="Garamond" w:hAnsi="Garamond"/>
          <w:sz w:val="24"/>
          <w:szCs w:val="24"/>
        </w:rPr>
        <w:t>Ograniczenia</w:t>
      </w:r>
      <w:r w:rsidR="002A126E" w:rsidRPr="00AE3F1B">
        <w:rPr>
          <w:rFonts w:ascii="Garamond" w:hAnsi="Garamond"/>
          <w:sz w:val="24"/>
          <w:szCs w:val="24"/>
        </w:rPr>
        <w:t xml:space="preserve"> systemowe są podzielone na:</w:t>
      </w:r>
    </w:p>
    <w:p w14:paraId="1F78F94C" w14:textId="77777777" w:rsidR="002A126E" w:rsidRPr="00A22619" w:rsidRDefault="002A126E">
      <w:pPr>
        <w:pStyle w:val="Akapitzlist"/>
        <w:numPr>
          <w:ilvl w:val="0"/>
          <w:numId w:val="185"/>
        </w:numPr>
        <w:spacing w:line="249" w:lineRule="auto"/>
        <w:ind w:right="-3"/>
        <w:jc w:val="left"/>
        <w:rPr>
          <w:rFonts w:ascii="Garamond" w:hAnsi="Garamond"/>
          <w:sz w:val="24"/>
          <w:szCs w:val="24"/>
        </w:rPr>
      </w:pPr>
      <w:r w:rsidRPr="00A22619">
        <w:rPr>
          <w:rFonts w:ascii="Garamond" w:hAnsi="Garamond"/>
          <w:sz w:val="24"/>
          <w:szCs w:val="24"/>
        </w:rPr>
        <w:t xml:space="preserve">ograniczenia </w:t>
      </w:r>
      <w:proofErr w:type="spellStart"/>
      <w:r w:rsidRPr="00A22619">
        <w:rPr>
          <w:rFonts w:ascii="Garamond" w:hAnsi="Garamond"/>
          <w:sz w:val="24"/>
          <w:szCs w:val="24"/>
        </w:rPr>
        <w:t>elektrowniane</w:t>
      </w:r>
      <w:proofErr w:type="spellEnd"/>
      <w:r w:rsidRPr="00A22619">
        <w:rPr>
          <w:rFonts w:ascii="Garamond" w:hAnsi="Garamond"/>
          <w:sz w:val="24"/>
          <w:szCs w:val="24"/>
        </w:rPr>
        <w:t>,</w:t>
      </w:r>
    </w:p>
    <w:p w14:paraId="7F00A6AE" w14:textId="77777777" w:rsidR="002A126E" w:rsidRPr="00A22619" w:rsidRDefault="002A126E">
      <w:pPr>
        <w:pStyle w:val="Akapitzlist"/>
        <w:numPr>
          <w:ilvl w:val="0"/>
          <w:numId w:val="185"/>
        </w:numPr>
        <w:spacing w:line="249" w:lineRule="auto"/>
        <w:ind w:right="-3"/>
        <w:jc w:val="left"/>
        <w:rPr>
          <w:rFonts w:ascii="Garamond" w:hAnsi="Garamond"/>
          <w:sz w:val="24"/>
          <w:szCs w:val="24"/>
        </w:rPr>
      </w:pPr>
      <w:r w:rsidRPr="00A22619">
        <w:rPr>
          <w:rFonts w:ascii="Garamond" w:hAnsi="Garamond"/>
          <w:sz w:val="24"/>
          <w:szCs w:val="24"/>
        </w:rPr>
        <w:t>ograniczenia sieciowe.</w:t>
      </w:r>
    </w:p>
    <w:p w14:paraId="57076BC1" w14:textId="70B25190" w:rsidR="002A126E" w:rsidRPr="00AE3F1B" w:rsidRDefault="00A22619" w:rsidP="00A22619">
      <w:pPr>
        <w:spacing w:line="249" w:lineRule="auto"/>
        <w:ind w:left="567" w:right="-3" w:hanging="567"/>
        <w:jc w:val="left"/>
        <w:rPr>
          <w:rFonts w:ascii="Garamond" w:hAnsi="Garamond"/>
          <w:sz w:val="24"/>
          <w:szCs w:val="24"/>
        </w:rPr>
      </w:pPr>
      <w:r w:rsidRPr="00AE3F1B">
        <w:rPr>
          <w:rFonts w:ascii="Garamond" w:hAnsi="Garamond"/>
          <w:sz w:val="24"/>
          <w:szCs w:val="24"/>
        </w:rPr>
        <w:t>H.3. Ograniczenia</w:t>
      </w:r>
      <w:r w:rsidR="002A126E" w:rsidRPr="00AE3F1B">
        <w:rPr>
          <w:rFonts w:ascii="Garamond" w:hAnsi="Garamond"/>
          <w:sz w:val="24"/>
          <w:szCs w:val="24"/>
        </w:rPr>
        <w:t xml:space="preserve"> </w:t>
      </w:r>
      <w:proofErr w:type="spellStart"/>
      <w:r w:rsidR="002A126E" w:rsidRPr="00AE3F1B">
        <w:rPr>
          <w:rFonts w:ascii="Garamond" w:hAnsi="Garamond"/>
          <w:sz w:val="24"/>
          <w:szCs w:val="24"/>
        </w:rPr>
        <w:t>elektrowniane</w:t>
      </w:r>
      <w:proofErr w:type="spellEnd"/>
      <w:r w:rsidR="002A126E" w:rsidRPr="00AE3F1B">
        <w:rPr>
          <w:rFonts w:ascii="Garamond" w:hAnsi="Garamond"/>
          <w:sz w:val="24"/>
          <w:szCs w:val="24"/>
        </w:rPr>
        <w:t xml:space="preserve"> obejmują restrykcje w pracy elektrowni spowodowane przez:</w:t>
      </w:r>
    </w:p>
    <w:p w14:paraId="52BD9F68" w14:textId="77777777" w:rsidR="002A126E" w:rsidRPr="002D2411" w:rsidRDefault="002A126E">
      <w:pPr>
        <w:pStyle w:val="Akapitzlist"/>
        <w:numPr>
          <w:ilvl w:val="0"/>
          <w:numId w:val="186"/>
        </w:numPr>
        <w:spacing w:line="249" w:lineRule="auto"/>
        <w:ind w:right="-3"/>
        <w:jc w:val="left"/>
        <w:rPr>
          <w:rFonts w:ascii="Garamond" w:hAnsi="Garamond"/>
          <w:sz w:val="24"/>
          <w:szCs w:val="24"/>
        </w:rPr>
      </w:pPr>
      <w:r w:rsidRPr="002D2411">
        <w:rPr>
          <w:rFonts w:ascii="Garamond" w:hAnsi="Garamond"/>
          <w:sz w:val="24"/>
          <w:szCs w:val="24"/>
        </w:rPr>
        <w:t>parametry techniczne poszczególnych jednostek wytwórczych,</w:t>
      </w:r>
    </w:p>
    <w:p w14:paraId="4F993FE2" w14:textId="77777777" w:rsidR="002A126E" w:rsidRPr="002D2411" w:rsidRDefault="002A126E">
      <w:pPr>
        <w:pStyle w:val="Akapitzlist"/>
        <w:numPr>
          <w:ilvl w:val="0"/>
          <w:numId w:val="186"/>
        </w:numPr>
        <w:spacing w:line="249" w:lineRule="auto"/>
        <w:ind w:right="-3"/>
        <w:jc w:val="left"/>
        <w:rPr>
          <w:rFonts w:ascii="Garamond" w:hAnsi="Garamond"/>
          <w:sz w:val="24"/>
          <w:szCs w:val="24"/>
        </w:rPr>
      </w:pPr>
      <w:r w:rsidRPr="002D2411">
        <w:rPr>
          <w:rFonts w:ascii="Garamond" w:hAnsi="Garamond"/>
          <w:sz w:val="24"/>
          <w:szCs w:val="24"/>
        </w:rPr>
        <w:t>przyczyny technologiczne w elektrowni,</w:t>
      </w:r>
    </w:p>
    <w:p w14:paraId="4534988B" w14:textId="77777777" w:rsidR="002A126E" w:rsidRPr="002D2411" w:rsidRDefault="002A126E">
      <w:pPr>
        <w:pStyle w:val="Akapitzlist"/>
        <w:numPr>
          <w:ilvl w:val="0"/>
          <w:numId w:val="186"/>
        </w:numPr>
        <w:spacing w:line="248" w:lineRule="auto"/>
        <w:ind w:right="-3"/>
        <w:jc w:val="left"/>
        <w:rPr>
          <w:rFonts w:ascii="Garamond" w:hAnsi="Garamond"/>
          <w:sz w:val="24"/>
          <w:szCs w:val="24"/>
        </w:rPr>
      </w:pPr>
      <w:r w:rsidRPr="002D2411">
        <w:rPr>
          <w:rFonts w:ascii="Garamond" w:hAnsi="Garamond"/>
          <w:sz w:val="24"/>
          <w:szCs w:val="24"/>
        </w:rPr>
        <w:t>działanie siły wyższej,</w:t>
      </w:r>
    </w:p>
    <w:p w14:paraId="0DCCE55D" w14:textId="77777777" w:rsidR="002A126E" w:rsidRPr="002D2411" w:rsidRDefault="002A126E">
      <w:pPr>
        <w:pStyle w:val="Akapitzlist"/>
        <w:numPr>
          <w:ilvl w:val="0"/>
          <w:numId w:val="186"/>
        </w:numPr>
        <w:spacing w:line="249" w:lineRule="auto"/>
        <w:ind w:right="-3"/>
        <w:jc w:val="left"/>
        <w:rPr>
          <w:rFonts w:ascii="Garamond" w:hAnsi="Garamond"/>
          <w:sz w:val="24"/>
          <w:szCs w:val="24"/>
        </w:rPr>
      </w:pPr>
      <w:r w:rsidRPr="002D2411">
        <w:rPr>
          <w:rFonts w:ascii="Garamond" w:hAnsi="Garamond"/>
          <w:sz w:val="24"/>
          <w:szCs w:val="24"/>
        </w:rPr>
        <w:lastRenderedPageBreak/>
        <w:t>realizację polityki energetycznej państwa.</w:t>
      </w:r>
    </w:p>
    <w:p w14:paraId="0887E499" w14:textId="4D279CC8" w:rsidR="002A126E" w:rsidRPr="00AE3F1B" w:rsidRDefault="002D2411" w:rsidP="002D2411">
      <w:pPr>
        <w:spacing w:line="249" w:lineRule="auto"/>
        <w:ind w:left="567" w:right="-3" w:hanging="567"/>
        <w:jc w:val="left"/>
        <w:rPr>
          <w:rFonts w:ascii="Garamond" w:hAnsi="Garamond"/>
          <w:sz w:val="24"/>
          <w:szCs w:val="24"/>
        </w:rPr>
      </w:pPr>
      <w:r w:rsidRPr="00AE3F1B">
        <w:rPr>
          <w:rFonts w:ascii="Garamond" w:hAnsi="Garamond"/>
          <w:sz w:val="24"/>
          <w:szCs w:val="24"/>
        </w:rPr>
        <w:t>H.4. ID</w:t>
      </w:r>
      <w:r w:rsidR="002A126E" w:rsidRPr="00AE3F1B">
        <w:rPr>
          <w:rFonts w:ascii="Garamond" w:hAnsi="Garamond"/>
          <w:sz w:val="24"/>
          <w:szCs w:val="24"/>
        </w:rPr>
        <w:t xml:space="preserve"> Sp. z o.o. identyfikuje ograniczenia sieciowe jako:</w:t>
      </w:r>
    </w:p>
    <w:p w14:paraId="605983D1" w14:textId="001C6157" w:rsidR="002A126E" w:rsidRPr="002D2411" w:rsidRDefault="002A126E">
      <w:pPr>
        <w:pStyle w:val="Akapitzlist"/>
        <w:numPr>
          <w:ilvl w:val="0"/>
          <w:numId w:val="187"/>
        </w:numPr>
        <w:spacing w:line="249" w:lineRule="auto"/>
        <w:ind w:right="-3"/>
        <w:jc w:val="left"/>
        <w:rPr>
          <w:rFonts w:ascii="Garamond" w:hAnsi="Garamond"/>
          <w:sz w:val="24"/>
          <w:szCs w:val="24"/>
        </w:rPr>
      </w:pPr>
      <w:r w:rsidRPr="002D2411">
        <w:rPr>
          <w:rFonts w:ascii="Garamond" w:hAnsi="Garamond"/>
          <w:sz w:val="24"/>
          <w:szCs w:val="24"/>
        </w:rPr>
        <w:t>maksymalne dopuszczalne moce wytwarzane i/lub maksymalną liczbę jednostek wytwórczych</w:t>
      </w:r>
      <w:r w:rsidR="009C0FFC" w:rsidRPr="002D2411">
        <w:rPr>
          <w:rFonts w:ascii="Garamond" w:hAnsi="Garamond"/>
          <w:sz w:val="24"/>
          <w:szCs w:val="24"/>
        </w:rPr>
        <w:br/>
      </w:r>
      <w:r w:rsidRPr="002D2411">
        <w:rPr>
          <w:rFonts w:ascii="Garamond" w:hAnsi="Garamond"/>
          <w:sz w:val="24"/>
          <w:szCs w:val="24"/>
        </w:rPr>
        <w:t>pracujących w danym węźle lub grupie węzłów,</w:t>
      </w:r>
    </w:p>
    <w:p w14:paraId="6522D8A4" w14:textId="1EB2BEDA" w:rsidR="002A126E" w:rsidRPr="002D2411" w:rsidRDefault="002A126E">
      <w:pPr>
        <w:pStyle w:val="Akapitzlist"/>
        <w:numPr>
          <w:ilvl w:val="0"/>
          <w:numId w:val="187"/>
        </w:numPr>
        <w:spacing w:line="249" w:lineRule="auto"/>
        <w:ind w:right="-3"/>
        <w:jc w:val="left"/>
        <w:rPr>
          <w:rFonts w:ascii="Garamond" w:hAnsi="Garamond"/>
          <w:sz w:val="24"/>
          <w:szCs w:val="24"/>
        </w:rPr>
      </w:pPr>
      <w:r w:rsidRPr="002D2411">
        <w:rPr>
          <w:rFonts w:ascii="Garamond" w:hAnsi="Garamond"/>
          <w:sz w:val="24"/>
          <w:szCs w:val="24"/>
        </w:rPr>
        <w:t>minimalne niezbędne moce wytwarzane i/lub minimalną liczbę jednostek wytwórczych pracujących w danym węźle lub grupie węzłów,</w:t>
      </w:r>
    </w:p>
    <w:p w14:paraId="04DE051E" w14:textId="7085A741" w:rsidR="002A126E" w:rsidRPr="002D2411" w:rsidRDefault="002A126E">
      <w:pPr>
        <w:pStyle w:val="Akapitzlist"/>
        <w:numPr>
          <w:ilvl w:val="0"/>
          <w:numId w:val="187"/>
        </w:numPr>
        <w:spacing w:line="249" w:lineRule="auto"/>
        <w:ind w:right="-3"/>
        <w:jc w:val="left"/>
        <w:rPr>
          <w:rFonts w:ascii="Garamond" w:hAnsi="Garamond"/>
          <w:sz w:val="24"/>
          <w:szCs w:val="24"/>
        </w:rPr>
      </w:pPr>
      <w:r w:rsidRPr="002D2411">
        <w:rPr>
          <w:rFonts w:ascii="Garamond" w:hAnsi="Garamond"/>
          <w:sz w:val="24"/>
          <w:szCs w:val="24"/>
        </w:rPr>
        <w:t>ograniczenia dystrybucyjne na wskazanych przekrojach sieciowych.</w:t>
      </w:r>
    </w:p>
    <w:p w14:paraId="5476F4D6" w14:textId="6CAAE2B7" w:rsidR="002A126E" w:rsidRPr="00AE3F1B" w:rsidRDefault="002D2411" w:rsidP="002D2411">
      <w:pPr>
        <w:spacing w:line="249" w:lineRule="auto"/>
        <w:ind w:left="567" w:right="-3" w:hanging="567"/>
        <w:jc w:val="left"/>
        <w:rPr>
          <w:rFonts w:ascii="Garamond" w:hAnsi="Garamond"/>
          <w:sz w:val="24"/>
          <w:szCs w:val="24"/>
        </w:rPr>
      </w:pPr>
      <w:r w:rsidRPr="00AE3F1B">
        <w:rPr>
          <w:rFonts w:ascii="Garamond" w:hAnsi="Garamond"/>
          <w:sz w:val="24"/>
          <w:szCs w:val="24"/>
        </w:rPr>
        <w:t>H.5. Identyfikacja</w:t>
      </w:r>
      <w:r w:rsidR="002A126E" w:rsidRPr="00AE3F1B">
        <w:rPr>
          <w:rFonts w:ascii="Garamond" w:hAnsi="Garamond"/>
          <w:sz w:val="24"/>
          <w:szCs w:val="24"/>
        </w:rPr>
        <w:t xml:space="preserve"> ograniczeń systemowych jest wykonywana przez ID Sp. z o.o. na podstawie analiz sieciowych uwzględniających:</w:t>
      </w:r>
    </w:p>
    <w:p w14:paraId="729BA4A2" w14:textId="731F3755" w:rsidR="002A126E" w:rsidRPr="002D2411" w:rsidRDefault="002A126E">
      <w:pPr>
        <w:pStyle w:val="Akapitzlist"/>
        <w:numPr>
          <w:ilvl w:val="0"/>
          <w:numId w:val="188"/>
        </w:numPr>
        <w:spacing w:line="249" w:lineRule="auto"/>
        <w:ind w:right="-3"/>
        <w:jc w:val="left"/>
        <w:rPr>
          <w:rFonts w:ascii="Garamond" w:hAnsi="Garamond"/>
          <w:sz w:val="24"/>
          <w:szCs w:val="24"/>
        </w:rPr>
      </w:pPr>
      <w:r w:rsidRPr="002D2411">
        <w:rPr>
          <w:rFonts w:ascii="Garamond" w:hAnsi="Garamond"/>
          <w:sz w:val="24"/>
          <w:szCs w:val="24"/>
        </w:rPr>
        <w:t>plan wyłączeń elementów sieci dystrybucyjnej,</w:t>
      </w:r>
    </w:p>
    <w:p w14:paraId="5807D476" w14:textId="1BD7784B" w:rsidR="002A126E" w:rsidRPr="002D2411" w:rsidRDefault="002A126E">
      <w:pPr>
        <w:pStyle w:val="Akapitzlist"/>
        <w:numPr>
          <w:ilvl w:val="0"/>
          <w:numId w:val="188"/>
        </w:numPr>
        <w:spacing w:line="249" w:lineRule="auto"/>
        <w:ind w:right="-3"/>
        <w:jc w:val="left"/>
        <w:rPr>
          <w:rFonts w:ascii="Garamond" w:hAnsi="Garamond"/>
          <w:sz w:val="24"/>
          <w:szCs w:val="24"/>
        </w:rPr>
      </w:pPr>
      <w:r w:rsidRPr="002D2411">
        <w:rPr>
          <w:rFonts w:ascii="Garamond" w:hAnsi="Garamond"/>
          <w:sz w:val="24"/>
          <w:szCs w:val="24"/>
        </w:rPr>
        <w:t>plan remontów jednostek wytwórczych przyłączonych do sieci dystrybucyjnej,</w:t>
      </w:r>
    </w:p>
    <w:p w14:paraId="3F6E8537" w14:textId="64AF24B3" w:rsidR="002A126E" w:rsidRPr="002D2411" w:rsidRDefault="002A126E">
      <w:pPr>
        <w:pStyle w:val="Akapitzlist"/>
        <w:numPr>
          <w:ilvl w:val="0"/>
          <w:numId w:val="188"/>
        </w:numPr>
        <w:spacing w:line="249" w:lineRule="auto"/>
        <w:ind w:right="-3"/>
        <w:jc w:val="left"/>
        <w:rPr>
          <w:rFonts w:ascii="Garamond" w:hAnsi="Garamond"/>
          <w:sz w:val="24"/>
          <w:szCs w:val="24"/>
        </w:rPr>
      </w:pPr>
      <w:r w:rsidRPr="002D2411">
        <w:rPr>
          <w:rFonts w:ascii="Garamond" w:hAnsi="Garamond"/>
          <w:sz w:val="24"/>
          <w:szCs w:val="24"/>
        </w:rPr>
        <w:t>dotyczące jakości i niezawodności pracy sieci dystrybucyjnej.</w:t>
      </w:r>
    </w:p>
    <w:p w14:paraId="0DF95A5D" w14:textId="4A0E3BD6" w:rsidR="002A126E" w:rsidRPr="00AE3F1B" w:rsidRDefault="002D2411" w:rsidP="002D2411">
      <w:pPr>
        <w:spacing w:line="249" w:lineRule="auto"/>
        <w:ind w:left="567" w:right="-3" w:hanging="567"/>
        <w:jc w:val="left"/>
        <w:rPr>
          <w:rFonts w:ascii="Garamond" w:hAnsi="Garamond"/>
          <w:sz w:val="24"/>
          <w:szCs w:val="24"/>
        </w:rPr>
      </w:pPr>
      <w:r w:rsidRPr="00AE3F1B">
        <w:rPr>
          <w:rFonts w:ascii="Garamond" w:hAnsi="Garamond"/>
          <w:sz w:val="24"/>
          <w:szCs w:val="24"/>
        </w:rPr>
        <w:t xml:space="preserve">H.6. </w:t>
      </w:r>
      <w:r w:rsidR="002C4951">
        <w:rPr>
          <w:rFonts w:ascii="Garamond" w:hAnsi="Garamond"/>
          <w:sz w:val="24"/>
          <w:szCs w:val="24"/>
        </w:rPr>
        <w:tab/>
      </w:r>
      <w:r w:rsidRPr="00AE3F1B">
        <w:rPr>
          <w:rFonts w:ascii="Garamond" w:hAnsi="Garamond"/>
          <w:sz w:val="24"/>
          <w:szCs w:val="24"/>
        </w:rPr>
        <w:t>Analizy</w:t>
      </w:r>
      <w:r w:rsidR="002A126E" w:rsidRPr="00AE3F1B">
        <w:rPr>
          <w:rFonts w:ascii="Garamond" w:hAnsi="Garamond"/>
          <w:sz w:val="24"/>
          <w:szCs w:val="24"/>
        </w:rPr>
        <w:t xml:space="preserve"> sieciowe dla potrzeb identyfikacji ograniczeń systemowych w planach koordynacyjnych </w:t>
      </w:r>
      <w:r w:rsidR="00313B90" w:rsidRPr="00AE3F1B">
        <w:rPr>
          <w:rFonts w:ascii="Garamond" w:hAnsi="Garamond"/>
          <w:sz w:val="24"/>
          <w:szCs w:val="24"/>
        </w:rPr>
        <w:br/>
      </w:r>
      <w:r w:rsidR="006E34EA">
        <w:rPr>
          <w:rFonts w:ascii="Garamond" w:hAnsi="Garamond"/>
          <w:sz w:val="24"/>
          <w:szCs w:val="24"/>
        </w:rPr>
        <w:t>s</w:t>
      </w:r>
      <w:r w:rsidR="002A126E" w:rsidRPr="00AE3F1B">
        <w:rPr>
          <w:rFonts w:ascii="Garamond" w:hAnsi="Garamond"/>
          <w:sz w:val="24"/>
          <w:szCs w:val="24"/>
        </w:rPr>
        <w:t>ą realizowane przez ID Sp. z o.o. z wykorzystaniem dostępnych programów analitycznych.</w:t>
      </w:r>
    </w:p>
    <w:p w14:paraId="320C4AEC" w14:textId="32BAF9CF" w:rsidR="002A126E" w:rsidRPr="00AE3F1B" w:rsidRDefault="00313B90" w:rsidP="002D2411">
      <w:pPr>
        <w:spacing w:line="249" w:lineRule="auto"/>
        <w:ind w:left="567" w:right="-3" w:hanging="567"/>
        <w:jc w:val="left"/>
        <w:rPr>
          <w:rFonts w:ascii="Garamond" w:hAnsi="Garamond"/>
          <w:sz w:val="24"/>
          <w:szCs w:val="24"/>
        </w:rPr>
      </w:pPr>
      <w:r w:rsidRPr="00AE3F1B">
        <w:rPr>
          <w:rFonts w:ascii="Garamond" w:hAnsi="Garamond"/>
          <w:sz w:val="24"/>
          <w:szCs w:val="24"/>
        </w:rPr>
        <w:t>H.7</w:t>
      </w:r>
      <w:r w:rsidR="002A126E" w:rsidRPr="00AE3F1B">
        <w:rPr>
          <w:rFonts w:ascii="Garamond" w:hAnsi="Garamond"/>
          <w:sz w:val="24"/>
          <w:szCs w:val="24"/>
        </w:rPr>
        <w:t xml:space="preserve">. </w:t>
      </w:r>
      <w:r w:rsidR="002C4951">
        <w:rPr>
          <w:rFonts w:ascii="Garamond" w:hAnsi="Garamond"/>
          <w:sz w:val="24"/>
          <w:szCs w:val="24"/>
        </w:rPr>
        <w:tab/>
      </w:r>
      <w:r w:rsidR="002A126E" w:rsidRPr="00AE3F1B">
        <w:rPr>
          <w:rFonts w:ascii="Garamond" w:hAnsi="Garamond"/>
          <w:sz w:val="24"/>
          <w:szCs w:val="24"/>
        </w:rPr>
        <w:t>Ograniczenia systemowe są identyfikowane w cyklach pokrywających się z planami koordynacyjnymi oraz udostępniane w ramach planów koordynacyjnych.</w:t>
      </w:r>
    </w:p>
    <w:p w14:paraId="310B2EC5" w14:textId="150E1243" w:rsidR="002D2411" w:rsidRPr="00AE3F1B" w:rsidRDefault="002A126E" w:rsidP="002D2411">
      <w:pPr>
        <w:spacing w:line="249" w:lineRule="auto"/>
        <w:ind w:left="567" w:right="-3" w:hanging="567"/>
        <w:jc w:val="left"/>
        <w:rPr>
          <w:rFonts w:ascii="Garamond" w:hAnsi="Garamond"/>
          <w:sz w:val="24"/>
          <w:szCs w:val="24"/>
        </w:rPr>
      </w:pPr>
      <w:r w:rsidRPr="00AE3F1B">
        <w:rPr>
          <w:rFonts w:ascii="Garamond" w:hAnsi="Garamond"/>
          <w:sz w:val="24"/>
          <w:szCs w:val="24"/>
        </w:rPr>
        <w:t>H.8. ID Sp. z o.o. przy planowaniu pracy sieci uwzględnia ograniczenia występujące w pracy sieci dystrybucyjnej sąsiednich OSD oraz zgłoszone przez wytwórców ograniczenia dotyczące jednostek wytwórczych przyłączonych do jego sieci, mając na celu minimalizację skutków tych ograniczeń.</w:t>
      </w:r>
    </w:p>
    <w:p w14:paraId="367DE092" w14:textId="64249DF5" w:rsidR="000D7A5C" w:rsidRPr="00F93094" w:rsidRDefault="000D7A5C" w:rsidP="002D2411">
      <w:pPr>
        <w:spacing w:before="240" w:line="248" w:lineRule="auto"/>
        <w:ind w:left="567" w:right="-3" w:hanging="567"/>
        <w:jc w:val="left"/>
        <w:rPr>
          <w:rFonts w:asciiTheme="majorHAnsi" w:hAnsiTheme="majorHAnsi"/>
          <w:b/>
          <w:bCs/>
          <w:sz w:val="24"/>
          <w:szCs w:val="24"/>
        </w:rPr>
      </w:pPr>
      <w:r w:rsidRPr="00F93094">
        <w:rPr>
          <w:rFonts w:asciiTheme="majorHAnsi" w:hAnsiTheme="majorHAnsi"/>
          <w:b/>
          <w:bCs/>
          <w:noProof/>
          <w:sz w:val="24"/>
          <w:szCs w:val="24"/>
        </w:rPr>
        <w:t>I.</w:t>
      </w:r>
      <w:r w:rsidR="002D2411">
        <w:rPr>
          <w:rFonts w:asciiTheme="majorHAnsi" w:hAnsiTheme="majorHAnsi"/>
          <w:b/>
          <w:bCs/>
          <w:noProof/>
          <w:sz w:val="24"/>
          <w:szCs w:val="24"/>
        </w:rPr>
        <w:t xml:space="preserve"> </w:t>
      </w:r>
      <w:r w:rsidR="002D2411">
        <w:rPr>
          <w:rFonts w:asciiTheme="majorHAnsi" w:hAnsiTheme="majorHAnsi"/>
          <w:b/>
          <w:bCs/>
          <w:noProof/>
          <w:sz w:val="24"/>
          <w:szCs w:val="24"/>
        </w:rPr>
        <w:tab/>
      </w:r>
      <w:r w:rsidR="00D83CD6" w:rsidRPr="00F93094">
        <w:rPr>
          <w:rFonts w:asciiTheme="majorHAnsi" w:hAnsiTheme="majorHAnsi"/>
          <w:b/>
          <w:bCs/>
          <w:sz w:val="24"/>
          <w:szCs w:val="24"/>
        </w:rPr>
        <w:t>Zasady współpracy dotyczące regulacyjnych usług systemowych w zakresie rezerwy interwencyjnej</w:t>
      </w:r>
    </w:p>
    <w:p w14:paraId="161D01EE" w14:textId="336A49B1" w:rsidR="000D7A5C" w:rsidRPr="00AE3F1B" w:rsidRDefault="00F17929" w:rsidP="00175586">
      <w:pPr>
        <w:spacing w:after="154" w:line="248" w:lineRule="auto"/>
        <w:ind w:left="567" w:right="-3" w:hanging="567"/>
        <w:jc w:val="left"/>
        <w:rPr>
          <w:rFonts w:ascii="Garamond" w:hAnsi="Garamond"/>
          <w:sz w:val="24"/>
          <w:szCs w:val="24"/>
        </w:rPr>
      </w:pPr>
      <w:r w:rsidRPr="00AE3F1B">
        <w:rPr>
          <w:rFonts w:ascii="Garamond" w:hAnsi="Garamond"/>
          <w:noProof/>
          <w:sz w:val="24"/>
          <w:szCs w:val="24"/>
        </w:rPr>
        <w:t xml:space="preserve">I.1. </w:t>
      </w:r>
      <w:r w:rsidR="002D2411">
        <w:rPr>
          <w:rFonts w:ascii="Garamond" w:hAnsi="Garamond"/>
          <w:noProof/>
          <w:sz w:val="24"/>
          <w:szCs w:val="24"/>
        </w:rPr>
        <w:tab/>
      </w:r>
      <w:r w:rsidRPr="00AE3F1B">
        <w:rPr>
          <w:rFonts w:ascii="Garamond" w:hAnsi="Garamond"/>
          <w:noProof/>
          <w:sz w:val="24"/>
          <w:szCs w:val="24"/>
        </w:rPr>
        <w:t>Zasady</w:t>
      </w:r>
      <w:r w:rsidR="000D7A5C" w:rsidRPr="00AE3F1B">
        <w:rPr>
          <w:rFonts w:ascii="Garamond" w:hAnsi="Garamond"/>
          <w:sz w:val="24"/>
          <w:szCs w:val="24"/>
        </w:rPr>
        <w:t xml:space="preserve"> nadawania certyfikatów </w:t>
      </w:r>
      <w:proofErr w:type="spellStart"/>
      <w:r w:rsidR="000D7A5C" w:rsidRPr="00AE3F1B">
        <w:rPr>
          <w:rFonts w:ascii="Garamond" w:hAnsi="Garamond"/>
          <w:sz w:val="24"/>
          <w:szCs w:val="24"/>
        </w:rPr>
        <w:t>ORed</w:t>
      </w:r>
      <w:proofErr w:type="spellEnd"/>
    </w:p>
    <w:p w14:paraId="71DFC679" w14:textId="7A1E5544" w:rsidR="000D7A5C" w:rsidRPr="00AE3F1B" w:rsidRDefault="000D7A5C" w:rsidP="00175586">
      <w:pPr>
        <w:spacing w:after="127" w:line="249" w:lineRule="auto"/>
        <w:ind w:left="567" w:right="-3" w:hanging="567"/>
        <w:jc w:val="left"/>
        <w:rPr>
          <w:rFonts w:ascii="Garamond" w:hAnsi="Garamond"/>
          <w:sz w:val="24"/>
          <w:szCs w:val="24"/>
        </w:rPr>
      </w:pPr>
      <w:r w:rsidRPr="00AE3F1B">
        <w:rPr>
          <w:rFonts w:ascii="Garamond" w:hAnsi="Garamond"/>
          <w:sz w:val="24"/>
          <w:szCs w:val="24"/>
        </w:rPr>
        <w:t xml:space="preserve">I.1.1. </w:t>
      </w:r>
      <w:r w:rsidR="002D2411">
        <w:rPr>
          <w:rFonts w:ascii="Garamond" w:hAnsi="Garamond"/>
          <w:sz w:val="24"/>
          <w:szCs w:val="24"/>
        </w:rPr>
        <w:tab/>
      </w:r>
      <w:proofErr w:type="spellStart"/>
      <w:r w:rsidRPr="00AE3F1B">
        <w:rPr>
          <w:rFonts w:ascii="Garamond" w:hAnsi="Garamond"/>
          <w:sz w:val="24"/>
          <w:szCs w:val="24"/>
        </w:rPr>
        <w:t>ORed</w:t>
      </w:r>
      <w:proofErr w:type="spellEnd"/>
      <w:r w:rsidRPr="00AE3F1B">
        <w:rPr>
          <w:rFonts w:ascii="Garamond" w:hAnsi="Garamond"/>
          <w:sz w:val="24"/>
          <w:szCs w:val="24"/>
        </w:rPr>
        <w:t>, aby mógł uczestniczyć w świadczeniu usługi interwencyjnej ofertowej redukcji poboru</w:t>
      </w:r>
      <w:r w:rsidR="005A0F13">
        <w:rPr>
          <w:rFonts w:ascii="Garamond" w:hAnsi="Garamond"/>
          <w:sz w:val="24"/>
          <w:szCs w:val="24"/>
        </w:rPr>
        <w:t xml:space="preserve"> </w:t>
      </w:r>
      <w:r w:rsidRPr="00AE3F1B">
        <w:rPr>
          <w:rFonts w:ascii="Garamond" w:hAnsi="Garamond"/>
          <w:sz w:val="24"/>
          <w:szCs w:val="24"/>
        </w:rPr>
        <w:t xml:space="preserve">mocy przez odbiorców na polecenie OSP musi posiadać Certyfikat dla </w:t>
      </w:r>
      <w:proofErr w:type="spellStart"/>
      <w:r w:rsidRPr="00AE3F1B">
        <w:rPr>
          <w:rFonts w:ascii="Garamond" w:hAnsi="Garamond"/>
          <w:sz w:val="24"/>
          <w:szCs w:val="24"/>
        </w:rPr>
        <w:t>ORed</w:t>
      </w:r>
      <w:proofErr w:type="spellEnd"/>
      <w:r w:rsidRPr="00AE3F1B">
        <w:rPr>
          <w:rFonts w:ascii="Garamond" w:hAnsi="Garamond"/>
          <w:sz w:val="24"/>
          <w:szCs w:val="24"/>
        </w:rPr>
        <w:t xml:space="preserve"> oraz status „</w:t>
      </w:r>
      <w:proofErr w:type="spellStart"/>
      <w:r w:rsidRPr="00AE3F1B">
        <w:rPr>
          <w:rFonts w:ascii="Garamond" w:hAnsi="Garamond"/>
          <w:sz w:val="24"/>
          <w:szCs w:val="24"/>
        </w:rPr>
        <w:t>ORed</w:t>
      </w:r>
      <w:proofErr w:type="spellEnd"/>
      <w:r w:rsidRPr="00AE3F1B">
        <w:rPr>
          <w:rFonts w:ascii="Garamond" w:hAnsi="Garamond"/>
          <w:sz w:val="24"/>
          <w:szCs w:val="24"/>
        </w:rPr>
        <w:t xml:space="preserve"> aktywny", uzyskane na zasadach określonych poniżej. Zasady certyfikowania </w:t>
      </w:r>
      <w:proofErr w:type="spellStart"/>
      <w:r w:rsidRPr="00AE3F1B">
        <w:rPr>
          <w:rFonts w:ascii="Garamond" w:hAnsi="Garamond"/>
          <w:sz w:val="24"/>
          <w:szCs w:val="24"/>
        </w:rPr>
        <w:t>ORed</w:t>
      </w:r>
      <w:proofErr w:type="spellEnd"/>
      <w:r w:rsidR="005A0F13">
        <w:rPr>
          <w:rFonts w:ascii="Garamond" w:hAnsi="Garamond"/>
          <w:sz w:val="24"/>
          <w:szCs w:val="24"/>
        </w:rPr>
        <w:t xml:space="preserve"> </w:t>
      </w:r>
      <w:r w:rsidRPr="00AE3F1B">
        <w:rPr>
          <w:rFonts w:ascii="Garamond" w:hAnsi="Garamond"/>
          <w:sz w:val="24"/>
          <w:szCs w:val="24"/>
        </w:rPr>
        <w:t>p</w:t>
      </w:r>
      <w:r w:rsidR="005A0F13">
        <w:rPr>
          <w:rFonts w:ascii="Garamond" w:hAnsi="Garamond"/>
          <w:sz w:val="24"/>
          <w:szCs w:val="24"/>
        </w:rPr>
        <w:t>ołączonych</w:t>
      </w:r>
      <w:r w:rsidRPr="00AE3F1B">
        <w:rPr>
          <w:rFonts w:ascii="Garamond" w:hAnsi="Garamond"/>
          <w:sz w:val="24"/>
          <w:szCs w:val="24"/>
        </w:rPr>
        <w:t xml:space="preserve"> do sieci przesyłowej albo jednocześnie do sieci przesyłowej i dystrybucyjnej</w:t>
      </w:r>
      <w:r w:rsidR="005A0F13">
        <w:rPr>
          <w:rFonts w:ascii="Garamond" w:hAnsi="Garamond"/>
          <w:sz w:val="24"/>
          <w:szCs w:val="24"/>
        </w:rPr>
        <w:t xml:space="preserve"> </w:t>
      </w:r>
      <w:r w:rsidRPr="00AE3F1B">
        <w:rPr>
          <w:rFonts w:ascii="Garamond" w:hAnsi="Garamond"/>
          <w:sz w:val="24"/>
          <w:szCs w:val="24"/>
        </w:rPr>
        <w:t>określa WDB.</w:t>
      </w:r>
    </w:p>
    <w:p w14:paraId="30CE06F2" w14:textId="6FA06B5B" w:rsidR="000D7A5C" w:rsidRPr="00AE3F1B" w:rsidRDefault="000D7A5C" w:rsidP="00175586">
      <w:pPr>
        <w:spacing w:after="119" w:line="249" w:lineRule="auto"/>
        <w:ind w:left="567" w:right="-3" w:hanging="567"/>
        <w:jc w:val="left"/>
        <w:rPr>
          <w:rFonts w:ascii="Garamond" w:hAnsi="Garamond"/>
          <w:sz w:val="24"/>
          <w:szCs w:val="24"/>
        </w:rPr>
      </w:pPr>
      <w:r w:rsidRPr="00AE3F1B">
        <w:rPr>
          <w:rFonts w:ascii="Garamond" w:hAnsi="Garamond"/>
          <w:sz w:val="24"/>
          <w:szCs w:val="24"/>
        </w:rPr>
        <w:t xml:space="preserve">I.1.2. </w:t>
      </w:r>
      <w:r w:rsidR="002D2411">
        <w:rPr>
          <w:rFonts w:ascii="Garamond" w:hAnsi="Garamond"/>
          <w:sz w:val="24"/>
          <w:szCs w:val="24"/>
        </w:rPr>
        <w:tab/>
      </w:r>
      <w:r w:rsidRPr="00AE3F1B">
        <w:rPr>
          <w:rFonts w:ascii="Garamond" w:hAnsi="Garamond"/>
          <w:sz w:val="24"/>
          <w:szCs w:val="24"/>
        </w:rPr>
        <w:t xml:space="preserve">Certyfikowaniu podlega </w:t>
      </w:r>
      <w:proofErr w:type="spellStart"/>
      <w:r w:rsidRPr="00AE3F1B">
        <w:rPr>
          <w:rFonts w:ascii="Garamond" w:hAnsi="Garamond"/>
          <w:sz w:val="24"/>
          <w:szCs w:val="24"/>
        </w:rPr>
        <w:t>ORed</w:t>
      </w:r>
      <w:proofErr w:type="spellEnd"/>
      <w:r w:rsidRPr="00AE3F1B">
        <w:rPr>
          <w:rFonts w:ascii="Garamond" w:hAnsi="Garamond"/>
          <w:sz w:val="24"/>
          <w:szCs w:val="24"/>
        </w:rPr>
        <w:t xml:space="preserve"> przyłączony do sieci dystrybucyjnej, dla którego przynajmniej jedno PPE przyłączone jest do sieci o napięciu znamionowym powyżej 1kV. Dopuszcza się, </w:t>
      </w:r>
      <w:r w:rsidRPr="00AE3F1B">
        <w:rPr>
          <w:rFonts w:ascii="Garamond" w:hAnsi="Garamond"/>
          <w:sz w:val="24"/>
          <w:szCs w:val="24"/>
        </w:rPr>
        <w:br/>
        <w:t xml:space="preserve">aby </w:t>
      </w:r>
      <w:proofErr w:type="spellStart"/>
      <w:r w:rsidRPr="00AE3F1B">
        <w:rPr>
          <w:rFonts w:ascii="Garamond" w:hAnsi="Garamond"/>
          <w:sz w:val="24"/>
          <w:szCs w:val="24"/>
        </w:rPr>
        <w:t>ORed</w:t>
      </w:r>
      <w:proofErr w:type="spellEnd"/>
      <w:r w:rsidRPr="00AE3F1B">
        <w:rPr>
          <w:rFonts w:ascii="Garamond" w:hAnsi="Garamond"/>
          <w:sz w:val="24"/>
          <w:szCs w:val="24"/>
        </w:rPr>
        <w:t xml:space="preserve">, poza PPE przyłączonymi do sieci dystrybucyjnej o napięciu znamionowym powyżej </w:t>
      </w:r>
      <w:r w:rsidRPr="00AE3F1B">
        <w:rPr>
          <w:rFonts w:ascii="Garamond" w:hAnsi="Garamond"/>
          <w:sz w:val="24"/>
          <w:szCs w:val="24"/>
        </w:rPr>
        <w:br/>
        <w:t>1kV, posiadał również dodatkowo PPE przył</w:t>
      </w:r>
      <w:r w:rsidR="00B4584F" w:rsidRPr="00AE3F1B">
        <w:rPr>
          <w:rFonts w:ascii="Garamond" w:hAnsi="Garamond"/>
          <w:sz w:val="24"/>
          <w:szCs w:val="24"/>
        </w:rPr>
        <w:t>ą</w:t>
      </w:r>
      <w:r w:rsidRPr="00AE3F1B">
        <w:rPr>
          <w:rFonts w:ascii="Garamond" w:hAnsi="Garamond"/>
          <w:sz w:val="24"/>
          <w:szCs w:val="24"/>
        </w:rPr>
        <w:t xml:space="preserve">czone do sieci o napięciu znamionowym poniżej </w:t>
      </w:r>
      <w:r w:rsidR="006316A5">
        <w:rPr>
          <w:rFonts w:ascii="Garamond" w:hAnsi="Garamond"/>
          <w:sz w:val="24"/>
          <w:szCs w:val="24"/>
        </w:rPr>
        <w:br/>
      </w:r>
      <w:r w:rsidRPr="00AE3F1B">
        <w:rPr>
          <w:rFonts w:ascii="Garamond" w:hAnsi="Garamond"/>
          <w:sz w:val="24"/>
          <w:szCs w:val="24"/>
        </w:rPr>
        <w:t xml:space="preserve">1kV, o ile spełniają one wymagania określone w pkt. </w:t>
      </w:r>
      <w:r w:rsidR="00910D2B">
        <w:rPr>
          <w:rFonts w:ascii="Garamond" w:hAnsi="Garamond"/>
          <w:sz w:val="24"/>
          <w:szCs w:val="24"/>
        </w:rPr>
        <w:t>I</w:t>
      </w:r>
      <w:r w:rsidRPr="00AE3F1B">
        <w:rPr>
          <w:rFonts w:ascii="Garamond" w:hAnsi="Garamond"/>
          <w:sz w:val="24"/>
          <w:szCs w:val="24"/>
        </w:rPr>
        <w:t xml:space="preserve">.1.9. ppkt. 4) </w:t>
      </w:r>
      <w:r w:rsidR="00910D2B">
        <w:rPr>
          <w:rFonts w:ascii="Garamond" w:hAnsi="Garamond"/>
          <w:sz w:val="24"/>
          <w:szCs w:val="24"/>
        </w:rPr>
        <w:t>i</w:t>
      </w:r>
      <w:r w:rsidRPr="00AE3F1B">
        <w:rPr>
          <w:rFonts w:ascii="Garamond" w:hAnsi="Garamond"/>
          <w:sz w:val="24"/>
          <w:szCs w:val="24"/>
        </w:rPr>
        <w:t xml:space="preserve"> 5).</w:t>
      </w:r>
    </w:p>
    <w:p w14:paraId="6AED3679" w14:textId="2FEFCCE9" w:rsidR="000D7A5C" w:rsidRPr="00AE3F1B" w:rsidRDefault="000D7A5C" w:rsidP="002D2411">
      <w:pPr>
        <w:ind w:left="567" w:right="-3" w:hanging="567"/>
        <w:jc w:val="left"/>
        <w:rPr>
          <w:rFonts w:ascii="Garamond" w:hAnsi="Garamond"/>
          <w:sz w:val="24"/>
          <w:szCs w:val="24"/>
        </w:rPr>
      </w:pPr>
      <w:r w:rsidRPr="00AE3F1B">
        <w:rPr>
          <w:rFonts w:ascii="Garamond" w:hAnsi="Garamond"/>
          <w:sz w:val="24"/>
          <w:szCs w:val="24"/>
        </w:rPr>
        <w:t xml:space="preserve">I.1.3. </w:t>
      </w:r>
      <w:r w:rsidR="002D2411">
        <w:rPr>
          <w:rFonts w:ascii="Garamond" w:hAnsi="Garamond"/>
          <w:sz w:val="24"/>
          <w:szCs w:val="24"/>
        </w:rPr>
        <w:tab/>
      </w:r>
      <w:proofErr w:type="spellStart"/>
      <w:r w:rsidRPr="00AE3F1B">
        <w:rPr>
          <w:rFonts w:ascii="Garamond" w:hAnsi="Garamond"/>
          <w:sz w:val="24"/>
          <w:szCs w:val="24"/>
        </w:rPr>
        <w:t>ORed</w:t>
      </w:r>
      <w:proofErr w:type="spellEnd"/>
      <w:r w:rsidRPr="00AE3F1B">
        <w:rPr>
          <w:rFonts w:ascii="Garamond" w:hAnsi="Garamond"/>
          <w:sz w:val="24"/>
          <w:szCs w:val="24"/>
        </w:rPr>
        <w:t xml:space="preserve"> jest zdefiniowany na zasobach odbiorczych i określony przez jedno lub kilka PPE,</w:t>
      </w:r>
      <w:r w:rsidR="002D2411">
        <w:rPr>
          <w:rFonts w:ascii="Garamond" w:hAnsi="Garamond"/>
          <w:sz w:val="24"/>
          <w:szCs w:val="24"/>
        </w:rPr>
        <w:t xml:space="preserve"> </w:t>
      </w:r>
      <w:r w:rsidRPr="00AE3F1B">
        <w:rPr>
          <w:rFonts w:ascii="Garamond" w:hAnsi="Garamond"/>
          <w:sz w:val="24"/>
          <w:szCs w:val="24"/>
        </w:rPr>
        <w:t xml:space="preserve">tworzących kompletny układ zasilania danego </w:t>
      </w:r>
      <w:proofErr w:type="spellStart"/>
      <w:r w:rsidRPr="00AE3F1B">
        <w:rPr>
          <w:rFonts w:ascii="Garamond" w:hAnsi="Garamond"/>
          <w:sz w:val="24"/>
          <w:szCs w:val="24"/>
        </w:rPr>
        <w:t>ORed</w:t>
      </w:r>
      <w:proofErr w:type="spellEnd"/>
      <w:r w:rsidRPr="00AE3F1B">
        <w:rPr>
          <w:rFonts w:ascii="Garamond" w:hAnsi="Garamond"/>
          <w:sz w:val="24"/>
          <w:szCs w:val="24"/>
        </w:rPr>
        <w:t xml:space="preserve"> pod jednym adresem (w jednej lokalizacji),</w:t>
      </w:r>
      <w:r w:rsidR="002D2411">
        <w:rPr>
          <w:rFonts w:ascii="Garamond" w:hAnsi="Garamond"/>
          <w:sz w:val="24"/>
          <w:szCs w:val="24"/>
        </w:rPr>
        <w:t xml:space="preserve"> </w:t>
      </w:r>
      <w:r w:rsidRPr="00AE3F1B">
        <w:rPr>
          <w:rFonts w:ascii="Garamond" w:hAnsi="Garamond"/>
          <w:sz w:val="24"/>
          <w:szCs w:val="24"/>
        </w:rPr>
        <w:t xml:space="preserve">obejmujący wszystkie miejsca przyłączenia </w:t>
      </w:r>
      <w:proofErr w:type="spellStart"/>
      <w:r w:rsidRPr="00AE3F1B">
        <w:rPr>
          <w:rFonts w:ascii="Garamond" w:hAnsi="Garamond"/>
          <w:sz w:val="24"/>
          <w:szCs w:val="24"/>
        </w:rPr>
        <w:t>ORed</w:t>
      </w:r>
      <w:proofErr w:type="spellEnd"/>
      <w:r w:rsidRPr="00AE3F1B">
        <w:rPr>
          <w:rFonts w:ascii="Garamond" w:hAnsi="Garamond"/>
          <w:sz w:val="24"/>
          <w:szCs w:val="24"/>
        </w:rPr>
        <w:t xml:space="preserve"> do sieci dystrybucyjnej.</w:t>
      </w:r>
    </w:p>
    <w:p w14:paraId="294FA184" w14:textId="1F92D5DE" w:rsidR="000D7A5C" w:rsidRPr="00AE3F1B" w:rsidRDefault="000D7A5C" w:rsidP="00175586">
      <w:pPr>
        <w:spacing w:after="172" w:line="260" w:lineRule="auto"/>
        <w:ind w:left="567" w:right="-3" w:hanging="567"/>
        <w:jc w:val="left"/>
        <w:rPr>
          <w:rFonts w:ascii="Garamond" w:hAnsi="Garamond"/>
          <w:sz w:val="24"/>
          <w:szCs w:val="24"/>
        </w:rPr>
      </w:pPr>
      <w:r w:rsidRPr="00AE3F1B">
        <w:rPr>
          <w:rFonts w:ascii="Garamond" w:hAnsi="Garamond"/>
          <w:sz w:val="24"/>
          <w:szCs w:val="24"/>
        </w:rPr>
        <w:t xml:space="preserve">I.1.4. </w:t>
      </w:r>
      <w:r w:rsidR="002D2411">
        <w:rPr>
          <w:rFonts w:ascii="Garamond" w:hAnsi="Garamond"/>
          <w:sz w:val="24"/>
          <w:szCs w:val="24"/>
        </w:rPr>
        <w:tab/>
      </w:r>
      <w:r w:rsidRPr="00AE3F1B">
        <w:rPr>
          <w:rFonts w:ascii="Garamond" w:hAnsi="Garamond"/>
          <w:sz w:val="24"/>
          <w:szCs w:val="24"/>
        </w:rPr>
        <w:t xml:space="preserve">W przypadku, gdy układ zasilania </w:t>
      </w:r>
      <w:proofErr w:type="spellStart"/>
      <w:r w:rsidRPr="00AE3F1B">
        <w:rPr>
          <w:rFonts w:ascii="Garamond" w:hAnsi="Garamond"/>
          <w:sz w:val="24"/>
          <w:szCs w:val="24"/>
        </w:rPr>
        <w:t>ORed</w:t>
      </w:r>
      <w:proofErr w:type="spellEnd"/>
      <w:r w:rsidRPr="00AE3F1B">
        <w:rPr>
          <w:rFonts w:ascii="Garamond" w:hAnsi="Garamond"/>
          <w:sz w:val="24"/>
          <w:szCs w:val="24"/>
        </w:rPr>
        <w:t xml:space="preserve"> składa się z kilku PPE, wówczas ilość dostaw energii elektrycznej do </w:t>
      </w:r>
      <w:proofErr w:type="spellStart"/>
      <w:r w:rsidRPr="00AE3F1B">
        <w:rPr>
          <w:rFonts w:ascii="Garamond" w:hAnsi="Garamond"/>
          <w:sz w:val="24"/>
          <w:szCs w:val="24"/>
        </w:rPr>
        <w:t>ORed</w:t>
      </w:r>
      <w:proofErr w:type="spellEnd"/>
      <w:r w:rsidRPr="00AE3F1B">
        <w:rPr>
          <w:rFonts w:ascii="Garamond" w:hAnsi="Garamond"/>
          <w:sz w:val="24"/>
          <w:szCs w:val="24"/>
        </w:rPr>
        <w:t xml:space="preserve"> jest wyznaczana przez </w:t>
      </w:r>
      <w:r w:rsidR="002D2411" w:rsidRPr="00AE3F1B">
        <w:rPr>
          <w:rFonts w:ascii="Garamond" w:hAnsi="Garamond"/>
          <w:sz w:val="24"/>
          <w:szCs w:val="24"/>
        </w:rPr>
        <w:t>OSP</w:t>
      </w:r>
      <w:r w:rsidRPr="00AE3F1B">
        <w:rPr>
          <w:rFonts w:ascii="Garamond" w:hAnsi="Garamond"/>
          <w:sz w:val="24"/>
          <w:szCs w:val="24"/>
        </w:rPr>
        <w:t xml:space="preserve"> jako suma dostaw energii elektrycznej dla tych PPE.</w:t>
      </w:r>
    </w:p>
    <w:p w14:paraId="6EF40B9C" w14:textId="50999D6C" w:rsidR="000D7A5C" w:rsidRPr="00AE3F1B" w:rsidRDefault="000D7A5C" w:rsidP="002D2411">
      <w:pPr>
        <w:spacing w:after="64"/>
        <w:ind w:left="567" w:right="-3"/>
        <w:jc w:val="left"/>
        <w:rPr>
          <w:rFonts w:ascii="Garamond" w:hAnsi="Garamond"/>
          <w:sz w:val="24"/>
          <w:szCs w:val="24"/>
        </w:rPr>
      </w:pPr>
      <w:r w:rsidRPr="00AE3F1B">
        <w:rPr>
          <w:rFonts w:ascii="Garamond" w:hAnsi="Garamond"/>
          <w:sz w:val="24"/>
          <w:szCs w:val="24"/>
        </w:rPr>
        <w:t xml:space="preserve">Powyższe nie dotyczy przypadku, gdy do sieci ID Sp. z o.o. będącego odbiorcą świadczącym usługę interwencyjnej ofertowej redukcji poboru mocy przez odbiorców na polecenie OSP przyłączone są inne podmioty świadczące tę usługę. W takim przypadku ilość dostaw energii elektrycznej dla </w:t>
      </w:r>
      <w:proofErr w:type="spellStart"/>
      <w:r w:rsidRPr="00AE3F1B">
        <w:rPr>
          <w:rFonts w:ascii="Garamond" w:hAnsi="Garamond"/>
          <w:sz w:val="24"/>
          <w:szCs w:val="24"/>
        </w:rPr>
        <w:t>ORed</w:t>
      </w:r>
      <w:proofErr w:type="spellEnd"/>
      <w:r w:rsidRPr="00AE3F1B">
        <w:rPr>
          <w:rFonts w:ascii="Garamond" w:hAnsi="Garamond"/>
          <w:sz w:val="24"/>
          <w:szCs w:val="24"/>
        </w:rPr>
        <w:t xml:space="preserve"> odbiorcy będącego ID Sp. z o.o. jest pomniejszana o sumę ilości dostaw </w:t>
      </w:r>
      <w:r w:rsidRPr="00AE3F1B">
        <w:rPr>
          <w:rFonts w:ascii="Garamond" w:hAnsi="Garamond"/>
          <w:sz w:val="24"/>
          <w:szCs w:val="24"/>
        </w:rPr>
        <w:lastRenderedPageBreak/>
        <w:t xml:space="preserve">energii elektrycznej dla </w:t>
      </w:r>
      <w:proofErr w:type="spellStart"/>
      <w:r w:rsidRPr="00AE3F1B">
        <w:rPr>
          <w:rFonts w:ascii="Garamond" w:hAnsi="Garamond"/>
          <w:sz w:val="24"/>
          <w:szCs w:val="24"/>
        </w:rPr>
        <w:t>ORed</w:t>
      </w:r>
      <w:proofErr w:type="spellEnd"/>
      <w:r w:rsidRPr="00AE3F1B">
        <w:rPr>
          <w:rFonts w:ascii="Garamond" w:hAnsi="Garamond"/>
          <w:sz w:val="24"/>
          <w:szCs w:val="24"/>
        </w:rPr>
        <w:t xml:space="preserve"> innych podmiotów przyłączonych do sieci dystrybucyjnej </w:t>
      </w:r>
      <w:r w:rsidR="000F1399" w:rsidRPr="00AE3F1B">
        <w:rPr>
          <w:rFonts w:ascii="Garamond" w:hAnsi="Garamond"/>
          <w:sz w:val="24"/>
          <w:szCs w:val="24"/>
        </w:rPr>
        <w:br/>
      </w:r>
      <w:r w:rsidRPr="00AE3F1B">
        <w:rPr>
          <w:rFonts w:ascii="Garamond" w:hAnsi="Garamond"/>
          <w:sz w:val="24"/>
          <w:szCs w:val="24"/>
        </w:rPr>
        <w:t xml:space="preserve">ID Sp. </w:t>
      </w:r>
      <w:r w:rsidR="002D2411" w:rsidRPr="00AE3F1B">
        <w:rPr>
          <w:rFonts w:ascii="Garamond" w:hAnsi="Garamond"/>
          <w:sz w:val="24"/>
          <w:szCs w:val="24"/>
        </w:rPr>
        <w:t>z o.o.</w:t>
      </w:r>
    </w:p>
    <w:p w14:paraId="236E4487" w14:textId="77777777" w:rsidR="000D7A5C" w:rsidRPr="00AE3F1B" w:rsidRDefault="000D7A5C" w:rsidP="00175586">
      <w:pPr>
        <w:spacing w:after="92" w:line="249" w:lineRule="auto"/>
        <w:ind w:left="567" w:right="-3" w:hanging="567"/>
        <w:jc w:val="left"/>
        <w:rPr>
          <w:rFonts w:ascii="Garamond" w:hAnsi="Garamond"/>
          <w:sz w:val="24"/>
          <w:szCs w:val="24"/>
        </w:rPr>
      </w:pPr>
      <w:r w:rsidRPr="00AE3F1B">
        <w:rPr>
          <w:rFonts w:ascii="Garamond" w:hAnsi="Garamond"/>
          <w:sz w:val="24"/>
          <w:szCs w:val="24"/>
        </w:rPr>
        <w:t xml:space="preserve">I.1.5. Certyfikat dla </w:t>
      </w:r>
      <w:proofErr w:type="spellStart"/>
      <w:r w:rsidRPr="00AE3F1B">
        <w:rPr>
          <w:rFonts w:ascii="Garamond" w:hAnsi="Garamond"/>
          <w:sz w:val="24"/>
          <w:szCs w:val="24"/>
        </w:rPr>
        <w:t>ORed</w:t>
      </w:r>
      <w:proofErr w:type="spellEnd"/>
      <w:r w:rsidRPr="00AE3F1B">
        <w:rPr>
          <w:rFonts w:ascii="Garamond" w:hAnsi="Garamond"/>
          <w:sz w:val="24"/>
          <w:szCs w:val="24"/>
        </w:rPr>
        <w:t xml:space="preserve"> jest wydawany przez PGE Dystrybucja S.A., jeśli </w:t>
      </w:r>
      <w:proofErr w:type="spellStart"/>
      <w:r w:rsidRPr="00AE3F1B">
        <w:rPr>
          <w:rFonts w:ascii="Garamond" w:hAnsi="Garamond"/>
          <w:sz w:val="24"/>
          <w:szCs w:val="24"/>
        </w:rPr>
        <w:t>ORed</w:t>
      </w:r>
      <w:proofErr w:type="spellEnd"/>
      <w:r w:rsidRPr="00AE3F1B">
        <w:rPr>
          <w:rFonts w:ascii="Garamond" w:hAnsi="Garamond"/>
          <w:sz w:val="24"/>
          <w:szCs w:val="24"/>
        </w:rPr>
        <w:t xml:space="preserve"> jest przyłączony wyłącznie do sieci PGE Dystrybucja S.A. lub do sieci PGE Dystrybucja S.A. i ID Sp. z o.o., którego sieć jest połączona z siecią PGE Dystrybucja S.A.</w:t>
      </w:r>
    </w:p>
    <w:p w14:paraId="5847B566" w14:textId="77777777" w:rsidR="000D7A5C" w:rsidRPr="00AE3F1B" w:rsidRDefault="000D7A5C" w:rsidP="005A0F13">
      <w:pPr>
        <w:ind w:left="567" w:right="-3"/>
        <w:jc w:val="left"/>
        <w:rPr>
          <w:rFonts w:ascii="Garamond" w:hAnsi="Garamond"/>
          <w:sz w:val="24"/>
          <w:szCs w:val="24"/>
        </w:rPr>
      </w:pPr>
      <w:r w:rsidRPr="00AE3F1B">
        <w:rPr>
          <w:rFonts w:ascii="Garamond" w:hAnsi="Garamond"/>
          <w:sz w:val="24"/>
          <w:szCs w:val="24"/>
        </w:rPr>
        <w:t xml:space="preserve">W przypadku, gdy </w:t>
      </w:r>
      <w:proofErr w:type="spellStart"/>
      <w:r w:rsidRPr="00AE3F1B">
        <w:rPr>
          <w:rFonts w:ascii="Garamond" w:hAnsi="Garamond"/>
          <w:sz w:val="24"/>
          <w:szCs w:val="24"/>
        </w:rPr>
        <w:t>ORed</w:t>
      </w:r>
      <w:proofErr w:type="spellEnd"/>
      <w:r w:rsidRPr="00AE3F1B">
        <w:rPr>
          <w:rFonts w:ascii="Garamond" w:hAnsi="Garamond"/>
          <w:sz w:val="24"/>
          <w:szCs w:val="24"/>
        </w:rPr>
        <w:t xml:space="preserve"> jest przyłączony wyłącznie do sieci ID Sp. z o.o., którego sieć jest połączona z siecią PGE Dystrybucja S.A., Certyfikat dla </w:t>
      </w:r>
      <w:proofErr w:type="spellStart"/>
      <w:r w:rsidRPr="00AE3F1B">
        <w:rPr>
          <w:rFonts w:ascii="Garamond" w:hAnsi="Garamond"/>
          <w:sz w:val="24"/>
          <w:szCs w:val="24"/>
        </w:rPr>
        <w:t>ORed</w:t>
      </w:r>
      <w:proofErr w:type="spellEnd"/>
      <w:r w:rsidRPr="00AE3F1B">
        <w:rPr>
          <w:rFonts w:ascii="Garamond" w:hAnsi="Garamond"/>
          <w:sz w:val="24"/>
          <w:szCs w:val="24"/>
        </w:rPr>
        <w:t xml:space="preserve">, wzorowany na wzorze Certyfikatu dla </w:t>
      </w:r>
      <w:proofErr w:type="spellStart"/>
      <w:r w:rsidRPr="00AE3F1B">
        <w:rPr>
          <w:rFonts w:ascii="Garamond" w:hAnsi="Garamond"/>
          <w:sz w:val="24"/>
          <w:szCs w:val="24"/>
        </w:rPr>
        <w:t>ORed</w:t>
      </w:r>
      <w:proofErr w:type="spellEnd"/>
      <w:r w:rsidRPr="00AE3F1B">
        <w:rPr>
          <w:rFonts w:ascii="Garamond" w:hAnsi="Garamond"/>
          <w:sz w:val="24"/>
          <w:szCs w:val="24"/>
        </w:rPr>
        <w:t xml:space="preserve">, o którym mowa w pkt </w:t>
      </w:r>
      <w:r w:rsidR="00417BE5" w:rsidRPr="00AE3F1B">
        <w:rPr>
          <w:rFonts w:ascii="Garamond" w:hAnsi="Garamond"/>
          <w:sz w:val="24"/>
          <w:szCs w:val="24"/>
        </w:rPr>
        <w:t>I</w:t>
      </w:r>
      <w:r w:rsidRPr="00AE3F1B">
        <w:rPr>
          <w:rFonts w:ascii="Garamond" w:hAnsi="Garamond"/>
          <w:sz w:val="24"/>
          <w:szCs w:val="24"/>
        </w:rPr>
        <w:t xml:space="preserve">.1.7., wystawia ID Sp. z o.o., w oparciu o pozytywnie zweryfikowany wniosek o wydanie Certyfikatu dla </w:t>
      </w:r>
      <w:proofErr w:type="spellStart"/>
      <w:r w:rsidRPr="00AE3F1B">
        <w:rPr>
          <w:rFonts w:ascii="Garamond" w:hAnsi="Garamond"/>
          <w:sz w:val="24"/>
          <w:szCs w:val="24"/>
        </w:rPr>
        <w:t>ORed</w:t>
      </w:r>
      <w:proofErr w:type="spellEnd"/>
      <w:r w:rsidRPr="00AE3F1B">
        <w:rPr>
          <w:rFonts w:ascii="Garamond" w:hAnsi="Garamond"/>
          <w:sz w:val="24"/>
          <w:szCs w:val="24"/>
        </w:rPr>
        <w:t xml:space="preserve"> i przekazuje do upoważnionego przez ID Sp. z o.o. PGE Dystrybucja S.A., celem rejestracji w systemie informatycznym OSP, dedykowanym usłudze redukcji zapotrzebowania na polecenie OSP.</w:t>
      </w:r>
    </w:p>
    <w:p w14:paraId="5206F966" w14:textId="78B9FF05" w:rsidR="000D7A5C" w:rsidRPr="00AE3F1B" w:rsidRDefault="000D7A5C" w:rsidP="005A0F13">
      <w:pPr>
        <w:ind w:left="567" w:right="-3"/>
        <w:jc w:val="left"/>
        <w:rPr>
          <w:rFonts w:ascii="Garamond" w:hAnsi="Garamond"/>
          <w:sz w:val="24"/>
          <w:szCs w:val="24"/>
        </w:rPr>
      </w:pPr>
      <w:r w:rsidRPr="00AE3F1B">
        <w:rPr>
          <w:rFonts w:ascii="Garamond" w:hAnsi="Garamond"/>
          <w:sz w:val="24"/>
          <w:szCs w:val="24"/>
        </w:rPr>
        <w:t xml:space="preserve">W ww. przypadku ID Sp. z o.o. przekazuje do PGE Dystrybucja S.A. również pełnomocnictwo zawierające umocowanie dla PGE Dystrybucja S.A. do rejestracji lub wygaszenia w systemie informatycznym OSP, dedykowanym usłudze redukcji zapotrzebowania na polecenie OSP, Certyfikatu dla </w:t>
      </w:r>
      <w:proofErr w:type="spellStart"/>
      <w:r w:rsidRPr="00AE3F1B">
        <w:rPr>
          <w:rFonts w:ascii="Garamond" w:hAnsi="Garamond"/>
          <w:sz w:val="24"/>
          <w:szCs w:val="24"/>
        </w:rPr>
        <w:t>ORed</w:t>
      </w:r>
      <w:proofErr w:type="spellEnd"/>
      <w:r w:rsidRPr="00AE3F1B">
        <w:rPr>
          <w:rFonts w:ascii="Garamond" w:hAnsi="Garamond"/>
          <w:sz w:val="24"/>
          <w:szCs w:val="24"/>
        </w:rPr>
        <w:t xml:space="preserve"> (wzorowanego na wzorze Certyfikatu dla </w:t>
      </w:r>
      <w:proofErr w:type="spellStart"/>
      <w:r w:rsidRPr="00AE3F1B">
        <w:rPr>
          <w:rFonts w:ascii="Garamond" w:hAnsi="Garamond"/>
          <w:sz w:val="24"/>
          <w:szCs w:val="24"/>
        </w:rPr>
        <w:t>ORed</w:t>
      </w:r>
      <w:proofErr w:type="spellEnd"/>
      <w:r w:rsidRPr="00AE3F1B">
        <w:rPr>
          <w:rFonts w:ascii="Garamond" w:hAnsi="Garamond"/>
          <w:sz w:val="24"/>
          <w:szCs w:val="24"/>
        </w:rPr>
        <w:t xml:space="preserve">, o którym mowa w pkt </w:t>
      </w:r>
      <w:r w:rsidR="00417BE5" w:rsidRPr="00AE3F1B">
        <w:rPr>
          <w:rFonts w:ascii="Garamond" w:hAnsi="Garamond"/>
          <w:sz w:val="24"/>
          <w:szCs w:val="24"/>
        </w:rPr>
        <w:t>I</w:t>
      </w:r>
      <w:r w:rsidRPr="00AE3F1B">
        <w:rPr>
          <w:rFonts w:ascii="Garamond" w:hAnsi="Garamond"/>
          <w:sz w:val="24"/>
          <w:szCs w:val="24"/>
        </w:rPr>
        <w:t>.1.7.), wystawionego przez ID.</w:t>
      </w:r>
    </w:p>
    <w:p w14:paraId="709A94BE" w14:textId="77777777" w:rsidR="000D7A5C" w:rsidRPr="00AE3F1B" w:rsidRDefault="000D7A5C" w:rsidP="005A0F13">
      <w:pPr>
        <w:ind w:left="567" w:right="-3"/>
        <w:jc w:val="left"/>
        <w:rPr>
          <w:rFonts w:ascii="Garamond" w:hAnsi="Garamond"/>
          <w:sz w:val="24"/>
          <w:szCs w:val="24"/>
        </w:rPr>
      </w:pPr>
      <w:r w:rsidRPr="00AE3F1B">
        <w:rPr>
          <w:rFonts w:ascii="Garamond" w:hAnsi="Garamond"/>
          <w:sz w:val="24"/>
          <w:szCs w:val="24"/>
        </w:rPr>
        <w:t xml:space="preserve">Za datę wydania Certyfikatu dla </w:t>
      </w:r>
      <w:proofErr w:type="spellStart"/>
      <w:r w:rsidRPr="00AE3F1B">
        <w:rPr>
          <w:rFonts w:ascii="Garamond" w:hAnsi="Garamond"/>
          <w:sz w:val="24"/>
          <w:szCs w:val="24"/>
        </w:rPr>
        <w:t>ORed</w:t>
      </w:r>
      <w:proofErr w:type="spellEnd"/>
      <w:r w:rsidRPr="00AE3F1B">
        <w:rPr>
          <w:rFonts w:ascii="Garamond" w:hAnsi="Garamond"/>
          <w:sz w:val="24"/>
          <w:szCs w:val="24"/>
        </w:rPr>
        <w:t xml:space="preserve"> uznaje się datę jego rejestracji przez PGE Dystrybucja S.A. w powyższym systemie informatycznym OSP.</w:t>
      </w:r>
    </w:p>
    <w:p w14:paraId="7549434B" w14:textId="77777777" w:rsidR="000D7A5C" w:rsidRPr="00AE3F1B" w:rsidRDefault="000D7A5C" w:rsidP="005A0F13">
      <w:pPr>
        <w:ind w:left="567" w:right="-3"/>
        <w:jc w:val="left"/>
        <w:rPr>
          <w:rFonts w:ascii="Garamond" w:hAnsi="Garamond"/>
          <w:sz w:val="24"/>
          <w:szCs w:val="24"/>
        </w:rPr>
      </w:pPr>
      <w:r w:rsidRPr="00AE3F1B">
        <w:rPr>
          <w:rFonts w:ascii="Garamond" w:hAnsi="Garamond"/>
          <w:sz w:val="24"/>
          <w:szCs w:val="24"/>
        </w:rPr>
        <w:t xml:space="preserve">Jeśli </w:t>
      </w:r>
      <w:proofErr w:type="spellStart"/>
      <w:r w:rsidRPr="00AE3F1B">
        <w:rPr>
          <w:rFonts w:ascii="Garamond" w:hAnsi="Garamond"/>
          <w:sz w:val="24"/>
          <w:szCs w:val="24"/>
        </w:rPr>
        <w:t>ORed</w:t>
      </w:r>
      <w:proofErr w:type="spellEnd"/>
      <w:r w:rsidRPr="00AE3F1B">
        <w:rPr>
          <w:rFonts w:ascii="Garamond" w:hAnsi="Garamond"/>
          <w:sz w:val="24"/>
          <w:szCs w:val="24"/>
        </w:rPr>
        <w:t xml:space="preserve"> jest przyłączony do sieci ID Sp. z o.o. zlokalizowanej na obszarze sieci kilku OSDp, Certyfikat dla </w:t>
      </w:r>
      <w:proofErr w:type="spellStart"/>
      <w:r w:rsidRPr="00AE3F1B">
        <w:rPr>
          <w:rFonts w:ascii="Garamond" w:hAnsi="Garamond"/>
          <w:sz w:val="24"/>
          <w:szCs w:val="24"/>
        </w:rPr>
        <w:t>ORed</w:t>
      </w:r>
      <w:proofErr w:type="spellEnd"/>
      <w:r w:rsidRPr="00AE3F1B">
        <w:rPr>
          <w:rFonts w:ascii="Garamond" w:hAnsi="Garamond"/>
          <w:sz w:val="24"/>
          <w:szCs w:val="24"/>
        </w:rPr>
        <w:t xml:space="preserve"> wystawia ID Sp. z o.o. i przekazuje do jednego upoważnionego przez siebie OSDp, na którego obszarze działania jest położony </w:t>
      </w:r>
      <w:proofErr w:type="spellStart"/>
      <w:r w:rsidRPr="00AE3F1B">
        <w:rPr>
          <w:rFonts w:ascii="Garamond" w:hAnsi="Garamond"/>
          <w:sz w:val="24"/>
          <w:szCs w:val="24"/>
        </w:rPr>
        <w:t>ORed</w:t>
      </w:r>
      <w:proofErr w:type="spellEnd"/>
      <w:r w:rsidRPr="00AE3F1B">
        <w:rPr>
          <w:rFonts w:ascii="Garamond" w:hAnsi="Garamond"/>
          <w:sz w:val="24"/>
          <w:szCs w:val="24"/>
        </w:rPr>
        <w:t>, celem rejestracji w systemie informatycznym OSP dedykowanym usłudze redukcji zapotrzebowania.</w:t>
      </w:r>
    </w:p>
    <w:p w14:paraId="16A78145" w14:textId="77777777" w:rsidR="000D7A5C" w:rsidRPr="00AE3F1B" w:rsidRDefault="000D7A5C" w:rsidP="00175586">
      <w:pPr>
        <w:spacing w:after="137" w:line="249" w:lineRule="auto"/>
        <w:ind w:left="567" w:right="-3" w:hanging="567"/>
        <w:jc w:val="left"/>
        <w:rPr>
          <w:rFonts w:ascii="Garamond" w:hAnsi="Garamond"/>
          <w:sz w:val="24"/>
          <w:szCs w:val="24"/>
        </w:rPr>
      </w:pPr>
      <w:r w:rsidRPr="00AE3F1B">
        <w:rPr>
          <w:rFonts w:ascii="Garamond" w:hAnsi="Garamond"/>
          <w:sz w:val="24"/>
          <w:szCs w:val="24"/>
        </w:rPr>
        <w:t xml:space="preserve">I.1.6. Odbiorca w </w:t>
      </w:r>
      <w:proofErr w:type="spellStart"/>
      <w:r w:rsidRPr="00AE3F1B">
        <w:rPr>
          <w:rFonts w:ascii="Garamond" w:hAnsi="Garamond"/>
          <w:sz w:val="24"/>
          <w:szCs w:val="24"/>
        </w:rPr>
        <w:t>ORed</w:t>
      </w:r>
      <w:proofErr w:type="spellEnd"/>
      <w:r w:rsidRPr="00AE3F1B">
        <w:rPr>
          <w:rFonts w:ascii="Garamond" w:hAnsi="Garamond"/>
          <w:sz w:val="24"/>
          <w:szCs w:val="24"/>
        </w:rPr>
        <w:t xml:space="preserve"> lub upoważniony przez niego podmiot składa wniosek o wydanie Certyfikatu dla </w:t>
      </w:r>
      <w:proofErr w:type="spellStart"/>
      <w:r w:rsidRPr="00AE3F1B">
        <w:rPr>
          <w:rFonts w:ascii="Garamond" w:hAnsi="Garamond"/>
          <w:sz w:val="24"/>
          <w:szCs w:val="24"/>
        </w:rPr>
        <w:t>ORed</w:t>
      </w:r>
      <w:proofErr w:type="spellEnd"/>
      <w:r w:rsidRPr="00AE3F1B">
        <w:rPr>
          <w:rFonts w:ascii="Garamond" w:hAnsi="Garamond"/>
          <w:sz w:val="24"/>
          <w:szCs w:val="24"/>
        </w:rPr>
        <w:t xml:space="preserve"> do:</w:t>
      </w:r>
    </w:p>
    <w:p w14:paraId="3316F2A2" w14:textId="0BBEED26" w:rsidR="000D7A5C" w:rsidRPr="005A0F13" w:rsidRDefault="000D7A5C">
      <w:pPr>
        <w:pStyle w:val="Akapitzlist"/>
        <w:numPr>
          <w:ilvl w:val="0"/>
          <w:numId w:val="189"/>
        </w:numPr>
        <w:spacing w:after="15" w:line="249" w:lineRule="auto"/>
        <w:ind w:right="-3"/>
        <w:jc w:val="left"/>
        <w:rPr>
          <w:rFonts w:ascii="Garamond" w:hAnsi="Garamond"/>
          <w:sz w:val="24"/>
          <w:szCs w:val="24"/>
        </w:rPr>
      </w:pPr>
      <w:r w:rsidRPr="005A0F13">
        <w:rPr>
          <w:rFonts w:ascii="Garamond" w:hAnsi="Garamond"/>
          <w:sz w:val="24"/>
          <w:szCs w:val="24"/>
        </w:rPr>
        <w:t xml:space="preserve">PGE Dystrybucja S.A. </w:t>
      </w:r>
      <w:r w:rsidR="00D34B01">
        <w:rPr>
          <w:rFonts w:ascii="Garamond" w:hAnsi="Garamond"/>
          <w:sz w:val="24"/>
          <w:szCs w:val="24"/>
        </w:rPr>
        <w:t xml:space="preserve">- </w:t>
      </w:r>
      <w:r w:rsidRPr="005A0F13">
        <w:rPr>
          <w:rFonts w:ascii="Garamond" w:hAnsi="Garamond"/>
          <w:sz w:val="24"/>
          <w:szCs w:val="24"/>
        </w:rPr>
        <w:t xml:space="preserve">jeśli </w:t>
      </w:r>
      <w:proofErr w:type="spellStart"/>
      <w:r w:rsidRPr="005A0F13">
        <w:rPr>
          <w:rFonts w:ascii="Garamond" w:hAnsi="Garamond"/>
          <w:sz w:val="24"/>
          <w:szCs w:val="24"/>
        </w:rPr>
        <w:t>ORed</w:t>
      </w:r>
      <w:proofErr w:type="spellEnd"/>
      <w:r w:rsidRPr="005A0F13">
        <w:rPr>
          <w:rFonts w:ascii="Garamond" w:hAnsi="Garamond"/>
          <w:sz w:val="24"/>
          <w:szCs w:val="24"/>
        </w:rPr>
        <w:t xml:space="preserve"> posiada przynajmniej jedno PPE</w:t>
      </w:r>
      <w:r w:rsidR="00CE2DB8">
        <w:rPr>
          <w:rFonts w:ascii="Garamond" w:hAnsi="Garamond"/>
          <w:sz w:val="24"/>
          <w:szCs w:val="24"/>
        </w:rPr>
        <w:t xml:space="preserve"> </w:t>
      </w:r>
      <w:r w:rsidRPr="005A0F13">
        <w:rPr>
          <w:rFonts w:ascii="Garamond" w:hAnsi="Garamond"/>
          <w:sz w:val="24"/>
          <w:szCs w:val="24"/>
        </w:rPr>
        <w:t>w sieci dystrybucyjnej PGE Dystrybucja S.A.;</w:t>
      </w:r>
    </w:p>
    <w:p w14:paraId="1266FE08" w14:textId="6DA05120" w:rsidR="000D7A5C" w:rsidRPr="005A0F13" w:rsidRDefault="000D7A5C">
      <w:pPr>
        <w:pStyle w:val="Akapitzlist"/>
        <w:numPr>
          <w:ilvl w:val="0"/>
          <w:numId w:val="189"/>
        </w:numPr>
        <w:spacing w:line="306" w:lineRule="auto"/>
        <w:ind w:right="-3"/>
        <w:jc w:val="left"/>
        <w:rPr>
          <w:rFonts w:ascii="Garamond" w:hAnsi="Garamond"/>
          <w:sz w:val="24"/>
          <w:szCs w:val="24"/>
        </w:rPr>
      </w:pPr>
      <w:r w:rsidRPr="005A0F13">
        <w:rPr>
          <w:rFonts w:ascii="Garamond" w:hAnsi="Garamond"/>
          <w:sz w:val="24"/>
          <w:szCs w:val="24"/>
        </w:rPr>
        <w:t xml:space="preserve">ID Sp. z o.o. </w:t>
      </w:r>
      <w:r w:rsidR="005A0F13">
        <w:rPr>
          <w:rFonts w:ascii="Garamond" w:hAnsi="Garamond"/>
          <w:sz w:val="24"/>
          <w:szCs w:val="24"/>
        </w:rPr>
        <w:t>-</w:t>
      </w:r>
      <w:r w:rsidRPr="005A0F13">
        <w:rPr>
          <w:rFonts w:ascii="Garamond" w:hAnsi="Garamond"/>
          <w:sz w:val="24"/>
          <w:szCs w:val="24"/>
        </w:rPr>
        <w:t xml:space="preserve"> jeśli </w:t>
      </w:r>
      <w:proofErr w:type="spellStart"/>
      <w:r w:rsidRPr="005A0F13">
        <w:rPr>
          <w:rFonts w:ascii="Garamond" w:hAnsi="Garamond"/>
          <w:sz w:val="24"/>
          <w:szCs w:val="24"/>
        </w:rPr>
        <w:t>ORed</w:t>
      </w:r>
      <w:proofErr w:type="spellEnd"/>
      <w:r w:rsidRPr="005A0F13">
        <w:rPr>
          <w:rFonts w:ascii="Garamond" w:hAnsi="Garamond"/>
          <w:sz w:val="24"/>
          <w:szCs w:val="24"/>
        </w:rPr>
        <w:t xml:space="preserve"> posiada wyłącznie PPE w sieci dystrybucyjnej ID. Jeśli </w:t>
      </w:r>
      <w:proofErr w:type="spellStart"/>
      <w:r w:rsidRPr="005A0F13">
        <w:rPr>
          <w:rFonts w:ascii="Garamond" w:hAnsi="Garamond"/>
          <w:sz w:val="24"/>
          <w:szCs w:val="24"/>
        </w:rPr>
        <w:t>ORed</w:t>
      </w:r>
      <w:proofErr w:type="spellEnd"/>
      <w:r w:rsidRPr="005A0F13">
        <w:rPr>
          <w:rFonts w:ascii="Garamond" w:hAnsi="Garamond"/>
          <w:sz w:val="24"/>
          <w:szCs w:val="24"/>
        </w:rPr>
        <w:t xml:space="preserve"> jest przyłączony do sieci dystrybucyjnej kilku OSDp lub kilku OSDn, wniosek o wydanie</w:t>
      </w:r>
      <w:r w:rsidR="00D34B01">
        <w:rPr>
          <w:rFonts w:ascii="Garamond" w:hAnsi="Garamond"/>
          <w:sz w:val="24"/>
          <w:szCs w:val="24"/>
        </w:rPr>
        <w:t xml:space="preserve"> </w:t>
      </w:r>
      <w:r w:rsidRPr="005A0F13">
        <w:rPr>
          <w:rFonts w:ascii="Garamond" w:hAnsi="Garamond"/>
          <w:sz w:val="24"/>
          <w:szCs w:val="24"/>
        </w:rPr>
        <w:t xml:space="preserve">Certyfikatu dla </w:t>
      </w:r>
      <w:proofErr w:type="spellStart"/>
      <w:r w:rsidRPr="005A0F13">
        <w:rPr>
          <w:rFonts w:ascii="Garamond" w:hAnsi="Garamond"/>
          <w:sz w:val="24"/>
          <w:szCs w:val="24"/>
        </w:rPr>
        <w:t>ORed</w:t>
      </w:r>
      <w:proofErr w:type="spellEnd"/>
      <w:r w:rsidRPr="005A0F13">
        <w:rPr>
          <w:rFonts w:ascii="Garamond" w:hAnsi="Garamond"/>
          <w:sz w:val="24"/>
          <w:szCs w:val="24"/>
        </w:rPr>
        <w:t>, składany jest odpowiednio dla miejsca przyłączenia, do wybranego przez siebie jednego OSDp lub OSDn.</w:t>
      </w:r>
    </w:p>
    <w:p w14:paraId="142C2FD5" w14:textId="77777777" w:rsidR="000D7A5C" w:rsidRPr="00AE3F1B" w:rsidRDefault="000D7A5C" w:rsidP="00175586">
      <w:pPr>
        <w:spacing w:after="115" w:line="249" w:lineRule="auto"/>
        <w:ind w:left="567" w:right="-3" w:hanging="567"/>
        <w:jc w:val="left"/>
        <w:rPr>
          <w:rFonts w:ascii="Garamond" w:hAnsi="Garamond"/>
          <w:sz w:val="24"/>
          <w:szCs w:val="24"/>
        </w:rPr>
      </w:pPr>
      <w:r w:rsidRPr="00AE3F1B">
        <w:rPr>
          <w:rFonts w:ascii="Garamond" w:hAnsi="Garamond"/>
          <w:sz w:val="24"/>
          <w:szCs w:val="24"/>
        </w:rPr>
        <w:t xml:space="preserve">I.1.7. Wzór wniosku o wydanie Certyfikatu dla </w:t>
      </w:r>
      <w:proofErr w:type="spellStart"/>
      <w:r w:rsidRPr="00AE3F1B">
        <w:rPr>
          <w:rFonts w:ascii="Garamond" w:hAnsi="Garamond"/>
          <w:sz w:val="24"/>
          <w:szCs w:val="24"/>
        </w:rPr>
        <w:t>ORed</w:t>
      </w:r>
      <w:proofErr w:type="spellEnd"/>
      <w:r w:rsidRPr="00AE3F1B">
        <w:rPr>
          <w:rFonts w:ascii="Garamond" w:hAnsi="Garamond"/>
          <w:sz w:val="24"/>
          <w:szCs w:val="24"/>
        </w:rPr>
        <w:t xml:space="preserve"> oraz wzór Certyfikatu dla </w:t>
      </w:r>
      <w:proofErr w:type="spellStart"/>
      <w:r w:rsidRPr="00AE3F1B">
        <w:rPr>
          <w:rFonts w:ascii="Garamond" w:hAnsi="Garamond"/>
          <w:sz w:val="24"/>
          <w:szCs w:val="24"/>
        </w:rPr>
        <w:t>ORed</w:t>
      </w:r>
      <w:proofErr w:type="spellEnd"/>
      <w:r w:rsidRPr="00AE3F1B">
        <w:rPr>
          <w:rFonts w:ascii="Garamond" w:hAnsi="Garamond"/>
          <w:sz w:val="24"/>
          <w:szCs w:val="24"/>
        </w:rPr>
        <w:t xml:space="preserve"> określa OSP </w:t>
      </w:r>
      <w:r w:rsidR="00E3689C" w:rsidRPr="00AE3F1B">
        <w:rPr>
          <w:rFonts w:ascii="Garamond" w:hAnsi="Garamond"/>
          <w:sz w:val="24"/>
          <w:szCs w:val="24"/>
        </w:rPr>
        <w:br/>
      </w:r>
      <w:r w:rsidRPr="00AE3F1B">
        <w:rPr>
          <w:rFonts w:ascii="Garamond" w:hAnsi="Garamond"/>
          <w:sz w:val="24"/>
          <w:szCs w:val="24"/>
        </w:rPr>
        <w:t xml:space="preserve">i publikuje na swojej stronie internetowej. Wzór wniosku o wydanie Certyfikatu dla </w:t>
      </w:r>
      <w:proofErr w:type="spellStart"/>
      <w:r w:rsidRPr="00AE3F1B">
        <w:rPr>
          <w:rFonts w:ascii="Garamond" w:hAnsi="Garamond"/>
          <w:sz w:val="24"/>
          <w:szCs w:val="24"/>
        </w:rPr>
        <w:t>ORed</w:t>
      </w:r>
      <w:proofErr w:type="spellEnd"/>
      <w:r w:rsidRPr="00AE3F1B">
        <w:rPr>
          <w:rFonts w:ascii="Garamond" w:hAnsi="Garamond"/>
          <w:sz w:val="24"/>
          <w:szCs w:val="24"/>
        </w:rPr>
        <w:t xml:space="preserve"> stosuje się również celem aktualizacji Certyfikatu dla </w:t>
      </w:r>
      <w:proofErr w:type="spellStart"/>
      <w:r w:rsidRPr="00AE3F1B">
        <w:rPr>
          <w:rFonts w:ascii="Garamond" w:hAnsi="Garamond"/>
          <w:sz w:val="24"/>
          <w:szCs w:val="24"/>
        </w:rPr>
        <w:t>ORed</w:t>
      </w:r>
      <w:proofErr w:type="spellEnd"/>
      <w:r w:rsidRPr="00AE3F1B">
        <w:rPr>
          <w:rFonts w:ascii="Garamond" w:hAnsi="Garamond"/>
          <w:sz w:val="24"/>
          <w:szCs w:val="24"/>
        </w:rPr>
        <w:t>.</w:t>
      </w:r>
    </w:p>
    <w:p w14:paraId="7E33B752" w14:textId="77777777" w:rsidR="000D7A5C" w:rsidRPr="00AE3F1B" w:rsidRDefault="000D7A5C" w:rsidP="005A0F13">
      <w:pPr>
        <w:spacing w:line="249" w:lineRule="auto"/>
        <w:ind w:left="567" w:right="-3" w:hanging="567"/>
        <w:jc w:val="left"/>
        <w:rPr>
          <w:rFonts w:ascii="Garamond" w:hAnsi="Garamond"/>
          <w:sz w:val="24"/>
          <w:szCs w:val="24"/>
        </w:rPr>
      </w:pPr>
      <w:r w:rsidRPr="00AE3F1B">
        <w:rPr>
          <w:rFonts w:ascii="Garamond" w:hAnsi="Garamond"/>
          <w:sz w:val="24"/>
          <w:szCs w:val="24"/>
        </w:rPr>
        <w:t xml:space="preserve">I.1.8. Wniosek o wydanie Certyfikatu dla </w:t>
      </w:r>
      <w:proofErr w:type="spellStart"/>
      <w:r w:rsidRPr="00AE3F1B">
        <w:rPr>
          <w:rFonts w:ascii="Garamond" w:hAnsi="Garamond"/>
          <w:sz w:val="24"/>
          <w:szCs w:val="24"/>
        </w:rPr>
        <w:t>ORed</w:t>
      </w:r>
      <w:proofErr w:type="spellEnd"/>
      <w:r w:rsidRPr="00AE3F1B">
        <w:rPr>
          <w:rFonts w:ascii="Garamond" w:hAnsi="Garamond"/>
          <w:sz w:val="24"/>
          <w:szCs w:val="24"/>
        </w:rPr>
        <w:t xml:space="preserve"> zawiera w szczególności:</w:t>
      </w:r>
    </w:p>
    <w:p w14:paraId="210CC6CB" w14:textId="77777777" w:rsidR="000D7A5C" w:rsidRPr="005A0F13" w:rsidRDefault="000D7A5C">
      <w:pPr>
        <w:pStyle w:val="Akapitzlist"/>
        <w:numPr>
          <w:ilvl w:val="0"/>
          <w:numId w:val="190"/>
        </w:numPr>
        <w:spacing w:line="249" w:lineRule="auto"/>
        <w:ind w:right="-3"/>
        <w:jc w:val="left"/>
        <w:rPr>
          <w:rFonts w:ascii="Garamond" w:hAnsi="Garamond"/>
          <w:sz w:val="24"/>
          <w:szCs w:val="24"/>
        </w:rPr>
      </w:pPr>
      <w:r w:rsidRPr="005A0F13">
        <w:rPr>
          <w:rFonts w:ascii="Garamond" w:hAnsi="Garamond"/>
          <w:sz w:val="24"/>
          <w:szCs w:val="24"/>
        </w:rPr>
        <w:t>dane identyfikacyjne wnioskodawcy (firma pod jaką działa wnioskodawca, NIP lub Pesel) oraz jego dane kontaktowe;</w:t>
      </w:r>
    </w:p>
    <w:p w14:paraId="023312EC" w14:textId="5E3DCB1D" w:rsidR="000D7A5C" w:rsidRPr="005A0F13" w:rsidRDefault="000D7A5C">
      <w:pPr>
        <w:pStyle w:val="Akapitzlist"/>
        <w:numPr>
          <w:ilvl w:val="0"/>
          <w:numId w:val="190"/>
        </w:numPr>
        <w:spacing w:line="249" w:lineRule="auto"/>
        <w:ind w:right="-3"/>
        <w:jc w:val="left"/>
        <w:rPr>
          <w:rFonts w:ascii="Garamond" w:hAnsi="Garamond"/>
          <w:sz w:val="24"/>
          <w:szCs w:val="24"/>
        </w:rPr>
      </w:pPr>
      <w:r w:rsidRPr="005A0F13">
        <w:rPr>
          <w:rFonts w:ascii="Garamond" w:hAnsi="Garamond"/>
          <w:sz w:val="24"/>
          <w:szCs w:val="24"/>
        </w:rPr>
        <w:t xml:space="preserve">dane identyfikacyjne Odbiorcy w </w:t>
      </w:r>
      <w:proofErr w:type="spellStart"/>
      <w:r w:rsidRPr="005A0F13">
        <w:rPr>
          <w:rFonts w:ascii="Garamond" w:hAnsi="Garamond"/>
          <w:sz w:val="24"/>
          <w:szCs w:val="24"/>
        </w:rPr>
        <w:t>ORed</w:t>
      </w:r>
      <w:proofErr w:type="spellEnd"/>
      <w:r w:rsidRPr="005A0F13">
        <w:rPr>
          <w:rFonts w:ascii="Garamond" w:hAnsi="Garamond"/>
          <w:sz w:val="24"/>
          <w:szCs w:val="24"/>
        </w:rPr>
        <w:t xml:space="preserve"> (firma pod jaką działa Odbiorca w </w:t>
      </w:r>
      <w:proofErr w:type="spellStart"/>
      <w:r w:rsidRPr="005A0F13">
        <w:rPr>
          <w:rFonts w:ascii="Garamond" w:hAnsi="Garamond"/>
          <w:sz w:val="24"/>
          <w:szCs w:val="24"/>
        </w:rPr>
        <w:t>ORed</w:t>
      </w:r>
      <w:proofErr w:type="spellEnd"/>
      <w:r w:rsidRPr="005A0F13">
        <w:rPr>
          <w:rFonts w:ascii="Garamond" w:hAnsi="Garamond"/>
          <w:sz w:val="24"/>
          <w:szCs w:val="24"/>
        </w:rPr>
        <w:t xml:space="preserve">, NIP lub Pesel), w przypadku wniosków składanych przez podmiot upoważniany przez Odbiorcę w </w:t>
      </w:r>
      <w:proofErr w:type="spellStart"/>
      <w:r w:rsidRPr="005A0F13">
        <w:rPr>
          <w:rFonts w:ascii="Garamond" w:hAnsi="Garamond"/>
          <w:sz w:val="24"/>
          <w:szCs w:val="24"/>
        </w:rPr>
        <w:t>ORed</w:t>
      </w:r>
      <w:proofErr w:type="spellEnd"/>
      <w:r w:rsidRPr="005A0F13">
        <w:rPr>
          <w:rFonts w:ascii="Garamond" w:hAnsi="Garamond"/>
          <w:sz w:val="24"/>
          <w:szCs w:val="24"/>
        </w:rPr>
        <w:t>;</w:t>
      </w:r>
    </w:p>
    <w:p w14:paraId="7C698B8C" w14:textId="77777777" w:rsidR="000D7A5C" w:rsidRPr="005A0F13" w:rsidRDefault="000D7A5C">
      <w:pPr>
        <w:pStyle w:val="Akapitzlist"/>
        <w:numPr>
          <w:ilvl w:val="0"/>
          <w:numId w:val="190"/>
        </w:numPr>
        <w:spacing w:line="249" w:lineRule="auto"/>
        <w:ind w:right="-3"/>
        <w:jc w:val="left"/>
        <w:rPr>
          <w:rFonts w:ascii="Garamond" w:hAnsi="Garamond"/>
          <w:sz w:val="24"/>
          <w:szCs w:val="24"/>
        </w:rPr>
      </w:pPr>
      <w:r w:rsidRPr="005A0F13">
        <w:rPr>
          <w:rFonts w:ascii="Garamond" w:hAnsi="Garamond"/>
          <w:sz w:val="24"/>
          <w:szCs w:val="24"/>
        </w:rPr>
        <w:t xml:space="preserve">dane </w:t>
      </w:r>
      <w:proofErr w:type="spellStart"/>
      <w:r w:rsidRPr="005A0F13">
        <w:rPr>
          <w:rFonts w:ascii="Garamond" w:hAnsi="Garamond"/>
          <w:sz w:val="24"/>
          <w:szCs w:val="24"/>
        </w:rPr>
        <w:t>ORed</w:t>
      </w:r>
      <w:proofErr w:type="spellEnd"/>
      <w:r w:rsidRPr="005A0F13">
        <w:rPr>
          <w:rFonts w:ascii="Garamond" w:hAnsi="Garamond"/>
          <w:sz w:val="24"/>
          <w:szCs w:val="24"/>
        </w:rPr>
        <w:t xml:space="preserve"> (nazwa, adres lokalizacji);</w:t>
      </w:r>
    </w:p>
    <w:p w14:paraId="781B7351" w14:textId="10F5D85E" w:rsidR="000D7A5C" w:rsidRPr="005A0F13" w:rsidRDefault="000D7A5C">
      <w:pPr>
        <w:pStyle w:val="Akapitzlist"/>
        <w:numPr>
          <w:ilvl w:val="0"/>
          <w:numId w:val="190"/>
        </w:numPr>
        <w:spacing w:line="249" w:lineRule="auto"/>
        <w:ind w:right="-3"/>
        <w:jc w:val="left"/>
        <w:rPr>
          <w:rFonts w:ascii="Garamond" w:hAnsi="Garamond"/>
          <w:sz w:val="24"/>
          <w:szCs w:val="24"/>
        </w:rPr>
      </w:pPr>
      <w:r w:rsidRPr="005A0F13">
        <w:rPr>
          <w:rFonts w:ascii="Garamond" w:hAnsi="Garamond"/>
          <w:sz w:val="24"/>
          <w:szCs w:val="24"/>
        </w:rPr>
        <w:t>wykaz unikalnych w skali kraju kodów PPE z przypisaniem do OSD, zgodnie z kodyfikacją danego</w:t>
      </w:r>
      <w:r w:rsidR="005A0F13" w:rsidRPr="005A0F13">
        <w:rPr>
          <w:rFonts w:ascii="Garamond" w:hAnsi="Garamond"/>
          <w:sz w:val="24"/>
          <w:szCs w:val="24"/>
        </w:rPr>
        <w:t xml:space="preserve"> </w:t>
      </w:r>
      <w:r w:rsidRPr="005A0F13">
        <w:rPr>
          <w:rFonts w:ascii="Garamond" w:hAnsi="Garamond"/>
          <w:sz w:val="24"/>
          <w:szCs w:val="24"/>
        </w:rPr>
        <w:t xml:space="preserve">OSD, składających się na kompletny układ zasilania danego </w:t>
      </w:r>
      <w:proofErr w:type="spellStart"/>
      <w:r w:rsidRPr="005A0F13">
        <w:rPr>
          <w:rFonts w:ascii="Garamond" w:hAnsi="Garamond"/>
          <w:sz w:val="24"/>
          <w:szCs w:val="24"/>
        </w:rPr>
        <w:t>ORed</w:t>
      </w:r>
      <w:proofErr w:type="spellEnd"/>
      <w:r w:rsidRPr="005A0F13">
        <w:rPr>
          <w:rFonts w:ascii="Garamond" w:hAnsi="Garamond"/>
          <w:sz w:val="24"/>
          <w:szCs w:val="24"/>
        </w:rPr>
        <w:t xml:space="preserve"> z sieci dystrybucyjnej, zgodnie z pkt </w:t>
      </w:r>
      <w:r w:rsidR="00E3689C" w:rsidRPr="005A0F13">
        <w:rPr>
          <w:rFonts w:ascii="Garamond" w:hAnsi="Garamond"/>
          <w:sz w:val="24"/>
          <w:szCs w:val="24"/>
        </w:rPr>
        <w:t>I</w:t>
      </w:r>
      <w:r w:rsidRPr="005A0F13">
        <w:rPr>
          <w:rFonts w:ascii="Garamond" w:hAnsi="Garamond"/>
          <w:sz w:val="24"/>
          <w:szCs w:val="24"/>
        </w:rPr>
        <w:t>.1.3.;</w:t>
      </w:r>
    </w:p>
    <w:p w14:paraId="5023EC20" w14:textId="77777777" w:rsidR="000D7A5C" w:rsidRPr="005A0F13" w:rsidRDefault="000D7A5C">
      <w:pPr>
        <w:pStyle w:val="Akapitzlist"/>
        <w:numPr>
          <w:ilvl w:val="0"/>
          <w:numId w:val="190"/>
        </w:numPr>
        <w:spacing w:line="249" w:lineRule="auto"/>
        <w:ind w:right="-3"/>
        <w:jc w:val="left"/>
        <w:rPr>
          <w:rFonts w:ascii="Garamond" w:hAnsi="Garamond"/>
          <w:sz w:val="24"/>
          <w:szCs w:val="24"/>
        </w:rPr>
      </w:pPr>
      <w:r w:rsidRPr="005A0F13">
        <w:rPr>
          <w:rFonts w:ascii="Garamond" w:hAnsi="Garamond"/>
          <w:sz w:val="24"/>
          <w:szCs w:val="24"/>
        </w:rPr>
        <w:lastRenderedPageBreak/>
        <w:t xml:space="preserve">atrybut </w:t>
      </w:r>
      <w:proofErr w:type="spellStart"/>
      <w:r w:rsidRPr="005A0F13">
        <w:rPr>
          <w:rFonts w:ascii="Garamond" w:hAnsi="Garamond"/>
          <w:sz w:val="24"/>
          <w:szCs w:val="24"/>
        </w:rPr>
        <w:t>ORed</w:t>
      </w:r>
      <w:proofErr w:type="spellEnd"/>
      <w:r w:rsidRPr="005A0F13">
        <w:rPr>
          <w:rFonts w:ascii="Garamond" w:hAnsi="Garamond"/>
          <w:sz w:val="24"/>
          <w:szCs w:val="24"/>
        </w:rPr>
        <w:t xml:space="preserve"> (</w:t>
      </w:r>
      <w:proofErr w:type="spellStart"/>
      <w:r w:rsidRPr="005A0F13">
        <w:rPr>
          <w:rFonts w:ascii="Garamond" w:hAnsi="Garamond"/>
          <w:sz w:val="24"/>
          <w:szCs w:val="24"/>
        </w:rPr>
        <w:t>ORed</w:t>
      </w:r>
      <w:proofErr w:type="spellEnd"/>
      <w:r w:rsidRPr="005A0F13">
        <w:rPr>
          <w:rFonts w:ascii="Garamond" w:hAnsi="Garamond"/>
          <w:sz w:val="24"/>
          <w:szCs w:val="24"/>
        </w:rPr>
        <w:t xml:space="preserve"> O- obiekt odbiorczy, </w:t>
      </w:r>
      <w:proofErr w:type="spellStart"/>
      <w:r w:rsidRPr="005A0F13">
        <w:rPr>
          <w:rFonts w:ascii="Garamond" w:hAnsi="Garamond"/>
          <w:sz w:val="24"/>
          <w:szCs w:val="24"/>
        </w:rPr>
        <w:t>ORed</w:t>
      </w:r>
      <w:proofErr w:type="spellEnd"/>
      <w:r w:rsidRPr="005A0F13">
        <w:rPr>
          <w:rFonts w:ascii="Garamond" w:hAnsi="Garamond"/>
          <w:sz w:val="24"/>
          <w:szCs w:val="24"/>
        </w:rPr>
        <w:t xml:space="preserve"> OG- obiekt odbiorczy z generacją wewnętrzną);</w:t>
      </w:r>
    </w:p>
    <w:p w14:paraId="0D2671A7" w14:textId="77777777" w:rsidR="000D7A5C" w:rsidRPr="005A0F13" w:rsidRDefault="000D7A5C">
      <w:pPr>
        <w:pStyle w:val="Akapitzlist"/>
        <w:numPr>
          <w:ilvl w:val="0"/>
          <w:numId w:val="190"/>
        </w:numPr>
        <w:spacing w:line="249" w:lineRule="auto"/>
        <w:ind w:right="-3"/>
        <w:jc w:val="left"/>
        <w:rPr>
          <w:rFonts w:ascii="Garamond" w:hAnsi="Garamond"/>
          <w:sz w:val="24"/>
          <w:szCs w:val="24"/>
        </w:rPr>
      </w:pPr>
      <w:r w:rsidRPr="005A0F13">
        <w:rPr>
          <w:rFonts w:ascii="Garamond" w:hAnsi="Garamond"/>
          <w:sz w:val="24"/>
          <w:szCs w:val="24"/>
        </w:rPr>
        <w:t xml:space="preserve">oświadczenia Odbiorcy w </w:t>
      </w:r>
      <w:proofErr w:type="spellStart"/>
      <w:r w:rsidRPr="005A0F13">
        <w:rPr>
          <w:rFonts w:ascii="Garamond" w:hAnsi="Garamond"/>
          <w:sz w:val="24"/>
          <w:szCs w:val="24"/>
        </w:rPr>
        <w:t>ORed</w:t>
      </w:r>
      <w:proofErr w:type="spellEnd"/>
      <w:r w:rsidRPr="005A0F13">
        <w:rPr>
          <w:rFonts w:ascii="Garamond" w:hAnsi="Garamond"/>
          <w:sz w:val="24"/>
          <w:szCs w:val="24"/>
        </w:rPr>
        <w:t xml:space="preserve"> lub odpowiedniego podmiotu przez niego upoważnionego:</w:t>
      </w:r>
    </w:p>
    <w:p w14:paraId="16E2C7F9" w14:textId="3C5C366E" w:rsidR="000D7A5C" w:rsidRPr="005A0F13" w:rsidRDefault="000D7A5C">
      <w:pPr>
        <w:pStyle w:val="Akapitzlist"/>
        <w:numPr>
          <w:ilvl w:val="0"/>
          <w:numId w:val="190"/>
        </w:numPr>
        <w:spacing w:line="249" w:lineRule="auto"/>
        <w:ind w:right="-3"/>
        <w:jc w:val="left"/>
        <w:rPr>
          <w:rFonts w:ascii="Garamond" w:hAnsi="Garamond"/>
          <w:sz w:val="24"/>
          <w:szCs w:val="24"/>
        </w:rPr>
      </w:pPr>
      <w:r w:rsidRPr="005A0F13">
        <w:rPr>
          <w:rFonts w:ascii="Garamond" w:hAnsi="Garamond"/>
          <w:sz w:val="24"/>
          <w:szCs w:val="24"/>
        </w:rPr>
        <w:t xml:space="preserve">zgodzie na przekazywanie danych pomiarowych przez PGE Dystrybucja S.A. do OSP (dotyczy </w:t>
      </w:r>
      <w:proofErr w:type="spellStart"/>
      <w:r w:rsidRPr="005A0F13">
        <w:rPr>
          <w:rFonts w:ascii="Garamond" w:hAnsi="Garamond"/>
          <w:sz w:val="24"/>
          <w:szCs w:val="24"/>
        </w:rPr>
        <w:t>ORed</w:t>
      </w:r>
      <w:proofErr w:type="spellEnd"/>
      <w:r w:rsidRPr="005A0F13">
        <w:rPr>
          <w:rFonts w:ascii="Garamond" w:hAnsi="Garamond"/>
          <w:sz w:val="24"/>
          <w:szCs w:val="24"/>
        </w:rPr>
        <w:t xml:space="preserve"> przyłączonych wyłącznie do sieci PGE Dystrybucja S.A.),</w:t>
      </w:r>
    </w:p>
    <w:p w14:paraId="151E46B2" w14:textId="4FC63C8E" w:rsidR="000D7A5C" w:rsidRPr="005A0F13" w:rsidRDefault="000D7A5C">
      <w:pPr>
        <w:pStyle w:val="Akapitzlist"/>
        <w:numPr>
          <w:ilvl w:val="0"/>
          <w:numId w:val="190"/>
        </w:numPr>
        <w:spacing w:line="259" w:lineRule="auto"/>
        <w:ind w:right="-3"/>
        <w:jc w:val="left"/>
        <w:rPr>
          <w:rFonts w:ascii="Garamond" w:hAnsi="Garamond"/>
          <w:sz w:val="24"/>
          <w:szCs w:val="24"/>
        </w:rPr>
      </w:pPr>
      <w:r w:rsidRPr="005A0F13">
        <w:rPr>
          <w:rFonts w:ascii="Garamond" w:hAnsi="Garamond"/>
          <w:sz w:val="24"/>
          <w:szCs w:val="24"/>
        </w:rPr>
        <w:t>zgodzie na przekazywanie danych pomiarowych przez ID Sp. z o.o. do PGE</w:t>
      </w:r>
    </w:p>
    <w:p w14:paraId="458AC6B9" w14:textId="1A291AE8" w:rsidR="000D7A5C" w:rsidRPr="00AE3F1B" w:rsidRDefault="000D7A5C" w:rsidP="00071341">
      <w:pPr>
        <w:spacing w:before="240" w:line="249" w:lineRule="auto"/>
        <w:ind w:left="360" w:right="-3"/>
        <w:jc w:val="left"/>
        <w:rPr>
          <w:rFonts w:ascii="Garamond" w:hAnsi="Garamond"/>
          <w:sz w:val="24"/>
          <w:szCs w:val="24"/>
        </w:rPr>
      </w:pPr>
      <w:r w:rsidRPr="00AE3F1B">
        <w:rPr>
          <w:rFonts w:ascii="Garamond" w:hAnsi="Garamond"/>
          <w:sz w:val="24"/>
          <w:szCs w:val="24"/>
        </w:rPr>
        <w:t xml:space="preserve">Dystrybucja S.A. i PGE Dystrybucja S.A. do OSP (dotyczy </w:t>
      </w:r>
      <w:proofErr w:type="spellStart"/>
      <w:r w:rsidRPr="00AE3F1B">
        <w:rPr>
          <w:rFonts w:ascii="Garamond" w:hAnsi="Garamond"/>
          <w:sz w:val="24"/>
          <w:szCs w:val="24"/>
        </w:rPr>
        <w:t>ORed</w:t>
      </w:r>
      <w:proofErr w:type="spellEnd"/>
      <w:r w:rsidRPr="00AE3F1B">
        <w:rPr>
          <w:rFonts w:ascii="Garamond" w:hAnsi="Garamond"/>
          <w:sz w:val="24"/>
          <w:szCs w:val="24"/>
        </w:rPr>
        <w:t xml:space="preserve"> przyłączonych do sieci </w:t>
      </w:r>
      <w:r w:rsidR="00D34B01">
        <w:rPr>
          <w:rFonts w:ascii="Garamond" w:hAnsi="Garamond"/>
          <w:sz w:val="24"/>
          <w:szCs w:val="24"/>
        </w:rPr>
        <w:t xml:space="preserve">            </w:t>
      </w:r>
      <w:r w:rsidRPr="00AE3F1B">
        <w:rPr>
          <w:rFonts w:ascii="Garamond" w:hAnsi="Garamond"/>
          <w:sz w:val="24"/>
          <w:szCs w:val="24"/>
        </w:rPr>
        <w:t>ID Sp. z o.o.),</w:t>
      </w:r>
    </w:p>
    <w:p w14:paraId="77F6798D" w14:textId="42ED551B" w:rsidR="000D7A5C" w:rsidRPr="00D34B01" w:rsidRDefault="000D7A5C">
      <w:pPr>
        <w:pStyle w:val="Akapitzlist"/>
        <w:numPr>
          <w:ilvl w:val="0"/>
          <w:numId w:val="191"/>
        </w:numPr>
        <w:spacing w:after="15" w:line="249" w:lineRule="auto"/>
        <w:ind w:right="-3"/>
        <w:jc w:val="left"/>
        <w:rPr>
          <w:rFonts w:ascii="Garamond" w:hAnsi="Garamond"/>
          <w:sz w:val="24"/>
          <w:szCs w:val="24"/>
        </w:rPr>
      </w:pPr>
      <w:r w:rsidRPr="00D34B01">
        <w:rPr>
          <w:rFonts w:ascii="Garamond" w:hAnsi="Garamond"/>
          <w:sz w:val="24"/>
          <w:szCs w:val="24"/>
        </w:rPr>
        <w:t xml:space="preserve">zgodzie na przekazywanie danych pomiarowych przez OSP do innego podmiotu (dotyczy przypadku, gdy Odbiorca w </w:t>
      </w:r>
      <w:proofErr w:type="spellStart"/>
      <w:r w:rsidRPr="00D34B01">
        <w:rPr>
          <w:rFonts w:ascii="Garamond" w:hAnsi="Garamond"/>
          <w:sz w:val="24"/>
          <w:szCs w:val="24"/>
        </w:rPr>
        <w:t>ORed</w:t>
      </w:r>
      <w:proofErr w:type="spellEnd"/>
      <w:r w:rsidRPr="00D34B01">
        <w:rPr>
          <w:rFonts w:ascii="Garamond" w:hAnsi="Garamond"/>
          <w:sz w:val="24"/>
          <w:szCs w:val="24"/>
        </w:rPr>
        <w:t xml:space="preserve"> dopuszcza udostępnianie swoich zasobów odbiorczych upoważnianemu przez niego podmiotowi, który świadczy usługę interwencyjnej ofertowej redukcji poboru mocy przez odbiorców na polecenie OSP),</w:t>
      </w:r>
    </w:p>
    <w:p w14:paraId="45A207F7" w14:textId="1FDD5DB6" w:rsidR="000D7A5C" w:rsidRPr="00D34B01" w:rsidRDefault="000D7A5C">
      <w:pPr>
        <w:pStyle w:val="Akapitzlist"/>
        <w:numPr>
          <w:ilvl w:val="0"/>
          <w:numId w:val="191"/>
        </w:numPr>
        <w:spacing w:after="15" w:line="249" w:lineRule="auto"/>
        <w:ind w:right="-3"/>
        <w:jc w:val="left"/>
        <w:rPr>
          <w:rFonts w:ascii="Garamond" w:hAnsi="Garamond"/>
          <w:sz w:val="24"/>
          <w:szCs w:val="24"/>
        </w:rPr>
      </w:pPr>
      <w:r w:rsidRPr="00D34B01">
        <w:rPr>
          <w:rFonts w:ascii="Garamond" w:hAnsi="Garamond"/>
          <w:sz w:val="24"/>
          <w:szCs w:val="24"/>
        </w:rPr>
        <w:t xml:space="preserve">spełnieniu warunku odbioru przez </w:t>
      </w:r>
      <w:proofErr w:type="spellStart"/>
      <w:r w:rsidRPr="00D34B01">
        <w:rPr>
          <w:rFonts w:ascii="Garamond" w:hAnsi="Garamond"/>
          <w:sz w:val="24"/>
          <w:szCs w:val="24"/>
        </w:rPr>
        <w:t>ORed</w:t>
      </w:r>
      <w:proofErr w:type="spellEnd"/>
      <w:r w:rsidRPr="00D34B01">
        <w:rPr>
          <w:rFonts w:ascii="Garamond" w:hAnsi="Garamond"/>
          <w:sz w:val="24"/>
          <w:szCs w:val="24"/>
        </w:rPr>
        <w:t xml:space="preserve"> energii elektrycznej netto w okresie ostatnich 12 miesięcy, liczonych od dnia złożenia wniosku o wydanie Certyfikatu dla </w:t>
      </w:r>
      <w:proofErr w:type="spellStart"/>
      <w:r w:rsidRPr="00D34B01">
        <w:rPr>
          <w:rFonts w:ascii="Garamond" w:hAnsi="Garamond"/>
          <w:sz w:val="24"/>
          <w:szCs w:val="24"/>
        </w:rPr>
        <w:t>ORed</w:t>
      </w:r>
      <w:proofErr w:type="spellEnd"/>
      <w:r w:rsidR="00257369">
        <w:rPr>
          <w:rFonts w:ascii="Garamond" w:hAnsi="Garamond"/>
          <w:sz w:val="24"/>
          <w:szCs w:val="24"/>
        </w:rPr>
        <w:t xml:space="preserve"> </w:t>
      </w:r>
      <w:r w:rsidRPr="00D34B01">
        <w:rPr>
          <w:rFonts w:ascii="Garamond" w:hAnsi="Garamond"/>
          <w:sz w:val="24"/>
          <w:szCs w:val="24"/>
        </w:rPr>
        <w:t xml:space="preserve">(dotyczy </w:t>
      </w:r>
      <w:proofErr w:type="spellStart"/>
      <w:r w:rsidRPr="00D34B01">
        <w:rPr>
          <w:rFonts w:ascii="Garamond" w:hAnsi="Garamond"/>
          <w:sz w:val="24"/>
          <w:szCs w:val="24"/>
        </w:rPr>
        <w:t>ORed</w:t>
      </w:r>
      <w:proofErr w:type="spellEnd"/>
      <w:r w:rsidRPr="00D34B01">
        <w:rPr>
          <w:rFonts w:ascii="Garamond" w:hAnsi="Garamond"/>
          <w:sz w:val="24"/>
          <w:szCs w:val="24"/>
        </w:rPr>
        <w:t xml:space="preserve"> </w:t>
      </w:r>
      <w:r w:rsidR="00071341">
        <w:rPr>
          <w:rFonts w:ascii="Garamond" w:hAnsi="Garamond"/>
          <w:sz w:val="24"/>
          <w:szCs w:val="24"/>
        </w:rPr>
        <w:t xml:space="preserve">  </w:t>
      </w:r>
      <w:r w:rsidRPr="00D34B01">
        <w:rPr>
          <w:rFonts w:ascii="Garamond" w:hAnsi="Garamond"/>
          <w:sz w:val="24"/>
          <w:szCs w:val="24"/>
        </w:rPr>
        <w:t>z generacją wewnętrzną),</w:t>
      </w:r>
    </w:p>
    <w:p w14:paraId="74185E60" w14:textId="3BFAAF77" w:rsidR="000D7A5C" w:rsidRPr="00D34B01" w:rsidRDefault="000D7A5C">
      <w:pPr>
        <w:pStyle w:val="Akapitzlist"/>
        <w:numPr>
          <w:ilvl w:val="0"/>
          <w:numId w:val="191"/>
        </w:numPr>
        <w:spacing w:after="15" w:line="249" w:lineRule="auto"/>
        <w:ind w:right="-3"/>
        <w:jc w:val="left"/>
        <w:rPr>
          <w:rFonts w:ascii="Garamond" w:hAnsi="Garamond"/>
          <w:sz w:val="24"/>
          <w:szCs w:val="24"/>
        </w:rPr>
      </w:pPr>
      <w:r w:rsidRPr="00D34B01">
        <w:rPr>
          <w:rFonts w:ascii="Garamond" w:hAnsi="Garamond"/>
          <w:sz w:val="24"/>
          <w:szCs w:val="24"/>
        </w:rPr>
        <w:t xml:space="preserve">kompletności układu zasilania </w:t>
      </w:r>
      <w:proofErr w:type="spellStart"/>
      <w:r w:rsidRPr="00D34B01">
        <w:rPr>
          <w:rFonts w:ascii="Garamond" w:hAnsi="Garamond"/>
          <w:sz w:val="24"/>
          <w:szCs w:val="24"/>
        </w:rPr>
        <w:t>ORed</w:t>
      </w:r>
      <w:proofErr w:type="spellEnd"/>
      <w:r w:rsidRPr="00D34B01">
        <w:rPr>
          <w:rFonts w:ascii="Garamond" w:hAnsi="Garamond"/>
          <w:sz w:val="24"/>
          <w:szCs w:val="24"/>
        </w:rPr>
        <w:t xml:space="preserve"> w oparciu o wskazane PPE,</w:t>
      </w:r>
    </w:p>
    <w:p w14:paraId="65E98C4C" w14:textId="68A9A26B" w:rsidR="000D7A5C" w:rsidRPr="00D34B01" w:rsidRDefault="000D7A5C">
      <w:pPr>
        <w:pStyle w:val="Akapitzlist"/>
        <w:numPr>
          <w:ilvl w:val="0"/>
          <w:numId w:val="191"/>
        </w:numPr>
        <w:spacing w:after="15" w:line="249" w:lineRule="auto"/>
        <w:ind w:right="-3"/>
        <w:jc w:val="left"/>
        <w:rPr>
          <w:rFonts w:ascii="Garamond" w:hAnsi="Garamond"/>
          <w:sz w:val="24"/>
          <w:szCs w:val="24"/>
        </w:rPr>
      </w:pPr>
      <w:r w:rsidRPr="00D34B01">
        <w:rPr>
          <w:rFonts w:ascii="Garamond" w:hAnsi="Garamond"/>
          <w:sz w:val="24"/>
          <w:szCs w:val="24"/>
        </w:rPr>
        <w:t xml:space="preserve">poprawności danych zawartych we wniosku o wydanie Certyfikatu dla </w:t>
      </w:r>
      <w:proofErr w:type="spellStart"/>
      <w:r w:rsidRPr="00D34B01">
        <w:rPr>
          <w:rFonts w:ascii="Garamond" w:hAnsi="Garamond"/>
          <w:sz w:val="24"/>
          <w:szCs w:val="24"/>
        </w:rPr>
        <w:t>ORed</w:t>
      </w:r>
      <w:proofErr w:type="spellEnd"/>
      <w:r w:rsidRPr="00D34B01">
        <w:rPr>
          <w:rFonts w:ascii="Garamond" w:hAnsi="Garamond"/>
          <w:sz w:val="24"/>
          <w:szCs w:val="24"/>
        </w:rPr>
        <w:t>,</w:t>
      </w:r>
    </w:p>
    <w:p w14:paraId="4BB83087" w14:textId="18D7F1ED" w:rsidR="000D7A5C" w:rsidRPr="00D34B01" w:rsidRDefault="000D7A5C">
      <w:pPr>
        <w:pStyle w:val="Akapitzlist"/>
        <w:numPr>
          <w:ilvl w:val="0"/>
          <w:numId w:val="191"/>
        </w:numPr>
        <w:spacing w:after="15" w:line="249" w:lineRule="auto"/>
        <w:ind w:right="-3"/>
        <w:jc w:val="left"/>
        <w:rPr>
          <w:rFonts w:ascii="Garamond" w:hAnsi="Garamond"/>
          <w:sz w:val="24"/>
          <w:szCs w:val="24"/>
        </w:rPr>
      </w:pPr>
      <w:r w:rsidRPr="00D34B01">
        <w:rPr>
          <w:rFonts w:ascii="Garamond" w:hAnsi="Garamond"/>
          <w:sz w:val="24"/>
          <w:szCs w:val="24"/>
        </w:rPr>
        <w:t>przyjęciu zobowiązania do bieżącego informowania OSP, PGE Dystrybucja S.A. albo</w:t>
      </w:r>
      <w:r w:rsidR="00071341">
        <w:rPr>
          <w:rFonts w:ascii="Garamond" w:hAnsi="Garamond"/>
          <w:sz w:val="24"/>
          <w:szCs w:val="24"/>
        </w:rPr>
        <w:t xml:space="preserve">            </w:t>
      </w:r>
      <w:r w:rsidRPr="00D34B01">
        <w:rPr>
          <w:rFonts w:ascii="Garamond" w:hAnsi="Garamond"/>
          <w:sz w:val="24"/>
          <w:szCs w:val="24"/>
        </w:rPr>
        <w:t xml:space="preserve">ID Sp. z o.o. w przypadku zmiany danych, o których mowa w pkt. </w:t>
      </w:r>
      <w:r w:rsidR="00E3689C" w:rsidRPr="00D34B01">
        <w:rPr>
          <w:rFonts w:ascii="Garamond" w:hAnsi="Garamond"/>
          <w:sz w:val="24"/>
          <w:szCs w:val="24"/>
        </w:rPr>
        <w:t>I</w:t>
      </w:r>
      <w:r w:rsidRPr="00D34B01">
        <w:rPr>
          <w:rFonts w:ascii="Garamond" w:hAnsi="Garamond"/>
          <w:sz w:val="24"/>
          <w:szCs w:val="24"/>
        </w:rPr>
        <w:t>.1.8.</w:t>
      </w:r>
      <w:r w:rsidR="00071341">
        <w:rPr>
          <w:rFonts w:ascii="Garamond" w:hAnsi="Garamond"/>
          <w:sz w:val="24"/>
          <w:szCs w:val="24"/>
        </w:rPr>
        <w:t xml:space="preserve"> </w:t>
      </w:r>
      <w:r w:rsidRPr="00D34B01">
        <w:rPr>
          <w:rFonts w:ascii="Garamond" w:hAnsi="Garamond"/>
          <w:sz w:val="24"/>
          <w:szCs w:val="24"/>
        </w:rPr>
        <w:t xml:space="preserve">ppkt 1) </w:t>
      </w:r>
      <w:r w:rsidR="00E3689C" w:rsidRPr="00D34B01">
        <w:rPr>
          <w:rFonts w:ascii="Garamond" w:hAnsi="Garamond"/>
          <w:sz w:val="24"/>
          <w:szCs w:val="24"/>
        </w:rPr>
        <w:t>do</w:t>
      </w:r>
      <w:r w:rsidRPr="00D34B01">
        <w:rPr>
          <w:rFonts w:ascii="Garamond" w:hAnsi="Garamond"/>
          <w:sz w:val="24"/>
          <w:szCs w:val="24"/>
        </w:rPr>
        <w:t xml:space="preserve"> 5), niezwłocznie po dacie zaistnienia zmiany,</w:t>
      </w:r>
    </w:p>
    <w:p w14:paraId="14B96582" w14:textId="1CBF8BB9" w:rsidR="00D34B01" w:rsidRPr="00D34B01" w:rsidRDefault="000D7A5C">
      <w:pPr>
        <w:pStyle w:val="Akapitzlist"/>
        <w:numPr>
          <w:ilvl w:val="0"/>
          <w:numId w:val="191"/>
        </w:numPr>
        <w:spacing w:after="175" w:line="249" w:lineRule="auto"/>
        <w:ind w:right="-3"/>
        <w:jc w:val="left"/>
        <w:rPr>
          <w:rFonts w:ascii="Garamond" w:hAnsi="Garamond"/>
          <w:sz w:val="24"/>
          <w:szCs w:val="24"/>
        </w:rPr>
      </w:pPr>
      <w:r w:rsidRPr="00D34B01">
        <w:rPr>
          <w:rFonts w:ascii="Garamond" w:hAnsi="Garamond"/>
          <w:sz w:val="24"/>
          <w:szCs w:val="24"/>
        </w:rPr>
        <w:t xml:space="preserve">tym, że Odbiorca w </w:t>
      </w:r>
      <w:proofErr w:type="spellStart"/>
      <w:r w:rsidRPr="00D34B01">
        <w:rPr>
          <w:rFonts w:ascii="Garamond" w:hAnsi="Garamond"/>
          <w:sz w:val="24"/>
          <w:szCs w:val="24"/>
        </w:rPr>
        <w:t>ORed</w:t>
      </w:r>
      <w:proofErr w:type="spellEnd"/>
      <w:r w:rsidRPr="00D34B01">
        <w:rPr>
          <w:rFonts w:ascii="Garamond" w:hAnsi="Garamond"/>
          <w:sz w:val="24"/>
          <w:szCs w:val="24"/>
        </w:rPr>
        <w:t xml:space="preserve"> pełni jednocześnie funkcję OSDn dla certyfikowanego </w:t>
      </w:r>
      <w:proofErr w:type="spellStart"/>
      <w:r w:rsidRPr="00D34B01">
        <w:rPr>
          <w:rFonts w:ascii="Garamond" w:hAnsi="Garamond"/>
          <w:sz w:val="24"/>
          <w:szCs w:val="24"/>
        </w:rPr>
        <w:t>ORed</w:t>
      </w:r>
      <w:proofErr w:type="spellEnd"/>
      <w:r w:rsidRPr="00D34B01">
        <w:rPr>
          <w:rFonts w:ascii="Garamond" w:hAnsi="Garamond"/>
          <w:sz w:val="24"/>
          <w:szCs w:val="24"/>
        </w:rPr>
        <w:t xml:space="preserve"> (dotyczy jedynie przypadku, gdy PGE Dystrybucja S.A. wydaje certyfikat dla </w:t>
      </w:r>
      <w:proofErr w:type="spellStart"/>
      <w:r w:rsidRPr="00D34B01">
        <w:rPr>
          <w:rFonts w:ascii="Garamond" w:hAnsi="Garamond"/>
          <w:sz w:val="24"/>
          <w:szCs w:val="24"/>
        </w:rPr>
        <w:t>ORed</w:t>
      </w:r>
      <w:proofErr w:type="spellEnd"/>
      <w:r w:rsidRPr="00D34B01">
        <w:rPr>
          <w:rFonts w:ascii="Garamond" w:hAnsi="Garamond"/>
          <w:sz w:val="24"/>
          <w:szCs w:val="24"/>
        </w:rPr>
        <w:t xml:space="preserve"> będących jednocześnie OSDn).</w:t>
      </w:r>
    </w:p>
    <w:p w14:paraId="1CAED57E" w14:textId="2A5B8992" w:rsidR="000D7A5C" w:rsidRPr="00D34B01" w:rsidRDefault="000D7A5C">
      <w:pPr>
        <w:pStyle w:val="Akapitzlist"/>
        <w:numPr>
          <w:ilvl w:val="0"/>
          <w:numId w:val="191"/>
        </w:numPr>
        <w:spacing w:after="175" w:line="249" w:lineRule="auto"/>
        <w:ind w:right="-3"/>
        <w:jc w:val="left"/>
        <w:rPr>
          <w:rFonts w:ascii="Garamond" w:hAnsi="Garamond"/>
          <w:sz w:val="24"/>
          <w:szCs w:val="24"/>
        </w:rPr>
      </w:pPr>
      <w:r w:rsidRPr="00D34B01">
        <w:rPr>
          <w:rFonts w:ascii="Garamond" w:hAnsi="Garamond"/>
          <w:sz w:val="24"/>
          <w:szCs w:val="24"/>
        </w:rPr>
        <w:t xml:space="preserve">pełnomocnictwo do złożenia wniosku o wydanie Certyfikatu dla </w:t>
      </w:r>
      <w:proofErr w:type="spellStart"/>
      <w:r w:rsidRPr="00D34B01">
        <w:rPr>
          <w:rFonts w:ascii="Garamond" w:hAnsi="Garamond"/>
          <w:sz w:val="24"/>
          <w:szCs w:val="24"/>
        </w:rPr>
        <w:t>ORed</w:t>
      </w:r>
      <w:proofErr w:type="spellEnd"/>
      <w:r w:rsidRPr="00D34B01">
        <w:rPr>
          <w:rFonts w:ascii="Garamond" w:hAnsi="Garamond"/>
          <w:sz w:val="24"/>
          <w:szCs w:val="24"/>
        </w:rPr>
        <w:t xml:space="preserve">, udzielone przez Odbiorcę w </w:t>
      </w:r>
      <w:proofErr w:type="spellStart"/>
      <w:r w:rsidRPr="00D34B01">
        <w:rPr>
          <w:rFonts w:ascii="Garamond" w:hAnsi="Garamond"/>
          <w:sz w:val="24"/>
          <w:szCs w:val="24"/>
        </w:rPr>
        <w:t>ORed</w:t>
      </w:r>
      <w:proofErr w:type="spellEnd"/>
      <w:r w:rsidRPr="00D34B01">
        <w:rPr>
          <w:rFonts w:ascii="Garamond" w:hAnsi="Garamond"/>
          <w:sz w:val="24"/>
          <w:szCs w:val="24"/>
        </w:rPr>
        <w:t xml:space="preserve"> (w przypadku wniosków składanych przez podmiot upoważniany przez Odbiorcę w </w:t>
      </w:r>
      <w:proofErr w:type="spellStart"/>
      <w:r w:rsidRPr="00D34B01">
        <w:rPr>
          <w:rFonts w:ascii="Garamond" w:hAnsi="Garamond"/>
          <w:sz w:val="24"/>
          <w:szCs w:val="24"/>
        </w:rPr>
        <w:t>ORed</w:t>
      </w:r>
      <w:proofErr w:type="spellEnd"/>
      <w:r w:rsidRPr="00D34B01">
        <w:rPr>
          <w:rFonts w:ascii="Garamond" w:hAnsi="Garamond"/>
          <w:sz w:val="24"/>
          <w:szCs w:val="24"/>
        </w:rPr>
        <w:t>).</w:t>
      </w:r>
    </w:p>
    <w:p w14:paraId="7A41115F" w14:textId="603059BF" w:rsidR="000D7A5C" w:rsidRPr="00AE3F1B" w:rsidRDefault="000D7A5C" w:rsidP="00071341">
      <w:pPr>
        <w:spacing w:line="249" w:lineRule="auto"/>
        <w:ind w:left="567" w:right="-3"/>
        <w:jc w:val="left"/>
        <w:rPr>
          <w:rFonts w:ascii="Garamond" w:hAnsi="Garamond"/>
          <w:sz w:val="24"/>
          <w:szCs w:val="24"/>
        </w:rPr>
      </w:pPr>
      <w:r w:rsidRPr="00AE3F1B">
        <w:rPr>
          <w:rFonts w:ascii="Garamond" w:hAnsi="Garamond"/>
          <w:sz w:val="24"/>
          <w:szCs w:val="24"/>
        </w:rPr>
        <w:t xml:space="preserve">Odbiorca w </w:t>
      </w:r>
      <w:proofErr w:type="spellStart"/>
      <w:r w:rsidRPr="00AE3F1B">
        <w:rPr>
          <w:rFonts w:ascii="Garamond" w:hAnsi="Garamond"/>
          <w:sz w:val="24"/>
          <w:szCs w:val="24"/>
        </w:rPr>
        <w:t>ORed</w:t>
      </w:r>
      <w:proofErr w:type="spellEnd"/>
      <w:r w:rsidRPr="00AE3F1B">
        <w:rPr>
          <w:rFonts w:ascii="Garamond" w:hAnsi="Garamond"/>
          <w:sz w:val="24"/>
          <w:szCs w:val="24"/>
        </w:rPr>
        <w:t xml:space="preserve"> przyłączony do sieci PGE Dystrybucja S.A. lub upoważniony przez niego podmiot, składa do PGE Dystrybucja S.A. wniosek o wydanie Certyfikatu dla </w:t>
      </w:r>
      <w:proofErr w:type="spellStart"/>
      <w:r w:rsidRPr="00AE3F1B">
        <w:rPr>
          <w:rFonts w:ascii="Garamond" w:hAnsi="Garamond"/>
          <w:sz w:val="24"/>
          <w:szCs w:val="24"/>
        </w:rPr>
        <w:t>ORed</w:t>
      </w:r>
      <w:proofErr w:type="spellEnd"/>
      <w:r w:rsidRPr="00AE3F1B">
        <w:rPr>
          <w:rFonts w:ascii="Garamond" w:hAnsi="Garamond"/>
          <w:sz w:val="24"/>
          <w:szCs w:val="24"/>
        </w:rPr>
        <w:t xml:space="preserve"> wyłącznie w formie elektronicznej (edytowalnej oraz w postaci skanu wniosku podpisanego zgodnie z zasadami reprezentacji Odbiorcy w </w:t>
      </w:r>
      <w:proofErr w:type="spellStart"/>
      <w:r w:rsidRPr="00AE3F1B">
        <w:rPr>
          <w:rFonts w:ascii="Garamond" w:hAnsi="Garamond"/>
          <w:sz w:val="24"/>
          <w:szCs w:val="24"/>
        </w:rPr>
        <w:t>ORed</w:t>
      </w:r>
      <w:proofErr w:type="spellEnd"/>
      <w:r w:rsidRPr="00AE3F1B">
        <w:rPr>
          <w:rFonts w:ascii="Garamond" w:hAnsi="Garamond"/>
          <w:sz w:val="24"/>
          <w:szCs w:val="24"/>
        </w:rPr>
        <w:t xml:space="preserve">). Wniosek składany jest na wskazany przez PGE Dystrybucja S.A. adres poczty elektronicznej, opublikowany na stronie internetowej PGE Dystrybucja </w:t>
      </w:r>
      <w:r w:rsidR="00071341" w:rsidRPr="00AE3F1B">
        <w:rPr>
          <w:rFonts w:ascii="Garamond" w:hAnsi="Garamond"/>
          <w:sz w:val="24"/>
          <w:szCs w:val="24"/>
        </w:rPr>
        <w:t>S.A.</w:t>
      </w:r>
    </w:p>
    <w:p w14:paraId="2D44581B" w14:textId="77777777" w:rsidR="000D7A5C" w:rsidRPr="00AE3F1B" w:rsidRDefault="000D7A5C" w:rsidP="006316A5">
      <w:pPr>
        <w:spacing w:after="183" w:line="249" w:lineRule="auto"/>
        <w:ind w:left="567" w:right="-3"/>
        <w:jc w:val="left"/>
        <w:rPr>
          <w:rFonts w:ascii="Garamond" w:hAnsi="Garamond"/>
          <w:sz w:val="24"/>
          <w:szCs w:val="24"/>
        </w:rPr>
      </w:pPr>
      <w:r w:rsidRPr="00AE3F1B">
        <w:rPr>
          <w:rFonts w:ascii="Garamond" w:hAnsi="Garamond"/>
          <w:sz w:val="24"/>
          <w:szCs w:val="24"/>
        </w:rPr>
        <w:t xml:space="preserve">Na każde żądanie PGE Dystrybucja S.A., Odbiorca w </w:t>
      </w:r>
      <w:proofErr w:type="spellStart"/>
      <w:r w:rsidRPr="00AE3F1B">
        <w:rPr>
          <w:rFonts w:ascii="Garamond" w:hAnsi="Garamond"/>
          <w:sz w:val="24"/>
          <w:szCs w:val="24"/>
        </w:rPr>
        <w:t>ORed</w:t>
      </w:r>
      <w:proofErr w:type="spellEnd"/>
      <w:r w:rsidRPr="00AE3F1B">
        <w:rPr>
          <w:rFonts w:ascii="Garamond" w:hAnsi="Garamond"/>
          <w:sz w:val="24"/>
          <w:szCs w:val="24"/>
        </w:rPr>
        <w:t xml:space="preserve"> dostarczy do PGE Dystrybucja S.A. w terminie 7 dni kalendarzowych od otrzymania żądania, oryginał wniosku o wydanie certyfikatu albo kopii wniosku poświadczonej przez upoważnionego przedstawiciela Odbiorcy w </w:t>
      </w:r>
      <w:proofErr w:type="spellStart"/>
      <w:r w:rsidRPr="00AE3F1B">
        <w:rPr>
          <w:rFonts w:ascii="Garamond" w:hAnsi="Garamond"/>
          <w:sz w:val="24"/>
          <w:szCs w:val="24"/>
        </w:rPr>
        <w:t>ORed</w:t>
      </w:r>
      <w:proofErr w:type="spellEnd"/>
      <w:r w:rsidRPr="00AE3F1B">
        <w:rPr>
          <w:rFonts w:ascii="Garamond" w:hAnsi="Garamond"/>
          <w:sz w:val="24"/>
          <w:szCs w:val="24"/>
        </w:rPr>
        <w:t>.</w:t>
      </w:r>
    </w:p>
    <w:p w14:paraId="31F4E18C" w14:textId="353F6157" w:rsidR="000D7A5C" w:rsidRPr="00AE3F1B" w:rsidRDefault="000D7A5C" w:rsidP="00175586">
      <w:pPr>
        <w:spacing w:after="116" w:line="249" w:lineRule="auto"/>
        <w:ind w:left="567" w:right="-3" w:hanging="567"/>
        <w:jc w:val="left"/>
        <w:rPr>
          <w:rFonts w:ascii="Garamond" w:hAnsi="Garamond"/>
          <w:sz w:val="24"/>
          <w:szCs w:val="24"/>
        </w:rPr>
      </w:pPr>
      <w:r w:rsidRPr="00AE3F1B">
        <w:rPr>
          <w:rFonts w:ascii="Garamond" w:hAnsi="Garamond"/>
          <w:sz w:val="24"/>
          <w:szCs w:val="24"/>
        </w:rPr>
        <w:t>I.1.9.</w:t>
      </w:r>
      <w:r w:rsidR="007D62F0">
        <w:rPr>
          <w:rFonts w:ascii="Garamond" w:hAnsi="Garamond"/>
          <w:sz w:val="24"/>
          <w:szCs w:val="24"/>
        </w:rPr>
        <w:t xml:space="preserve"> </w:t>
      </w:r>
      <w:r w:rsidR="007D62F0">
        <w:rPr>
          <w:rFonts w:ascii="Garamond" w:hAnsi="Garamond"/>
          <w:sz w:val="24"/>
          <w:szCs w:val="24"/>
        </w:rPr>
        <w:tab/>
      </w:r>
      <w:r w:rsidRPr="00AE3F1B">
        <w:rPr>
          <w:rFonts w:ascii="Garamond" w:hAnsi="Garamond"/>
          <w:sz w:val="24"/>
          <w:szCs w:val="24"/>
        </w:rPr>
        <w:t>Certyfikacja obejmuje weryfikację:</w:t>
      </w:r>
    </w:p>
    <w:p w14:paraId="1A7D7441" w14:textId="77777777" w:rsidR="000D7A5C" w:rsidRPr="00AE3F1B" w:rsidRDefault="000D7A5C">
      <w:pPr>
        <w:numPr>
          <w:ilvl w:val="1"/>
          <w:numId w:val="53"/>
        </w:numPr>
        <w:spacing w:after="15" w:line="249" w:lineRule="auto"/>
        <w:ind w:left="851" w:right="-3" w:hanging="425"/>
        <w:jc w:val="left"/>
        <w:rPr>
          <w:rFonts w:ascii="Garamond" w:hAnsi="Garamond"/>
          <w:sz w:val="24"/>
          <w:szCs w:val="24"/>
        </w:rPr>
      </w:pPr>
      <w:r w:rsidRPr="00AE3F1B">
        <w:rPr>
          <w:rFonts w:ascii="Garamond" w:hAnsi="Garamond"/>
          <w:sz w:val="24"/>
          <w:szCs w:val="24"/>
        </w:rPr>
        <w:t xml:space="preserve">kompletności wniosku o wydanie Certyfikatu dla </w:t>
      </w:r>
      <w:proofErr w:type="spellStart"/>
      <w:r w:rsidRPr="00AE3F1B">
        <w:rPr>
          <w:rFonts w:ascii="Garamond" w:hAnsi="Garamond"/>
          <w:sz w:val="24"/>
          <w:szCs w:val="24"/>
        </w:rPr>
        <w:t>ORed</w:t>
      </w:r>
      <w:proofErr w:type="spellEnd"/>
      <w:r w:rsidRPr="00AE3F1B">
        <w:rPr>
          <w:rFonts w:ascii="Garamond" w:hAnsi="Garamond"/>
          <w:sz w:val="24"/>
          <w:szCs w:val="24"/>
        </w:rPr>
        <w:t>;</w:t>
      </w:r>
    </w:p>
    <w:p w14:paraId="59E1A486" w14:textId="77777777" w:rsidR="000D7A5C" w:rsidRPr="00AE3F1B" w:rsidRDefault="000D7A5C">
      <w:pPr>
        <w:numPr>
          <w:ilvl w:val="1"/>
          <w:numId w:val="53"/>
        </w:numPr>
        <w:spacing w:after="15" w:line="249" w:lineRule="auto"/>
        <w:ind w:left="851" w:right="-3" w:hanging="425"/>
        <w:jc w:val="left"/>
        <w:rPr>
          <w:rFonts w:ascii="Garamond" w:hAnsi="Garamond"/>
          <w:sz w:val="24"/>
          <w:szCs w:val="24"/>
        </w:rPr>
      </w:pPr>
      <w:r w:rsidRPr="00AE3F1B">
        <w:rPr>
          <w:rFonts w:ascii="Garamond" w:hAnsi="Garamond"/>
          <w:sz w:val="24"/>
          <w:szCs w:val="24"/>
        </w:rPr>
        <w:t xml:space="preserve">poprawności kodów PPE wskazanych we wniosku o wydanie Certyfikatu dla </w:t>
      </w:r>
      <w:proofErr w:type="spellStart"/>
      <w:r w:rsidRPr="00AE3F1B">
        <w:rPr>
          <w:rFonts w:ascii="Garamond" w:hAnsi="Garamond"/>
          <w:sz w:val="24"/>
          <w:szCs w:val="24"/>
        </w:rPr>
        <w:t>ORed</w:t>
      </w:r>
      <w:proofErr w:type="spellEnd"/>
      <w:r w:rsidRPr="00AE3F1B">
        <w:rPr>
          <w:rFonts w:ascii="Garamond" w:hAnsi="Garamond"/>
          <w:sz w:val="24"/>
          <w:szCs w:val="24"/>
        </w:rPr>
        <w:t>;</w:t>
      </w:r>
    </w:p>
    <w:p w14:paraId="40718A63" w14:textId="77777777" w:rsidR="000D7A5C" w:rsidRPr="00AE3F1B" w:rsidRDefault="000D7A5C">
      <w:pPr>
        <w:numPr>
          <w:ilvl w:val="1"/>
          <w:numId w:val="53"/>
        </w:numPr>
        <w:spacing w:after="15" w:line="249" w:lineRule="auto"/>
        <w:ind w:left="851" w:right="-3" w:hanging="425"/>
        <w:jc w:val="left"/>
        <w:rPr>
          <w:rFonts w:ascii="Garamond" w:hAnsi="Garamond"/>
          <w:sz w:val="24"/>
          <w:szCs w:val="24"/>
        </w:rPr>
      </w:pPr>
      <w:r w:rsidRPr="00AE3F1B">
        <w:rPr>
          <w:rFonts w:ascii="Garamond" w:hAnsi="Garamond"/>
          <w:sz w:val="24"/>
          <w:szCs w:val="24"/>
        </w:rPr>
        <w:t xml:space="preserve">kompletności układu zasilania </w:t>
      </w:r>
      <w:proofErr w:type="spellStart"/>
      <w:r w:rsidRPr="00AE3F1B">
        <w:rPr>
          <w:rFonts w:ascii="Garamond" w:hAnsi="Garamond"/>
          <w:sz w:val="24"/>
          <w:szCs w:val="24"/>
        </w:rPr>
        <w:t>ORed</w:t>
      </w:r>
      <w:proofErr w:type="spellEnd"/>
      <w:r w:rsidRPr="00AE3F1B">
        <w:rPr>
          <w:rFonts w:ascii="Garamond" w:hAnsi="Garamond"/>
          <w:sz w:val="24"/>
          <w:szCs w:val="24"/>
        </w:rPr>
        <w:t xml:space="preserve"> wskazanego we wniosku o wydanie Certyfikatu dla </w:t>
      </w:r>
      <w:proofErr w:type="spellStart"/>
      <w:r w:rsidRPr="00AE3F1B">
        <w:rPr>
          <w:rFonts w:ascii="Garamond" w:hAnsi="Garamond"/>
          <w:sz w:val="24"/>
          <w:szCs w:val="24"/>
        </w:rPr>
        <w:t>ORed</w:t>
      </w:r>
      <w:proofErr w:type="spellEnd"/>
      <w:r w:rsidRPr="00AE3F1B">
        <w:rPr>
          <w:rFonts w:ascii="Garamond" w:hAnsi="Garamond"/>
          <w:sz w:val="24"/>
          <w:szCs w:val="24"/>
        </w:rPr>
        <w:t>, w oparciu o podane przez wnioskodawcę PPE;</w:t>
      </w:r>
    </w:p>
    <w:p w14:paraId="5ED6CC68" w14:textId="77DF67E9" w:rsidR="000D7A5C" w:rsidRPr="00AE3F1B" w:rsidRDefault="000D7A5C">
      <w:pPr>
        <w:numPr>
          <w:ilvl w:val="1"/>
          <w:numId w:val="53"/>
        </w:numPr>
        <w:spacing w:after="15" w:line="249" w:lineRule="auto"/>
        <w:ind w:left="851" w:right="-3" w:hanging="425"/>
        <w:jc w:val="left"/>
        <w:rPr>
          <w:rFonts w:ascii="Garamond" w:hAnsi="Garamond"/>
          <w:sz w:val="24"/>
          <w:szCs w:val="24"/>
        </w:rPr>
      </w:pPr>
      <w:r w:rsidRPr="00AE3F1B">
        <w:rPr>
          <w:rFonts w:ascii="Garamond" w:hAnsi="Garamond"/>
          <w:sz w:val="24"/>
          <w:szCs w:val="24"/>
        </w:rPr>
        <w:t xml:space="preserve">spełniania, według stanu na dzień złożenia wniosku o wydanie Certyfikatu dla </w:t>
      </w:r>
      <w:proofErr w:type="spellStart"/>
      <w:r w:rsidRPr="00AE3F1B">
        <w:rPr>
          <w:rFonts w:ascii="Garamond" w:hAnsi="Garamond"/>
          <w:sz w:val="24"/>
          <w:szCs w:val="24"/>
        </w:rPr>
        <w:t>ORed</w:t>
      </w:r>
      <w:proofErr w:type="spellEnd"/>
      <w:r w:rsidRPr="00AE3F1B">
        <w:rPr>
          <w:rFonts w:ascii="Garamond" w:hAnsi="Garamond"/>
          <w:sz w:val="24"/>
          <w:szCs w:val="24"/>
        </w:rPr>
        <w:t xml:space="preserve">, przez układy pomiarowo-rozliczeniowe zainstalowane w PPE wymagań technicznych określonych w </w:t>
      </w:r>
      <w:r w:rsidR="00BA6D98" w:rsidRPr="00BA6D98">
        <w:rPr>
          <w:rFonts w:ascii="Garamond" w:hAnsi="Garamond"/>
          <w:sz w:val="24"/>
          <w:szCs w:val="24"/>
        </w:rPr>
        <w:t xml:space="preserve">IRiESD </w:t>
      </w:r>
      <w:r w:rsidRPr="00AE3F1B">
        <w:rPr>
          <w:rFonts w:ascii="Garamond" w:hAnsi="Garamond"/>
          <w:sz w:val="24"/>
          <w:szCs w:val="24"/>
        </w:rPr>
        <w:t>PGE Dystrybucja S.A. lub ID Sp. z o.o., jak dla układów pomiarowo</w:t>
      </w:r>
      <w:r w:rsidR="00071341">
        <w:rPr>
          <w:rFonts w:ascii="Garamond" w:hAnsi="Garamond"/>
          <w:sz w:val="24"/>
          <w:szCs w:val="24"/>
        </w:rPr>
        <w:t>-</w:t>
      </w:r>
      <w:r w:rsidRPr="00AE3F1B">
        <w:rPr>
          <w:rFonts w:ascii="Garamond" w:hAnsi="Garamond"/>
          <w:sz w:val="24"/>
          <w:szCs w:val="24"/>
        </w:rPr>
        <w:t>rozliczeniowych instalowanych u URD będących odbiorcami, którzy korzystają z prawa wyboru sprzedawcy;</w:t>
      </w:r>
    </w:p>
    <w:p w14:paraId="716CA6D1" w14:textId="77777777" w:rsidR="000D7A5C" w:rsidRPr="00AE3F1B" w:rsidRDefault="000D7A5C">
      <w:pPr>
        <w:numPr>
          <w:ilvl w:val="1"/>
          <w:numId w:val="53"/>
        </w:numPr>
        <w:spacing w:after="143" w:line="249" w:lineRule="auto"/>
        <w:ind w:left="851" w:right="-3" w:hanging="425"/>
        <w:jc w:val="left"/>
        <w:rPr>
          <w:rFonts w:ascii="Garamond" w:hAnsi="Garamond"/>
          <w:sz w:val="24"/>
          <w:szCs w:val="24"/>
        </w:rPr>
      </w:pPr>
      <w:r w:rsidRPr="00AE3F1B">
        <w:rPr>
          <w:rFonts w:ascii="Garamond" w:hAnsi="Garamond"/>
          <w:sz w:val="24"/>
          <w:szCs w:val="24"/>
        </w:rPr>
        <w:lastRenderedPageBreak/>
        <w:t>zdalnego pozyskiwania godzinowych danych pomiarowych i ich przekazywania do OSP w trybie dobowym.</w:t>
      </w:r>
    </w:p>
    <w:p w14:paraId="7048957C" w14:textId="31D8EA79" w:rsidR="000D7A5C" w:rsidRPr="00AE3F1B" w:rsidRDefault="000D7A5C" w:rsidP="0025770E">
      <w:pPr>
        <w:spacing w:after="128"/>
        <w:ind w:left="567" w:right="-3" w:hanging="567"/>
        <w:jc w:val="left"/>
        <w:rPr>
          <w:rFonts w:ascii="Garamond" w:hAnsi="Garamond"/>
          <w:sz w:val="24"/>
          <w:szCs w:val="24"/>
        </w:rPr>
      </w:pPr>
      <w:r w:rsidRPr="00AE3F1B">
        <w:rPr>
          <w:rFonts w:ascii="Garamond" w:hAnsi="Garamond"/>
          <w:sz w:val="24"/>
          <w:szCs w:val="24"/>
        </w:rPr>
        <w:t>I.1.10. Brak potwierdzenia spełnienia przynajmniej jednego z warunków określonych w pkt</w:t>
      </w:r>
      <w:r w:rsidR="00E3689C" w:rsidRPr="00AE3F1B">
        <w:rPr>
          <w:rFonts w:ascii="Garamond" w:hAnsi="Garamond"/>
          <w:sz w:val="24"/>
          <w:szCs w:val="24"/>
        </w:rPr>
        <w:t xml:space="preserve"> I</w:t>
      </w:r>
      <w:r w:rsidRPr="00AE3F1B">
        <w:rPr>
          <w:rFonts w:ascii="Garamond" w:hAnsi="Garamond"/>
          <w:sz w:val="24"/>
          <w:szCs w:val="24"/>
        </w:rPr>
        <w:t xml:space="preserve">.1.9. skutkuje odrzuceniem wniosku o wydanie Certyfikatu dla </w:t>
      </w:r>
      <w:proofErr w:type="spellStart"/>
      <w:r w:rsidRPr="00AE3F1B">
        <w:rPr>
          <w:rFonts w:ascii="Garamond" w:hAnsi="Garamond"/>
          <w:sz w:val="24"/>
          <w:szCs w:val="24"/>
        </w:rPr>
        <w:t>ORed</w:t>
      </w:r>
      <w:proofErr w:type="spellEnd"/>
      <w:r w:rsidRPr="00AE3F1B">
        <w:rPr>
          <w:rFonts w:ascii="Garamond" w:hAnsi="Garamond"/>
          <w:sz w:val="24"/>
          <w:szCs w:val="24"/>
        </w:rPr>
        <w:t xml:space="preserve"> przez PGE Dystrybucja S.A. albo ID Sp. </w:t>
      </w:r>
      <w:r w:rsidR="00071341" w:rsidRPr="00AE3F1B">
        <w:rPr>
          <w:rFonts w:ascii="Garamond" w:hAnsi="Garamond"/>
          <w:sz w:val="24"/>
          <w:szCs w:val="24"/>
        </w:rPr>
        <w:t>z o.o.</w:t>
      </w:r>
      <w:r w:rsidRPr="00AE3F1B">
        <w:rPr>
          <w:rFonts w:ascii="Garamond" w:hAnsi="Garamond"/>
          <w:sz w:val="24"/>
          <w:szCs w:val="24"/>
        </w:rPr>
        <w:t xml:space="preserve"> W przypadku odrzucenia powyższego wniosku, odpowiednio PGE Dystrybucja S.A. albo ID Sp. z o.o. niezwłocznie informuje wnioskodawcę o przyczynach odrzucenia tego wniosku.</w:t>
      </w:r>
    </w:p>
    <w:p w14:paraId="2B9BB61A" w14:textId="3C24F7FE" w:rsidR="000D7A5C" w:rsidRPr="00AE3F1B" w:rsidRDefault="000D7A5C" w:rsidP="00175586">
      <w:pPr>
        <w:spacing w:after="15" w:line="249" w:lineRule="auto"/>
        <w:ind w:left="567" w:right="-3" w:hanging="567"/>
        <w:jc w:val="left"/>
        <w:rPr>
          <w:rFonts w:ascii="Garamond" w:hAnsi="Garamond"/>
          <w:sz w:val="24"/>
          <w:szCs w:val="24"/>
        </w:rPr>
      </w:pPr>
      <w:r w:rsidRPr="00AE3F1B">
        <w:rPr>
          <w:rFonts w:ascii="Garamond" w:hAnsi="Garamond"/>
          <w:sz w:val="24"/>
          <w:szCs w:val="24"/>
        </w:rPr>
        <w:t xml:space="preserve">I.1.11. W przypadku złożenia wniosku o wydanie Certyfikatu dla </w:t>
      </w:r>
      <w:proofErr w:type="spellStart"/>
      <w:r w:rsidRPr="00AE3F1B">
        <w:rPr>
          <w:rFonts w:ascii="Garamond" w:hAnsi="Garamond"/>
          <w:sz w:val="24"/>
          <w:szCs w:val="24"/>
        </w:rPr>
        <w:t>ORed</w:t>
      </w:r>
      <w:proofErr w:type="spellEnd"/>
      <w:r w:rsidRPr="00AE3F1B">
        <w:rPr>
          <w:rFonts w:ascii="Garamond" w:hAnsi="Garamond"/>
          <w:sz w:val="24"/>
          <w:szCs w:val="24"/>
        </w:rPr>
        <w:t xml:space="preserve"> do ID Sp. z o.o., OSD dokonuje weryfikacji, o której mowa w pkt</w:t>
      </w:r>
      <w:r w:rsidR="00E3689C" w:rsidRPr="00AE3F1B">
        <w:rPr>
          <w:rFonts w:ascii="Garamond" w:hAnsi="Garamond"/>
          <w:sz w:val="24"/>
          <w:szCs w:val="24"/>
        </w:rPr>
        <w:t xml:space="preserve"> I</w:t>
      </w:r>
      <w:r w:rsidRPr="00AE3F1B">
        <w:rPr>
          <w:rFonts w:ascii="Garamond" w:hAnsi="Garamond"/>
          <w:sz w:val="24"/>
          <w:szCs w:val="24"/>
        </w:rPr>
        <w:t xml:space="preserve">.1.9., w terminie 14 dni od daty otrzymania </w:t>
      </w:r>
      <w:r w:rsidR="00071341" w:rsidRPr="00AE3F1B">
        <w:rPr>
          <w:rFonts w:ascii="Garamond" w:hAnsi="Garamond"/>
          <w:sz w:val="24"/>
          <w:szCs w:val="24"/>
        </w:rPr>
        <w:t xml:space="preserve">wniosku </w:t>
      </w:r>
      <w:r w:rsidR="00071341">
        <w:rPr>
          <w:rFonts w:ascii="Garamond" w:hAnsi="Garamond"/>
          <w:sz w:val="24"/>
          <w:szCs w:val="24"/>
        </w:rPr>
        <w:t>i</w:t>
      </w:r>
      <w:r w:rsidRPr="00AE3F1B">
        <w:rPr>
          <w:rFonts w:ascii="Garamond" w:hAnsi="Garamond"/>
          <w:sz w:val="24"/>
          <w:szCs w:val="24"/>
        </w:rPr>
        <w:t xml:space="preserve"> przekazuje Certyfikat dla </w:t>
      </w:r>
      <w:proofErr w:type="spellStart"/>
      <w:r w:rsidRPr="00AE3F1B">
        <w:rPr>
          <w:rFonts w:ascii="Garamond" w:hAnsi="Garamond"/>
          <w:sz w:val="24"/>
          <w:szCs w:val="24"/>
        </w:rPr>
        <w:t>ORed</w:t>
      </w:r>
      <w:proofErr w:type="spellEnd"/>
      <w:r w:rsidRPr="00AE3F1B">
        <w:rPr>
          <w:rFonts w:ascii="Garamond" w:hAnsi="Garamond"/>
          <w:sz w:val="24"/>
          <w:szCs w:val="24"/>
        </w:rPr>
        <w:t xml:space="preserve"> (wzorowany na wzorze Certyfikatu dla </w:t>
      </w:r>
      <w:proofErr w:type="spellStart"/>
      <w:r w:rsidRPr="00AE3F1B">
        <w:rPr>
          <w:rFonts w:ascii="Garamond" w:hAnsi="Garamond"/>
          <w:sz w:val="24"/>
          <w:szCs w:val="24"/>
        </w:rPr>
        <w:t>ORed</w:t>
      </w:r>
      <w:proofErr w:type="spellEnd"/>
      <w:r w:rsidRPr="00AE3F1B">
        <w:rPr>
          <w:rFonts w:ascii="Garamond" w:hAnsi="Garamond"/>
          <w:sz w:val="24"/>
          <w:szCs w:val="24"/>
        </w:rPr>
        <w:t>, o którym mowa w pkt</w:t>
      </w:r>
      <w:r w:rsidR="00E3689C" w:rsidRPr="00AE3F1B">
        <w:rPr>
          <w:rFonts w:ascii="Garamond" w:hAnsi="Garamond"/>
          <w:sz w:val="24"/>
          <w:szCs w:val="24"/>
        </w:rPr>
        <w:t xml:space="preserve"> I</w:t>
      </w:r>
      <w:r w:rsidRPr="00AE3F1B">
        <w:rPr>
          <w:rFonts w:ascii="Garamond" w:hAnsi="Garamond"/>
          <w:sz w:val="24"/>
          <w:szCs w:val="24"/>
        </w:rPr>
        <w:t xml:space="preserve">.1.7.) do PGE Dystrybucja S.A., celem rejestracji w systemie informatycznym OSP dedykowanym usłudze redukcji zapotrzebowania na polecenie OSP. Przekazany do PGE Dystrybucja S.A. Certyfikat dla </w:t>
      </w:r>
      <w:proofErr w:type="spellStart"/>
      <w:r w:rsidRPr="00AE3F1B">
        <w:rPr>
          <w:rFonts w:ascii="Garamond" w:hAnsi="Garamond"/>
          <w:sz w:val="24"/>
          <w:szCs w:val="24"/>
        </w:rPr>
        <w:t>ORed</w:t>
      </w:r>
      <w:proofErr w:type="spellEnd"/>
      <w:r w:rsidRPr="00AE3F1B">
        <w:rPr>
          <w:rFonts w:ascii="Garamond" w:hAnsi="Garamond"/>
          <w:sz w:val="24"/>
          <w:szCs w:val="24"/>
        </w:rPr>
        <w:t xml:space="preserve"> nie zawiera unikalnego numeru certyfikatu, unikalnego identyfikatora </w:t>
      </w:r>
      <w:proofErr w:type="spellStart"/>
      <w:r w:rsidRPr="00AE3F1B">
        <w:rPr>
          <w:rFonts w:ascii="Garamond" w:hAnsi="Garamond"/>
          <w:sz w:val="24"/>
          <w:szCs w:val="24"/>
        </w:rPr>
        <w:t>ORed</w:t>
      </w:r>
      <w:proofErr w:type="spellEnd"/>
      <w:r w:rsidRPr="00AE3F1B">
        <w:rPr>
          <w:rFonts w:ascii="Garamond" w:hAnsi="Garamond"/>
          <w:sz w:val="24"/>
          <w:szCs w:val="24"/>
        </w:rPr>
        <w:t xml:space="preserve"> oraz daty wydania Certyfikatu, które zostaną nadane automatycznie przez ww. system informatyczny OSP, podczas rejestracji certyfikatu. ID Sp. z o.o. przekazuje</w:t>
      </w:r>
      <w:r w:rsidR="00071341">
        <w:rPr>
          <w:rFonts w:ascii="Garamond" w:hAnsi="Garamond"/>
          <w:sz w:val="24"/>
          <w:szCs w:val="24"/>
        </w:rPr>
        <w:t xml:space="preserve"> </w:t>
      </w:r>
      <w:r w:rsidRPr="00AE3F1B">
        <w:rPr>
          <w:rFonts w:ascii="Garamond" w:hAnsi="Garamond"/>
          <w:sz w:val="24"/>
          <w:szCs w:val="24"/>
        </w:rPr>
        <w:t xml:space="preserve">Certyfikat dla </w:t>
      </w:r>
      <w:proofErr w:type="spellStart"/>
      <w:r w:rsidRPr="00AE3F1B">
        <w:rPr>
          <w:rFonts w:ascii="Garamond" w:hAnsi="Garamond"/>
          <w:sz w:val="24"/>
          <w:szCs w:val="24"/>
        </w:rPr>
        <w:t>ORed</w:t>
      </w:r>
      <w:proofErr w:type="spellEnd"/>
      <w:r w:rsidRPr="00AE3F1B">
        <w:rPr>
          <w:rFonts w:ascii="Garamond" w:hAnsi="Garamond"/>
          <w:sz w:val="24"/>
          <w:szCs w:val="24"/>
        </w:rPr>
        <w:t xml:space="preserve"> do PGE Dystrybucja S.A. wyłącznie w formie elektronicznej (edytowalnej oraz w postaci skanu certyfikatu podpisanego zgodnie z zasadami reprezentacji ID Sp. z o.o.) wraz ze skanem pełnomocnictwa, o którym mowa w pkt </w:t>
      </w:r>
      <w:r w:rsidR="00E3689C" w:rsidRPr="00AE3F1B">
        <w:rPr>
          <w:rFonts w:ascii="Garamond" w:hAnsi="Garamond"/>
          <w:sz w:val="24"/>
          <w:szCs w:val="24"/>
        </w:rPr>
        <w:t>I</w:t>
      </w:r>
      <w:r w:rsidRPr="00AE3F1B">
        <w:rPr>
          <w:rFonts w:ascii="Garamond" w:hAnsi="Garamond"/>
          <w:sz w:val="24"/>
          <w:szCs w:val="24"/>
        </w:rPr>
        <w:t>.1.</w:t>
      </w:r>
      <w:r w:rsidR="00071341" w:rsidRPr="00AE3F1B">
        <w:rPr>
          <w:rFonts w:ascii="Garamond" w:hAnsi="Garamond"/>
          <w:sz w:val="24"/>
          <w:szCs w:val="24"/>
        </w:rPr>
        <w:t>5.</w:t>
      </w:r>
      <w:r w:rsidRPr="00AE3F1B">
        <w:rPr>
          <w:rFonts w:ascii="Garamond" w:hAnsi="Garamond"/>
          <w:sz w:val="24"/>
          <w:szCs w:val="24"/>
        </w:rPr>
        <w:t xml:space="preserve"> Certyfikat przekazywany jest na wskazany przez PGE Dystrybucja S.A. adres poczty elektronicznej, opublikowany na stronie internetowej PGE Dystrybucja S.A. Na każde żądanie PGE Dystrybucja S.A., ID Sp. z o.o. dostarczy do PGE Dystrybucja S.A. w terminie 7 dni kalendarzowych od otrzymania żądania, oryginały certyfikatu i pełnomocnictwa, o którym mowa w pkt</w:t>
      </w:r>
      <w:r w:rsidR="00E3689C" w:rsidRPr="00AE3F1B">
        <w:rPr>
          <w:rFonts w:ascii="Garamond" w:hAnsi="Garamond"/>
          <w:sz w:val="24"/>
          <w:szCs w:val="24"/>
        </w:rPr>
        <w:t xml:space="preserve"> I</w:t>
      </w:r>
      <w:r w:rsidRPr="00AE3F1B">
        <w:rPr>
          <w:rFonts w:ascii="Garamond" w:hAnsi="Garamond"/>
          <w:sz w:val="24"/>
          <w:szCs w:val="24"/>
        </w:rPr>
        <w:t xml:space="preserve">.1.5., albo kopii tych dokumentów poświadczonych przez upoważnionego przedstawiciela ID Sp. </w:t>
      </w:r>
      <w:r w:rsidR="00071341" w:rsidRPr="00AE3F1B">
        <w:rPr>
          <w:rFonts w:ascii="Garamond" w:hAnsi="Garamond"/>
          <w:sz w:val="24"/>
          <w:szCs w:val="24"/>
        </w:rPr>
        <w:t>z o.o.</w:t>
      </w:r>
    </w:p>
    <w:p w14:paraId="0FA5C742" w14:textId="77777777" w:rsidR="000D7A5C" w:rsidRPr="00AE3F1B" w:rsidRDefault="000D7A5C" w:rsidP="006316A5">
      <w:pPr>
        <w:spacing w:after="142" w:line="249" w:lineRule="auto"/>
        <w:ind w:left="567" w:right="-3"/>
        <w:jc w:val="left"/>
        <w:rPr>
          <w:rFonts w:ascii="Garamond" w:hAnsi="Garamond"/>
          <w:sz w:val="24"/>
          <w:szCs w:val="24"/>
        </w:rPr>
      </w:pPr>
      <w:r w:rsidRPr="00AE3F1B">
        <w:rPr>
          <w:rFonts w:ascii="Garamond" w:hAnsi="Garamond"/>
          <w:sz w:val="24"/>
          <w:szCs w:val="24"/>
        </w:rPr>
        <w:t xml:space="preserve">ID Sp. z o.o. odpowiada za dokonaną weryfikację i potwierdzenie spełnienia przez </w:t>
      </w:r>
      <w:proofErr w:type="spellStart"/>
      <w:r w:rsidRPr="00AE3F1B">
        <w:rPr>
          <w:rFonts w:ascii="Garamond" w:hAnsi="Garamond"/>
          <w:sz w:val="24"/>
          <w:szCs w:val="24"/>
        </w:rPr>
        <w:t>ORed</w:t>
      </w:r>
      <w:proofErr w:type="spellEnd"/>
      <w:r w:rsidRPr="00AE3F1B">
        <w:rPr>
          <w:rFonts w:ascii="Garamond" w:hAnsi="Garamond"/>
          <w:sz w:val="24"/>
          <w:szCs w:val="24"/>
        </w:rPr>
        <w:t xml:space="preserve"> kryteriów dopuszczalności określonych w pkt</w:t>
      </w:r>
      <w:r w:rsidR="00E3689C" w:rsidRPr="00AE3F1B">
        <w:rPr>
          <w:rFonts w:ascii="Garamond" w:hAnsi="Garamond"/>
          <w:sz w:val="24"/>
          <w:szCs w:val="24"/>
        </w:rPr>
        <w:t xml:space="preserve"> I</w:t>
      </w:r>
      <w:r w:rsidRPr="00AE3F1B">
        <w:rPr>
          <w:rFonts w:ascii="Garamond" w:hAnsi="Garamond"/>
          <w:sz w:val="24"/>
          <w:szCs w:val="24"/>
        </w:rPr>
        <w:t>. 1.9.</w:t>
      </w:r>
    </w:p>
    <w:p w14:paraId="65D9F136" w14:textId="77777777" w:rsidR="000D7A5C" w:rsidRPr="00AE3F1B" w:rsidRDefault="000D7A5C" w:rsidP="00175586">
      <w:pPr>
        <w:spacing w:after="201" w:line="249" w:lineRule="auto"/>
        <w:ind w:left="567" w:right="-3" w:hanging="567"/>
        <w:jc w:val="left"/>
        <w:rPr>
          <w:rFonts w:ascii="Garamond" w:hAnsi="Garamond"/>
          <w:sz w:val="24"/>
          <w:szCs w:val="24"/>
        </w:rPr>
      </w:pPr>
      <w:r w:rsidRPr="00AE3F1B">
        <w:rPr>
          <w:rFonts w:ascii="Garamond" w:hAnsi="Garamond"/>
          <w:sz w:val="24"/>
          <w:szCs w:val="24"/>
        </w:rPr>
        <w:t xml:space="preserve">I.1.12. Wydanie Certyfikatu dla </w:t>
      </w:r>
      <w:proofErr w:type="spellStart"/>
      <w:r w:rsidRPr="00AE3F1B">
        <w:rPr>
          <w:rFonts w:ascii="Garamond" w:hAnsi="Garamond"/>
          <w:sz w:val="24"/>
          <w:szCs w:val="24"/>
        </w:rPr>
        <w:t>ORed</w:t>
      </w:r>
      <w:proofErr w:type="spellEnd"/>
      <w:r w:rsidRPr="00AE3F1B">
        <w:rPr>
          <w:rFonts w:ascii="Garamond" w:hAnsi="Garamond"/>
          <w:sz w:val="24"/>
          <w:szCs w:val="24"/>
        </w:rPr>
        <w:t xml:space="preserve"> następuje w terminie 14 dni od dnia złożenia kompletnego wniosku do PGE Dystrybucja S.A. albo ID Sp. z o.o. W uzasadnionych przypadkach termin wydania Certyfikatu dla </w:t>
      </w:r>
      <w:proofErr w:type="spellStart"/>
      <w:r w:rsidRPr="00AE3F1B">
        <w:rPr>
          <w:rFonts w:ascii="Garamond" w:hAnsi="Garamond"/>
          <w:sz w:val="24"/>
          <w:szCs w:val="24"/>
        </w:rPr>
        <w:t>ORed</w:t>
      </w:r>
      <w:proofErr w:type="spellEnd"/>
      <w:r w:rsidRPr="00AE3F1B">
        <w:rPr>
          <w:rFonts w:ascii="Garamond" w:hAnsi="Garamond"/>
          <w:sz w:val="24"/>
          <w:szCs w:val="24"/>
        </w:rPr>
        <w:t xml:space="preserve"> może zostać wydłużony do 30 dni. W przypadku wystawienia Certyfikatu dla </w:t>
      </w:r>
      <w:proofErr w:type="spellStart"/>
      <w:r w:rsidRPr="00AE3F1B">
        <w:rPr>
          <w:rFonts w:ascii="Garamond" w:hAnsi="Garamond"/>
          <w:sz w:val="24"/>
          <w:szCs w:val="24"/>
        </w:rPr>
        <w:t>ORed</w:t>
      </w:r>
      <w:proofErr w:type="spellEnd"/>
      <w:r w:rsidRPr="00AE3F1B">
        <w:rPr>
          <w:rFonts w:ascii="Garamond" w:hAnsi="Garamond"/>
          <w:sz w:val="24"/>
          <w:szCs w:val="24"/>
        </w:rPr>
        <w:t xml:space="preserve"> przez ID Sp. z o.o., ID Sp. z o.o. przekazuje ten certyfikat do PGE Dystrybucja S.A. celem jego rejestracji w systemie informatycznym OSP dedykowanym usłudze redukcji zapotrzebowania, w terminie do 4 dnia roboczego przed ww. terminem wydania certyfikatu.</w:t>
      </w:r>
    </w:p>
    <w:p w14:paraId="75079455" w14:textId="55379787" w:rsidR="000D7A5C" w:rsidRDefault="000D7A5C" w:rsidP="00175586">
      <w:pPr>
        <w:spacing w:after="109" w:line="249" w:lineRule="auto"/>
        <w:ind w:left="567" w:right="-3" w:hanging="567"/>
        <w:jc w:val="left"/>
        <w:rPr>
          <w:rFonts w:ascii="Garamond" w:hAnsi="Garamond"/>
          <w:sz w:val="24"/>
          <w:szCs w:val="24"/>
        </w:rPr>
      </w:pPr>
      <w:r w:rsidRPr="00AE3F1B">
        <w:rPr>
          <w:rFonts w:ascii="Garamond" w:hAnsi="Garamond"/>
          <w:sz w:val="24"/>
          <w:szCs w:val="24"/>
        </w:rPr>
        <w:t>I.1.13. Po pozytywnie zakończonym procesie weryfikacji, o którym mowa w pkt</w:t>
      </w:r>
      <w:r w:rsidR="00E3689C" w:rsidRPr="00AE3F1B">
        <w:rPr>
          <w:rFonts w:ascii="Garamond" w:hAnsi="Garamond"/>
          <w:sz w:val="24"/>
          <w:szCs w:val="24"/>
        </w:rPr>
        <w:t xml:space="preserve"> I</w:t>
      </w:r>
      <w:r w:rsidRPr="00AE3F1B">
        <w:rPr>
          <w:rFonts w:ascii="Garamond" w:hAnsi="Garamond"/>
          <w:sz w:val="24"/>
          <w:szCs w:val="24"/>
        </w:rPr>
        <w:t xml:space="preserve">.1.9., PGE Dystrybucja S.A. albo PGE Dystrybucja S.A. upoważniony przez ID Sp. z o.o., rejestruje Certyfikat dla </w:t>
      </w:r>
      <w:proofErr w:type="spellStart"/>
      <w:r w:rsidRPr="00AE3F1B">
        <w:rPr>
          <w:rFonts w:ascii="Garamond" w:hAnsi="Garamond"/>
          <w:sz w:val="24"/>
          <w:szCs w:val="24"/>
        </w:rPr>
        <w:t>ORed</w:t>
      </w:r>
      <w:proofErr w:type="spellEnd"/>
      <w:r w:rsidRPr="00AE3F1B">
        <w:rPr>
          <w:rFonts w:ascii="Garamond" w:hAnsi="Garamond"/>
          <w:sz w:val="24"/>
          <w:szCs w:val="24"/>
        </w:rPr>
        <w:t xml:space="preserve"> w dedykowanym usłudze redukcji zapotrzebowania na polecenie OSP systemie informatycznym OSP, który podczas rejestracji automatycznie nadaje unikalny identyfikator </w:t>
      </w:r>
      <w:proofErr w:type="spellStart"/>
      <w:r w:rsidRPr="00AE3F1B">
        <w:rPr>
          <w:rFonts w:ascii="Garamond" w:hAnsi="Garamond"/>
          <w:sz w:val="24"/>
          <w:szCs w:val="24"/>
        </w:rPr>
        <w:t>ORed</w:t>
      </w:r>
      <w:proofErr w:type="spellEnd"/>
      <w:r w:rsidRPr="00AE3F1B">
        <w:rPr>
          <w:rFonts w:ascii="Garamond" w:hAnsi="Garamond"/>
          <w:sz w:val="24"/>
          <w:szCs w:val="24"/>
        </w:rPr>
        <w:t xml:space="preserve"> oraz unikalny numer Certyfikatu dla </w:t>
      </w:r>
      <w:proofErr w:type="spellStart"/>
      <w:r w:rsidRPr="00AE3F1B">
        <w:rPr>
          <w:rFonts w:ascii="Garamond" w:hAnsi="Garamond"/>
          <w:sz w:val="24"/>
          <w:szCs w:val="24"/>
        </w:rPr>
        <w:t>ORed</w:t>
      </w:r>
      <w:proofErr w:type="spellEnd"/>
      <w:r w:rsidRPr="00AE3F1B">
        <w:rPr>
          <w:rFonts w:ascii="Garamond" w:hAnsi="Garamond"/>
          <w:sz w:val="24"/>
          <w:szCs w:val="24"/>
        </w:rPr>
        <w:t xml:space="preserve">. Do czasu udostępnienia PGE Dystrybucja S.A. systemu informatycznego OSP dedykowanego usłudze redukcji zapotrzebowania na polecenie OSP, wydawanie Certyfikatu dla </w:t>
      </w:r>
      <w:proofErr w:type="spellStart"/>
      <w:r w:rsidRPr="00AE3F1B">
        <w:rPr>
          <w:rFonts w:ascii="Garamond" w:hAnsi="Garamond"/>
          <w:sz w:val="24"/>
          <w:szCs w:val="24"/>
        </w:rPr>
        <w:t>ORed</w:t>
      </w:r>
      <w:proofErr w:type="spellEnd"/>
      <w:r w:rsidRPr="00AE3F1B">
        <w:rPr>
          <w:rFonts w:ascii="Garamond" w:hAnsi="Garamond"/>
          <w:sz w:val="24"/>
          <w:szCs w:val="24"/>
        </w:rPr>
        <w:t xml:space="preserve">, realizowane będzie </w:t>
      </w:r>
      <w:r w:rsidR="00E3689C" w:rsidRPr="00AE3F1B">
        <w:rPr>
          <w:rFonts w:ascii="Garamond" w:hAnsi="Garamond"/>
          <w:sz w:val="24"/>
          <w:szCs w:val="24"/>
        </w:rPr>
        <w:br/>
      </w:r>
      <w:r w:rsidRPr="00AE3F1B">
        <w:rPr>
          <w:rFonts w:ascii="Garamond" w:hAnsi="Garamond"/>
          <w:sz w:val="24"/>
          <w:szCs w:val="24"/>
        </w:rPr>
        <w:t xml:space="preserve">z pominięciem tego systemu, zgodnie ze wzorem Certyfikatu dla </w:t>
      </w:r>
      <w:proofErr w:type="spellStart"/>
      <w:r w:rsidRPr="00AE3F1B">
        <w:rPr>
          <w:rFonts w:ascii="Garamond" w:hAnsi="Garamond"/>
          <w:sz w:val="24"/>
          <w:szCs w:val="24"/>
        </w:rPr>
        <w:t>ORed</w:t>
      </w:r>
      <w:proofErr w:type="spellEnd"/>
      <w:r w:rsidRPr="00AE3F1B">
        <w:rPr>
          <w:rFonts w:ascii="Garamond" w:hAnsi="Garamond"/>
          <w:sz w:val="24"/>
          <w:szCs w:val="24"/>
        </w:rPr>
        <w:t xml:space="preserve">, o którym mowa </w:t>
      </w:r>
      <w:r w:rsidR="00E3689C" w:rsidRPr="00AE3F1B">
        <w:rPr>
          <w:rFonts w:ascii="Garamond" w:hAnsi="Garamond"/>
          <w:sz w:val="24"/>
          <w:szCs w:val="24"/>
        </w:rPr>
        <w:br/>
      </w:r>
      <w:r w:rsidRPr="00AE3F1B">
        <w:rPr>
          <w:rFonts w:ascii="Garamond" w:hAnsi="Garamond"/>
          <w:sz w:val="24"/>
          <w:szCs w:val="24"/>
        </w:rPr>
        <w:t>w pkt</w:t>
      </w:r>
      <w:r w:rsidR="00E3689C" w:rsidRPr="00AE3F1B">
        <w:rPr>
          <w:rFonts w:ascii="Garamond" w:hAnsi="Garamond"/>
          <w:sz w:val="24"/>
          <w:szCs w:val="24"/>
        </w:rPr>
        <w:t xml:space="preserve"> I</w:t>
      </w:r>
      <w:r w:rsidRPr="00AE3F1B">
        <w:rPr>
          <w:rFonts w:ascii="Garamond" w:hAnsi="Garamond"/>
          <w:sz w:val="24"/>
          <w:szCs w:val="24"/>
        </w:rPr>
        <w:t xml:space="preserve">.1.7., bez nadawania unikalnego numeru certyfikatu i unikalnego identyfikatora </w:t>
      </w:r>
      <w:proofErr w:type="spellStart"/>
      <w:r w:rsidRPr="00AE3F1B">
        <w:rPr>
          <w:rFonts w:ascii="Garamond" w:hAnsi="Garamond"/>
          <w:sz w:val="24"/>
          <w:szCs w:val="24"/>
        </w:rPr>
        <w:t>ORed</w:t>
      </w:r>
      <w:proofErr w:type="spellEnd"/>
      <w:r w:rsidRPr="00AE3F1B">
        <w:rPr>
          <w:rFonts w:ascii="Garamond" w:hAnsi="Garamond"/>
          <w:sz w:val="24"/>
          <w:szCs w:val="24"/>
        </w:rPr>
        <w:t xml:space="preserve">. Certyfikatowi dla </w:t>
      </w:r>
      <w:proofErr w:type="spellStart"/>
      <w:r w:rsidRPr="00AE3F1B">
        <w:rPr>
          <w:rFonts w:ascii="Garamond" w:hAnsi="Garamond"/>
          <w:sz w:val="24"/>
          <w:szCs w:val="24"/>
        </w:rPr>
        <w:t>ORed</w:t>
      </w:r>
      <w:proofErr w:type="spellEnd"/>
      <w:r w:rsidRPr="00AE3F1B">
        <w:rPr>
          <w:rFonts w:ascii="Garamond" w:hAnsi="Garamond"/>
          <w:sz w:val="24"/>
          <w:szCs w:val="24"/>
        </w:rPr>
        <w:t xml:space="preserve"> zostanie nadany numer uproszczony, zgodnie z zasadami przyjętymi przez PGE Dystrybucja </w:t>
      </w:r>
      <w:r w:rsidR="00071341" w:rsidRPr="00AE3F1B">
        <w:rPr>
          <w:rFonts w:ascii="Garamond" w:hAnsi="Garamond"/>
          <w:sz w:val="24"/>
          <w:szCs w:val="24"/>
        </w:rPr>
        <w:t>S.A.</w:t>
      </w:r>
    </w:p>
    <w:p w14:paraId="7E4260A1" w14:textId="77777777" w:rsidR="00071341" w:rsidRDefault="00071341" w:rsidP="00175586">
      <w:pPr>
        <w:spacing w:after="109" w:line="249" w:lineRule="auto"/>
        <w:ind w:left="567" w:right="-3" w:hanging="567"/>
        <w:jc w:val="left"/>
        <w:rPr>
          <w:rFonts w:ascii="Garamond" w:hAnsi="Garamond"/>
          <w:sz w:val="24"/>
          <w:szCs w:val="24"/>
        </w:rPr>
      </w:pPr>
    </w:p>
    <w:p w14:paraId="3B3F309F" w14:textId="77777777" w:rsidR="00071341" w:rsidRDefault="00071341" w:rsidP="00175586">
      <w:pPr>
        <w:spacing w:after="109" w:line="249" w:lineRule="auto"/>
        <w:ind w:left="567" w:right="-3" w:hanging="567"/>
        <w:jc w:val="left"/>
        <w:rPr>
          <w:rFonts w:ascii="Garamond" w:hAnsi="Garamond"/>
          <w:sz w:val="24"/>
          <w:szCs w:val="24"/>
        </w:rPr>
      </w:pPr>
    </w:p>
    <w:p w14:paraId="398ECEAA" w14:textId="77777777" w:rsidR="0025770E" w:rsidRDefault="0025770E" w:rsidP="00175586">
      <w:pPr>
        <w:spacing w:after="109" w:line="249" w:lineRule="auto"/>
        <w:ind w:left="567" w:right="-3" w:hanging="567"/>
        <w:jc w:val="left"/>
        <w:rPr>
          <w:rFonts w:ascii="Garamond" w:hAnsi="Garamond"/>
          <w:sz w:val="24"/>
          <w:szCs w:val="24"/>
        </w:rPr>
      </w:pPr>
    </w:p>
    <w:p w14:paraId="61C76A6C" w14:textId="77777777" w:rsidR="00071341" w:rsidRPr="00AE3F1B" w:rsidRDefault="00071341" w:rsidP="00175586">
      <w:pPr>
        <w:spacing w:after="109" w:line="249" w:lineRule="auto"/>
        <w:ind w:left="567" w:right="-3" w:hanging="567"/>
        <w:jc w:val="left"/>
        <w:rPr>
          <w:rFonts w:ascii="Garamond" w:hAnsi="Garamond"/>
          <w:sz w:val="24"/>
          <w:szCs w:val="24"/>
        </w:rPr>
      </w:pPr>
    </w:p>
    <w:p w14:paraId="3ED27A6A" w14:textId="77777777" w:rsidR="000D7A5C" w:rsidRPr="00AE3F1B" w:rsidRDefault="000D7A5C" w:rsidP="0025770E">
      <w:pPr>
        <w:tabs>
          <w:tab w:val="center" w:pos="709"/>
          <w:tab w:val="center" w:pos="2838"/>
        </w:tabs>
        <w:spacing w:line="249" w:lineRule="auto"/>
        <w:ind w:left="567" w:right="-3" w:hanging="567"/>
        <w:jc w:val="left"/>
        <w:rPr>
          <w:rFonts w:ascii="Garamond" w:hAnsi="Garamond"/>
          <w:sz w:val="24"/>
          <w:szCs w:val="24"/>
        </w:rPr>
      </w:pPr>
      <w:r w:rsidRPr="00AE3F1B">
        <w:rPr>
          <w:rFonts w:ascii="Garamond" w:hAnsi="Garamond"/>
          <w:sz w:val="24"/>
          <w:szCs w:val="24"/>
        </w:rPr>
        <w:t xml:space="preserve">I.1.14.Certyfikat dla </w:t>
      </w:r>
      <w:proofErr w:type="spellStart"/>
      <w:r w:rsidRPr="00AE3F1B">
        <w:rPr>
          <w:rFonts w:ascii="Garamond" w:hAnsi="Garamond"/>
          <w:sz w:val="24"/>
          <w:szCs w:val="24"/>
        </w:rPr>
        <w:t>ORed</w:t>
      </w:r>
      <w:proofErr w:type="spellEnd"/>
      <w:r w:rsidRPr="00AE3F1B">
        <w:rPr>
          <w:rFonts w:ascii="Garamond" w:hAnsi="Garamond"/>
          <w:sz w:val="24"/>
          <w:szCs w:val="24"/>
        </w:rPr>
        <w:t xml:space="preserve"> zawiera:</w:t>
      </w:r>
    </w:p>
    <w:p w14:paraId="2BAEFFF6" w14:textId="77777777" w:rsidR="000D7A5C" w:rsidRPr="0025770E" w:rsidRDefault="000D7A5C">
      <w:pPr>
        <w:pStyle w:val="Akapitzlist"/>
        <w:numPr>
          <w:ilvl w:val="0"/>
          <w:numId w:val="192"/>
        </w:numPr>
        <w:ind w:right="-3"/>
        <w:jc w:val="left"/>
        <w:rPr>
          <w:rFonts w:ascii="Garamond" w:hAnsi="Garamond"/>
          <w:sz w:val="24"/>
          <w:szCs w:val="24"/>
        </w:rPr>
      </w:pPr>
      <w:r w:rsidRPr="0025770E">
        <w:rPr>
          <w:rFonts w:ascii="Garamond" w:hAnsi="Garamond"/>
          <w:sz w:val="24"/>
          <w:szCs w:val="24"/>
        </w:rPr>
        <w:t xml:space="preserve">numer certyfikatu i identyfikator </w:t>
      </w:r>
      <w:proofErr w:type="spellStart"/>
      <w:r w:rsidRPr="0025770E">
        <w:rPr>
          <w:rFonts w:ascii="Garamond" w:hAnsi="Garamond"/>
          <w:sz w:val="24"/>
          <w:szCs w:val="24"/>
        </w:rPr>
        <w:t>ORed</w:t>
      </w:r>
      <w:proofErr w:type="spellEnd"/>
      <w:r w:rsidRPr="0025770E">
        <w:rPr>
          <w:rFonts w:ascii="Garamond" w:hAnsi="Garamond"/>
          <w:sz w:val="24"/>
          <w:szCs w:val="24"/>
        </w:rPr>
        <w:t>, z zastrzeżeniem pkt</w:t>
      </w:r>
      <w:r w:rsidR="00E3689C" w:rsidRPr="0025770E">
        <w:rPr>
          <w:rFonts w:ascii="Garamond" w:hAnsi="Garamond"/>
          <w:sz w:val="24"/>
          <w:szCs w:val="24"/>
        </w:rPr>
        <w:t xml:space="preserve"> I</w:t>
      </w:r>
      <w:r w:rsidRPr="0025770E">
        <w:rPr>
          <w:rFonts w:ascii="Garamond" w:hAnsi="Garamond"/>
          <w:sz w:val="24"/>
          <w:szCs w:val="24"/>
        </w:rPr>
        <w:t>.1.13.;</w:t>
      </w:r>
    </w:p>
    <w:p w14:paraId="739E56D5" w14:textId="77777777" w:rsidR="000D7A5C" w:rsidRPr="0025770E" w:rsidRDefault="000D7A5C">
      <w:pPr>
        <w:pStyle w:val="Akapitzlist"/>
        <w:numPr>
          <w:ilvl w:val="0"/>
          <w:numId w:val="192"/>
        </w:numPr>
        <w:ind w:right="-3"/>
        <w:jc w:val="left"/>
        <w:rPr>
          <w:rFonts w:ascii="Garamond" w:hAnsi="Garamond"/>
          <w:sz w:val="24"/>
          <w:szCs w:val="24"/>
        </w:rPr>
      </w:pPr>
      <w:r w:rsidRPr="0025770E">
        <w:rPr>
          <w:rFonts w:ascii="Garamond" w:hAnsi="Garamond"/>
          <w:sz w:val="24"/>
          <w:szCs w:val="24"/>
        </w:rPr>
        <w:t xml:space="preserve">lokalizację sieciową </w:t>
      </w:r>
      <w:proofErr w:type="spellStart"/>
      <w:r w:rsidRPr="0025770E">
        <w:rPr>
          <w:rFonts w:ascii="Garamond" w:hAnsi="Garamond"/>
          <w:sz w:val="24"/>
          <w:szCs w:val="24"/>
        </w:rPr>
        <w:t>ORed</w:t>
      </w:r>
      <w:proofErr w:type="spellEnd"/>
      <w:r w:rsidRPr="0025770E">
        <w:rPr>
          <w:rFonts w:ascii="Garamond" w:hAnsi="Garamond"/>
          <w:sz w:val="24"/>
          <w:szCs w:val="24"/>
        </w:rPr>
        <w:t xml:space="preserve">—przypisanie do stacji elektroenergetycznej o napięciu 110 </w:t>
      </w:r>
      <w:proofErr w:type="spellStart"/>
      <w:r w:rsidRPr="0025770E">
        <w:rPr>
          <w:rFonts w:ascii="Garamond" w:hAnsi="Garamond"/>
          <w:sz w:val="24"/>
          <w:szCs w:val="24"/>
        </w:rPr>
        <w:t>kV</w:t>
      </w:r>
      <w:proofErr w:type="spellEnd"/>
      <w:r w:rsidRPr="0025770E">
        <w:rPr>
          <w:rFonts w:ascii="Garamond" w:hAnsi="Garamond"/>
          <w:sz w:val="24"/>
          <w:szCs w:val="24"/>
        </w:rPr>
        <w:t>/SN w sieci dystrybucyjnej PGE Dystrybucja S.A.;</w:t>
      </w:r>
    </w:p>
    <w:p w14:paraId="1C761ABF" w14:textId="77777777" w:rsidR="000D7A5C" w:rsidRPr="0025770E" w:rsidRDefault="000D7A5C">
      <w:pPr>
        <w:pStyle w:val="Akapitzlist"/>
        <w:numPr>
          <w:ilvl w:val="0"/>
          <w:numId w:val="192"/>
        </w:numPr>
        <w:ind w:right="-3"/>
        <w:jc w:val="left"/>
        <w:rPr>
          <w:rFonts w:ascii="Garamond" w:hAnsi="Garamond"/>
          <w:sz w:val="24"/>
          <w:szCs w:val="24"/>
        </w:rPr>
      </w:pPr>
      <w:r w:rsidRPr="0025770E">
        <w:rPr>
          <w:rFonts w:ascii="Garamond" w:hAnsi="Garamond"/>
          <w:sz w:val="24"/>
          <w:szCs w:val="24"/>
        </w:rPr>
        <w:t xml:space="preserve">dane </w:t>
      </w:r>
      <w:proofErr w:type="spellStart"/>
      <w:r w:rsidRPr="0025770E">
        <w:rPr>
          <w:rFonts w:ascii="Garamond" w:hAnsi="Garamond"/>
          <w:sz w:val="24"/>
          <w:szCs w:val="24"/>
        </w:rPr>
        <w:t>ORed</w:t>
      </w:r>
      <w:proofErr w:type="spellEnd"/>
      <w:r w:rsidRPr="0025770E">
        <w:rPr>
          <w:rFonts w:ascii="Garamond" w:hAnsi="Garamond"/>
          <w:sz w:val="24"/>
          <w:szCs w:val="24"/>
        </w:rPr>
        <w:t xml:space="preserve"> (nazwa, adres);</w:t>
      </w:r>
    </w:p>
    <w:p w14:paraId="79ECE47B" w14:textId="0F1C1E89" w:rsidR="000D7A5C" w:rsidRPr="0025770E" w:rsidRDefault="000D7A5C">
      <w:pPr>
        <w:pStyle w:val="Akapitzlist"/>
        <w:numPr>
          <w:ilvl w:val="0"/>
          <w:numId w:val="192"/>
        </w:numPr>
        <w:ind w:right="-3"/>
        <w:jc w:val="left"/>
        <w:rPr>
          <w:rFonts w:ascii="Garamond" w:hAnsi="Garamond"/>
          <w:sz w:val="24"/>
          <w:szCs w:val="24"/>
        </w:rPr>
      </w:pPr>
      <w:r w:rsidRPr="0025770E">
        <w:rPr>
          <w:rFonts w:ascii="Garamond" w:hAnsi="Garamond"/>
          <w:sz w:val="24"/>
          <w:szCs w:val="24"/>
        </w:rPr>
        <w:t xml:space="preserve">wykaz kodów PPE, zgodnie z formatem kodów PPE PGE Dystrybucja S.A., o którym mowa w pkt. </w:t>
      </w:r>
      <w:r w:rsidR="00621703" w:rsidRPr="00621703">
        <w:rPr>
          <w:rFonts w:ascii="Garamond" w:hAnsi="Garamond"/>
          <w:sz w:val="24"/>
          <w:szCs w:val="24"/>
        </w:rPr>
        <w:t xml:space="preserve">A.3.11 i A.3.12. </w:t>
      </w:r>
      <w:r w:rsidRPr="0025770E">
        <w:rPr>
          <w:rFonts w:ascii="Garamond" w:hAnsi="Garamond"/>
          <w:sz w:val="24"/>
          <w:szCs w:val="24"/>
        </w:rPr>
        <w:t xml:space="preserve">(kody PPE nadaje OSD właściwy dla miejsca przyłączenia </w:t>
      </w:r>
      <w:proofErr w:type="spellStart"/>
      <w:r w:rsidRPr="0025770E">
        <w:rPr>
          <w:rFonts w:ascii="Garamond" w:hAnsi="Garamond"/>
          <w:sz w:val="24"/>
          <w:szCs w:val="24"/>
        </w:rPr>
        <w:t>ORed</w:t>
      </w:r>
      <w:proofErr w:type="spellEnd"/>
      <w:r w:rsidRPr="0025770E">
        <w:rPr>
          <w:rFonts w:ascii="Garamond" w:hAnsi="Garamond"/>
          <w:sz w:val="24"/>
          <w:szCs w:val="24"/>
        </w:rPr>
        <w:t xml:space="preserve">), składających się na kompletny układ zasilania </w:t>
      </w:r>
      <w:proofErr w:type="spellStart"/>
      <w:r w:rsidRPr="0025770E">
        <w:rPr>
          <w:rFonts w:ascii="Garamond" w:hAnsi="Garamond"/>
          <w:sz w:val="24"/>
          <w:szCs w:val="24"/>
        </w:rPr>
        <w:t>ORed</w:t>
      </w:r>
      <w:proofErr w:type="spellEnd"/>
      <w:r w:rsidRPr="0025770E">
        <w:rPr>
          <w:rFonts w:ascii="Garamond" w:hAnsi="Garamond"/>
          <w:sz w:val="24"/>
          <w:szCs w:val="24"/>
        </w:rPr>
        <w:t xml:space="preserve"> z sieci dystrybucyjnej (wraz z informacją na terenie, jakiego odpowiednio OSD zlokalizowany jest dany PPE);</w:t>
      </w:r>
    </w:p>
    <w:p w14:paraId="10062D62" w14:textId="77777777" w:rsidR="000D7A5C" w:rsidRPr="0025770E" w:rsidRDefault="000D7A5C">
      <w:pPr>
        <w:pStyle w:val="Akapitzlist"/>
        <w:numPr>
          <w:ilvl w:val="0"/>
          <w:numId w:val="192"/>
        </w:numPr>
        <w:ind w:right="-3"/>
        <w:jc w:val="left"/>
        <w:rPr>
          <w:rFonts w:ascii="Garamond" w:hAnsi="Garamond"/>
          <w:sz w:val="24"/>
          <w:szCs w:val="24"/>
        </w:rPr>
      </w:pPr>
      <w:r w:rsidRPr="0025770E">
        <w:rPr>
          <w:rFonts w:ascii="Garamond" w:hAnsi="Garamond"/>
          <w:sz w:val="24"/>
          <w:szCs w:val="24"/>
        </w:rPr>
        <w:t>datę wydania Certyfikatu;</w:t>
      </w:r>
    </w:p>
    <w:p w14:paraId="5807D541" w14:textId="77777777" w:rsidR="000D7A5C" w:rsidRPr="0025770E" w:rsidRDefault="000D7A5C">
      <w:pPr>
        <w:pStyle w:val="Akapitzlist"/>
        <w:numPr>
          <w:ilvl w:val="0"/>
          <w:numId w:val="192"/>
        </w:numPr>
        <w:ind w:right="-3"/>
        <w:jc w:val="left"/>
        <w:rPr>
          <w:rFonts w:ascii="Garamond" w:hAnsi="Garamond"/>
          <w:sz w:val="24"/>
          <w:szCs w:val="24"/>
        </w:rPr>
      </w:pPr>
      <w:r w:rsidRPr="0025770E">
        <w:rPr>
          <w:rFonts w:ascii="Garamond" w:hAnsi="Garamond"/>
          <w:sz w:val="24"/>
          <w:szCs w:val="24"/>
        </w:rPr>
        <w:t xml:space="preserve">podmiot wydający Certyfikat dla </w:t>
      </w:r>
      <w:proofErr w:type="spellStart"/>
      <w:r w:rsidRPr="0025770E">
        <w:rPr>
          <w:rFonts w:ascii="Garamond" w:hAnsi="Garamond"/>
          <w:sz w:val="24"/>
          <w:szCs w:val="24"/>
        </w:rPr>
        <w:t>ORed</w:t>
      </w:r>
      <w:proofErr w:type="spellEnd"/>
      <w:r w:rsidRPr="0025770E">
        <w:rPr>
          <w:rFonts w:ascii="Garamond" w:hAnsi="Garamond"/>
          <w:sz w:val="24"/>
          <w:szCs w:val="24"/>
        </w:rPr>
        <w:t>;</w:t>
      </w:r>
    </w:p>
    <w:p w14:paraId="3F8CF17C" w14:textId="77777777" w:rsidR="000D7A5C" w:rsidRPr="0025770E" w:rsidRDefault="000D7A5C">
      <w:pPr>
        <w:pStyle w:val="Akapitzlist"/>
        <w:numPr>
          <w:ilvl w:val="0"/>
          <w:numId w:val="192"/>
        </w:numPr>
        <w:ind w:right="-3"/>
        <w:jc w:val="left"/>
        <w:rPr>
          <w:rFonts w:ascii="Garamond" w:hAnsi="Garamond"/>
          <w:sz w:val="24"/>
          <w:szCs w:val="24"/>
        </w:rPr>
      </w:pPr>
      <w:r w:rsidRPr="0025770E">
        <w:rPr>
          <w:rFonts w:ascii="Garamond" w:hAnsi="Garamond"/>
          <w:sz w:val="24"/>
          <w:szCs w:val="24"/>
        </w:rPr>
        <w:t xml:space="preserve">atrybut </w:t>
      </w:r>
      <w:proofErr w:type="spellStart"/>
      <w:r w:rsidRPr="0025770E">
        <w:rPr>
          <w:rFonts w:ascii="Garamond" w:hAnsi="Garamond"/>
          <w:sz w:val="24"/>
          <w:szCs w:val="24"/>
        </w:rPr>
        <w:t>ORed</w:t>
      </w:r>
      <w:proofErr w:type="spellEnd"/>
      <w:r w:rsidRPr="0025770E">
        <w:rPr>
          <w:rFonts w:ascii="Garamond" w:hAnsi="Garamond"/>
          <w:sz w:val="24"/>
          <w:szCs w:val="24"/>
        </w:rPr>
        <w:t xml:space="preserve"> (</w:t>
      </w:r>
      <w:proofErr w:type="spellStart"/>
      <w:r w:rsidRPr="0025770E">
        <w:rPr>
          <w:rFonts w:ascii="Garamond" w:hAnsi="Garamond"/>
          <w:sz w:val="24"/>
          <w:szCs w:val="24"/>
        </w:rPr>
        <w:t>ORed</w:t>
      </w:r>
      <w:proofErr w:type="spellEnd"/>
      <w:r w:rsidRPr="0025770E">
        <w:rPr>
          <w:rFonts w:ascii="Garamond" w:hAnsi="Garamond"/>
          <w:sz w:val="24"/>
          <w:szCs w:val="24"/>
        </w:rPr>
        <w:t xml:space="preserve"> O - obiekt odbiorczy lub </w:t>
      </w:r>
      <w:proofErr w:type="spellStart"/>
      <w:r w:rsidRPr="0025770E">
        <w:rPr>
          <w:rFonts w:ascii="Garamond" w:hAnsi="Garamond"/>
          <w:sz w:val="24"/>
          <w:szCs w:val="24"/>
        </w:rPr>
        <w:t>ORed</w:t>
      </w:r>
      <w:proofErr w:type="spellEnd"/>
      <w:r w:rsidRPr="0025770E">
        <w:rPr>
          <w:rFonts w:ascii="Garamond" w:hAnsi="Garamond"/>
          <w:sz w:val="24"/>
          <w:szCs w:val="24"/>
        </w:rPr>
        <w:t xml:space="preserve"> OG —obiekt odbiorczy z generacją wewnętrzną);</w:t>
      </w:r>
    </w:p>
    <w:p w14:paraId="1D18F7D8" w14:textId="77777777" w:rsidR="000D7A5C" w:rsidRPr="0025770E" w:rsidRDefault="000D7A5C">
      <w:pPr>
        <w:pStyle w:val="Akapitzlist"/>
        <w:numPr>
          <w:ilvl w:val="0"/>
          <w:numId w:val="192"/>
        </w:numPr>
        <w:ind w:right="-3"/>
        <w:jc w:val="left"/>
        <w:rPr>
          <w:rFonts w:ascii="Garamond" w:hAnsi="Garamond"/>
          <w:sz w:val="24"/>
          <w:szCs w:val="24"/>
        </w:rPr>
      </w:pPr>
      <w:r w:rsidRPr="0025770E">
        <w:rPr>
          <w:rFonts w:ascii="Garamond" w:hAnsi="Garamond"/>
          <w:sz w:val="24"/>
          <w:szCs w:val="24"/>
        </w:rPr>
        <w:t xml:space="preserve">informację, czy Odbiorca w </w:t>
      </w:r>
      <w:proofErr w:type="spellStart"/>
      <w:r w:rsidRPr="0025770E">
        <w:rPr>
          <w:rFonts w:ascii="Garamond" w:hAnsi="Garamond"/>
          <w:sz w:val="24"/>
          <w:szCs w:val="24"/>
        </w:rPr>
        <w:t>ORed</w:t>
      </w:r>
      <w:proofErr w:type="spellEnd"/>
      <w:r w:rsidRPr="0025770E">
        <w:rPr>
          <w:rFonts w:ascii="Garamond" w:hAnsi="Garamond"/>
          <w:sz w:val="24"/>
          <w:szCs w:val="24"/>
        </w:rPr>
        <w:t xml:space="preserve"> jest OSDn.</w:t>
      </w:r>
    </w:p>
    <w:p w14:paraId="61E8CC1E" w14:textId="77777777" w:rsidR="00AC2464" w:rsidRPr="00AE3F1B" w:rsidRDefault="000D7A5C" w:rsidP="0025770E">
      <w:pPr>
        <w:ind w:left="567" w:right="-3"/>
        <w:jc w:val="left"/>
        <w:rPr>
          <w:rFonts w:ascii="Garamond" w:hAnsi="Garamond"/>
          <w:sz w:val="24"/>
          <w:szCs w:val="24"/>
        </w:rPr>
      </w:pPr>
      <w:r w:rsidRPr="00AE3F1B">
        <w:rPr>
          <w:rFonts w:ascii="Garamond" w:hAnsi="Garamond"/>
          <w:sz w:val="24"/>
          <w:szCs w:val="24"/>
        </w:rPr>
        <w:t>W przypadku wystawiania Certyfikatu przez ID Sp. z o.o., jest on zobowiązany do wystąpienia do PGE Dystrybucja S.A. o określenie warunków i zasad stosowania</w:t>
      </w:r>
      <w:r w:rsidR="00CE648D" w:rsidRPr="00AE3F1B">
        <w:rPr>
          <w:rFonts w:ascii="Garamond" w:hAnsi="Garamond"/>
          <w:sz w:val="24"/>
          <w:szCs w:val="24"/>
        </w:rPr>
        <w:t xml:space="preserve"> formatu/kodów PPE, </w:t>
      </w:r>
      <w:r w:rsidR="00CE648D" w:rsidRPr="00AE3F1B">
        <w:rPr>
          <w:rFonts w:ascii="Garamond" w:hAnsi="Garamond"/>
          <w:sz w:val="24"/>
          <w:szCs w:val="24"/>
        </w:rPr>
        <w:br/>
        <w:t>o których mowa powyżej w ppkt 4).</w:t>
      </w:r>
    </w:p>
    <w:p w14:paraId="3AEB9302" w14:textId="59717C6B" w:rsidR="00F77545" w:rsidRPr="00AE3F1B" w:rsidRDefault="00F77545" w:rsidP="00175586">
      <w:pPr>
        <w:spacing w:after="62"/>
        <w:ind w:left="567" w:right="-3" w:hanging="567"/>
        <w:jc w:val="left"/>
        <w:rPr>
          <w:rFonts w:ascii="Garamond" w:hAnsi="Garamond"/>
          <w:sz w:val="24"/>
          <w:szCs w:val="24"/>
        </w:rPr>
      </w:pPr>
      <w:r w:rsidRPr="00AE3F1B">
        <w:rPr>
          <w:rFonts w:ascii="Garamond" w:hAnsi="Garamond"/>
          <w:sz w:val="24"/>
          <w:szCs w:val="24"/>
        </w:rPr>
        <w:t>I.1.15.</w:t>
      </w:r>
      <w:r w:rsidR="0025770E">
        <w:rPr>
          <w:rFonts w:ascii="Garamond" w:hAnsi="Garamond"/>
          <w:sz w:val="24"/>
          <w:szCs w:val="24"/>
        </w:rPr>
        <w:t xml:space="preserve"> </w:t>
      </w:r>
      <w:r w:rsidRPr="00AE3F1B">
        <w:rPr>
          <w:rFonts w:ascii="Garamond" w:hAnsi="Garamond"/>
          <w:sz w:val="24"/>
          <w:szCs w:val="24"/>
        </w:rPr>
        <w:t>W przypadku zmiany ilości PPE (dodanie, usunięcie) tworzących kompletny układ zasilania</w:t>
      </w:r>
      <w:r w:rsidR="0025770E">
        <w:rPr>
          <w:rFonts w:ascii="Garamond" w:hAnsi="Garamond"/>
          <w:sz w:val="24"/>
          <w:szCs w:val="24"/>
        </w:rPr>
        <w:t xml:space="preserve"> </w:t>
      </w:r>
      <w:proofErr w:type="spellStart"/>
      <w:r w:rsidRPr="00AE3F1B">
        <w:rPr>
          <w:rFonts w:ascii="Garamond" w:hAnsi="Garamond"/>
          <w:sz w:val="24"/>
          <w:szCs w:val="24"/>
        </w:rPr>
        <w:t>ORed</w:t>
      </w:r>
      <w:proofErr w:type="spellEnd"/>
      <w:r w:rsidRPr="00AE3F1B">
        <w:rPr>
          <w:rFonts w:ascii="Garamond" w:hAnsi="Garamond"/>
          <w:sz w:val="24"/>
          <w:szCs w:val="24"/>
        </w:rPr>
        <w:t xml:space="preserve">, Odbiorca w </w:t>
      </w:r>
      <w:proofErr w:type="spellStart"/>
      <w:r w:rsidRPr="00AE3F1B">
        <w:rPr>
          <w:rFonts w:ascii="Garamond" w:hAnsi="Garamond"/>
          <w:sz w:val="24"/>
          <w:szCs w:val="24"/>
        </w:rPr>
        <w:t>ORed</w:t>
      </w:r>
      <w:proofErr w:type="spellEnd"/>
      <w:r w:rsidRPr="00AE3F1B">
        <w:rPr>
          <w:rFonts w:ascii="Garamond" w:hAnsi="Garamond"/>
          <w:sz w:val="24"/>
          <w:szCs w:val="24"/>
        </w:rPr>
        <w:t xml:space="preserve"> lub upoważniony przez niego podmiot składa wniosek o aktualizację</w:t>
      </w:r>
      <w:r w:rsidR="0025770E">
        <w:rPr>
          <w:rFonts w:ascii="Garamond" w:hAnsi="Garamond"/>
          <w:sz w:val="24"/>
          <w:szCs w:val="24"/>
        </w:rPr>
        <w:t xml:space="preserve"> </w:t>
      </w:r>
      <w:r w:rsidRPr="00AE3F1B">
        <w:rPr>
          <w:rFonts w:ascii="Garamond" w:hAnsi="Garamond"/>
          <w:sz w:val="24"/>
          <w:szCs w:val="24"/>
        </w:rPr>
        <w:t xml:space="preserve">Certyfikatu dla </w:t>
      </w:r>
      <w:proofErr w:type="spellStart"/>
      <w:r w:rsidRPr="00AE3F1B">
        <w:rPr>
          <w:rFonts w:ascii="Garamond" w:hAnsi="Garamond"/>
          <w:sz w:val="24"/>
          <w:szCs w:val="24"/>
        </w:rPr>
        <w:t>ORed</w:t>
      </w:r>
      <w:proofErr w:type="spellEnd"/>
      <w:r w:rsidRPr="00AE3F1B">
        <w:rPr>
          <w:rFonts w:ascii="Garamond" w:hAnsi="Garamond"/>
          <w:sz w:val="24"/>
          <w:szCs w:val="24"/>
        </w:rPr>
        <w:t xml:space="preserve"> do PGE Dystrybucja S.A. albo ID Sp. z o.o., gdzie uprzednio złożył</w:t>
      </w:r>
      <w:r w:rsidR="0025770E">
        <w:rPr>
          <w:rFonts w:ascii="Garamond" w:hAnsi="Garamond"/>
          <w:sz w:val="24"/>
          <w:szCs w:val="24"/>
        </w:rPr>
        <w:t xml:space="preserve"> </w:t>
      </w:r>
      <w:r w:rsidRPr="00AE3F1B">
        <w:rPr>
          <w:rFonts w:ascii="Garamond" w:hAnsi="Garamond"/>
          <w:sz w:val="24"/>
          <w:szCs w:val="24"/>
        </w:rPr>
        <w:t xml:space="preserve">wniosek o wydanie Certyfikatu dla tego </w:t>
      </w:r>
      <w:proofErr w:type="spellStart"/>
      <w:r w:rsidRPr="00AE3F1B">
        <w:rPr>
          <w:rFonts w:ascii="Garamond" w:hAnsi="Garamond"/>
          <w:sz w:val="24"/>
          <w:szCs w:val="24"/>
        </w:rPr>
        <w:t>ORed</w:t>
      </w:r>
      <w:proofErr w:type="spellEnd"/>
      <w:r w:rsidRPr="00AE3F1B">
        <w:rPr>
          <w:rFonts w:ascii="Garamond" w:hAnsi="Garamond"/>
          <w:sz w:val="24"/>
          <w:szCs w:val="24"/>
        </w:rPr>
        <w:t>. Procedowanie wniosku o aktualizację Certyfikatu</w:t>
      </w:r>
      <w:r w:rsidR="0025770E">
        <w:rPr>
          <w:rFonts w:ascii="Garamond" w:hAnsi="Garamond"/>
          <w:sz w:val="24"/>
          <w:szCs w:val="24"/>
        </w:rPr>
        <w:t xml:space="preserve"> </w:t>
      </w:r>
      <w:r w:rsidRPr="00AE3F1B">
        <w:rPr>
          <w:rFonts w:ascii="Garamond" w:hAnsi="Garamond"/>
          <w:sz w:val="24"/>
          <w:szCs w:val="24"/>
        </w:rPr>
        <w:t xml:space="preserve">dla </w:t>
      </w:r>
      <w:proofErr w:type="spellStart"/>
      <w:r w:rsidRPr="00AE3F1B">
        <w:rPr>
          <w:rFonts w:ascii="Garamond" w:hAnsi="Garamond"/>
          <w:sz w:val="24"/>
          <w:szCs w:val="24"/>
        </w:rPr>
        <w:t>ORed</w:t>
      </w:r>
      <w:proofErr w:type="spellEnd"/>
      <w:r w:rsidRPr="00AE3F1B">
        <w:rPr>
          <w:rFonts w:ascii="Garamond" w:hAnsi="Garamond"/>
          <w:sz w:val="24"/>
          <w:szCs w:val="24"/>
        </w:rPr>
        <w:t xml:space="preserve"> odbywa się jak dla wniosku o wydanie Certyfikatu dla </w:t>
      </w:r>
      <w:proofErr w:type="spellStart"/>
      <w:r w:rsidRPr="00AE3F1B">
        <w:rPr>
          <w:rFonts w:ascii="Garamond" w:hAnsi="Garamond"/>
          <w:sz w:val="24"/>
          <w:szCs w:val="24"/>
        </w:rPr>
        <w:t>ORed</w:t>
      </w:r>
      <w:proofErr w:type="spellEnd"/>
      <w:r w:rsidRPr="00AE3F1B">
        <w:rPr>
          <w:rFonts w:ascii="Garamond" w:hAnsi="Garamond"/>
          <w:sz w:val="24"/>
          <w:szCs w:val="24"/>
        </w:rPr>
        <w:t>. Wygaszenie</w:t>
      </w:r>
      <w:r w:rsidR="0025770E">
        <w:rPr>
          <w:rFonts w:ascii="Garamond" w:hAnsi="Garamond"/>
          <w:sz w:val="24"/>
          <w:szCs w:val="24"/>
        </w:rPr>
        <w:t xml:space="preserve"> </w:t>
      </w:r>
      <w:r w:rsidRPr="00AE3F1B">
        <w:rPr>
          <w:rFonts w:ascii="Garamond" w:hAnsi="Garamond"/>
          <w:sz w:val="24"/>
          <w:szCs w:val="24"/>
        </w:rPr>
        <w:t xml:space="preserve">obowiązującego Certyfikatu dla </w:t>
      </w:r>
      <w:proofErr w:type="spellStart"/>
      <w:r w:rsidRPr="00AE3F1B">
        <w:rPr>
          <w:rFonts w:ascii="Garamond" w:hAnsi="Garamond"/>
          <w:sz w:val="24"/>
          <w:szCs w:val="24"/>
        </w:rPr>
        <w:t>ORed</w:t>
      </w:r>
      <w:proofErr w:type="spellEnd"/>
      <w:r w:rsidRPr="00AE3F1B">
        <w:rPr>
          <w:rFonts w:ascii="Garamond" w:hAnsi="Garamond"/>
          <w:sz w:val="24"/>
          <w:szCs w:val="24"/>
        </w:rPr>
        <w:t xml:space="preserve"> następuje w dacie wydania nowego certyfikatu dla tego</w:t>
      </w:r>
      <w:r w:rsidR="0025770E">
        <w:rPr>
          <w:rFonts w:ascii="Garamond" w:hAnsi="Garamond"/>
          <w:sz w:val="24"/>
          <w:szCs w:val="24"/>
        </w:rPr>
        <w:t xml:space="preserve"> </w:t>
      </w:r>
      <w:proofErr w:type="spellStart"/>
      <w:r w:rsidRPr="00AE3F1B">
        <w:rPr>
          <w:rFonts w:ascii="Garamond" w:hAnsi="Garamond"/>
          <w:sz w:val="24"/>
          <w:szCs w:val="24"/>
        </w:rPr>
        <w:t>ORed</w:t>
      </w:r>
      <w:proofErr w:type="spellEnd"/>
      <w:r w:rsidRPr="00AE3F1B">
        <w:rPr>
          <w:rFonts w:ascii="Garamond" w:hAnsi="Garamond"/>
          <w:sz w:val="24"/>
          <w:szCs w:val="24"/>
        </w:rPr>
        <w:t>.</w:t>
      </w:r>
      <w:r w:rsidR="00AC2464" w:rsidRPr="00AE3F1B">
        <w:rPr>
          <w:rFonts w:ascii="Garamond" w:hAnsi="Garamond"/>
          <w:sz w:val="24"/>
          <w:szCs w:val="24"/>
        </w:rPr>
        <w:br/>
      </w:r>
      <w:r w:rsidRPr="00AE3F1B">
        <w:rPr>
          <w:rFonts w:ascii="Garamond" w:hAnsi="Garamond"/>
          <w:sz w:val="24"/>
          <w:szCs w:val="24"/>
        </w:rPr>
        <w:t>W przypadku zmiany pozostałych danych zawartych w certyfikacie, o których mowa</w:t>
      </w:r>
      <w:r w:rsidR="0025770E">
        <w:rPr>
          <w:rFonts w:ascii="Garamond" w:hAnsi="Garamond"/>
          <w:sz w:val="24"/>
          <w:szCs w:val="24"/>
        </w:rPr>
        <w:t xml:space="preserve"> </w:t>
      </w:r>
      <w:r w:rsidRPr="00AE3F1B">
        <w:rPr>
          <w:rFonts w:ascii="Garamond" w:hAnsi="Garamond"/>
          <w:sz w:val="24"/>
          <w:szCs w:val="24"/>
        </w:rPr>
        <w:t>w pkt</w:t>
      </w:r>
      <w:r w:rsidR="00AC2464" w:rsidRPr="00AE3F1B">
        <w:rPr>
          <w:rFonts w:ascii="Garamond" w:hAnsi="Garamond"/>
          <w:sz w:val="24"/>
          <w:szCs w:val="24"/>
        </w:rPr>
        <w:t xml:space="preserve"> </w:t>
      </w:r>
      <w:r w:rsidR="0025770E" w:rsidRPr="00AE3F1B">
        <w:rPr>
          <w:rFonts w:ascii="Garamond" w:hAnsi="Garamond"/>
          <w:sz w:val="24"/>
          <w:szCs w:val="24"/>
        </w:rPr>
        <w:t>I.1.14.,</w:t>
      </w:r>
      <w:r w:rsidRPr="00AE3F1B">
        <w:rPr>
          <w:rFonts w:ascii="Garamond" w:hAnsi="Garamond"/>
          <w:sz w:val="24"/>
          <w:szCs w:val="24"/>
        </w:rPr>
        <w:t xml:space="preserve"> Odbiorca w </w:t>
      </w:r>
      <w:proofErr w:type="spellStart"/>
      <w:r w:rsidRPr="00AE3F1B">
        <w:rPr>
          <w:rFonts w:ascii="Garamond" w:hAnsi="Garamond"/>
          <w:sz w:val="24"/>
          <w:szCs w:val="24"/>
        </w:rPr>
        <w:t>ORed</w:t>
      </w:r>
      <w:proofErr w:type="spellEnd"/>
      <w:r w:rsidRPr="00AE3F1B">
        <w:rPr>
          <w:rFonts w:ascii="Garamond" w:hAnsi="Garamond"/>
          <w:sz w:val="24"/>
          <w:szCs w:val="24"/>
        </w:rPr>
        <w:t xml:space="preserve"> lub upoważniany przez niego podmiot składa wniosek o aktualizację Certyfikatu dla </w:t>
      </w:r>
      <w:proofErr w:type="spellStart"/>
      <w:r w:rsidRPr="00AE3F1B">
        <w:rPr>
          <w:rFonts w:ascii="Garamond" w:hAnsi="Garamond"/>
          <w:sz w:val="24"/>
          <w:szCs w:val="24"/>
        </w:rPr>
        <w:t>ORed</w:t>
      </w:r>
      <w:proofErr w:type="spellEnd"/>
      <w:r w:rsidRPr="00AE3F1B">
        <w:rPr>
          <w:rFonts w:ascii="Garamond" w:hAnsi="Garamond"/>
          <w:sz w:val="24"/>
          <w:szCs w:val="24"/>
        </w:rPr>
        <w:t xml:space="preserve"> do PGE Dystrybucja S.A. albo ID Sp. z o.o., gdzie uprzednio złożył wniosek o wydanie Certyfikatu dla tego </w:t>
      </w:r>
      <w:proofErr w:type="spellStart"/>
      <w:r w:rsidRPr="00AE3F1B">
        <w:rPr>
          <w:rFonts w:ascii="Garamond" w:hAnsi="Garamond"/>
          <w:sz w:val="24"/>
          <w:szCs w:val="24"/>
        </w:rPr>
        <w:t>ORed</w:t>
      </w:r>
      <w:proofErr w:type="spellEnd"/>
      <w:r w:rsidRPr="00AE3F1B">
        <w:rPr>
          <w:rFonts w:ascii="Garamond" w:hAnsi="Garamond"/>
          <w:sz w:val="24"/>
          <w:szCs w:val="24"/>
        </w:rPr>
        <w:t xml:space="preserve">. Aktualizacja Certyfikatu w powyższym zakresie powoduje wygaszenie obowiązującego Certyfikatu dla </w:t>
      </w:r>
      <w:proofErr w:type="spellStart"/>
      <w:r w:rsidRPr="00AE3F1B">
        <w:rPr>
          <w:rFonts w:ascii="Garamond" w:hAnsi="Garamond"/>
          <w:sz w:val="24"/>
          <w:szCs w:val="24"/>
        </w:rPr>
        <w:t>ORed</w:t>
      </w:r>
      <w:proofErr w:type="spellEnd"/>
      <w:r w:rsidRPr="00AE3F1B">
        <w:rPr>
          <w:rFonts w:ascii="Garamond" w:hAnsi="Garamond"/>
          <w:sz w:val="24"/>
          <w:szCs w:val="24"/>
        </w:rPr>
        <w:t xml:space="preserve"> i wydanie nowego certyfikatu dla tego </w:t>
      </w:r>
      <w:proofErr w:type="spellStart"/>
      <w:r w:rsidRPr="00AE3F1B">
        <w:rPr>
          <w:rFonts w:ascii="Garamond" w:hAnsi="Garamond"/>
          <w:sz w:val="24"/>
          <w:szCs w:val="24"/>
        </w:rPr>
        <w:t>ORed</w:t>
      </w:r>
      <w:proofErr w:type="spellEnd"/>
      <w:r w:rsidRPr="00AE3F1B">
        <w:rPr>
          <w:rFonts w:ascii="Garamond" w:hAnsi="Garamond"/>
          <w:sz w:val="24"/>
          <w:szCs w:val="24"/>
        </w:rPr>
        <w:t>.</w:t>
      </w:r>
    </w:p>
    <w:p w14:paraId="7A739415" w14:textId="43E718A7" w:rsidR="00F77545" w:rsidRPr="00AE3F1B" w:rsidRDefault="00AC2464" w:rsidP="00175586">
      <w:pPr>
        <w:spacing w:after="136" w:line="249" w:lineRule="auto"/>
        <w:ind w:left="567" w:right="-3" w:hanging="567"/>
        <w:jc w:val="left"/>
        <w:rPr>
          <w:rFonts w:ascii="Garamond" w:hAnsi="Garamond"/>
          <w:sz w:val="24"/>
          <w:szCs w:val="24"/>
        </w:rPr>
      </w:pPr>
      <w:r w:rsidRPr="00AE3F1B">
        <w:rPr>
          <w:rFonts w:ascii="Garamond" w:hAnsi="Garamond"/>
          <w:sz w:val="24"/>
          <w:szCs w:val="24"/>
        </w:rPr>
        <w:t>I</w:t>
      </w:r>
      <w:r w:rsidR="00F77545" w:rsidRPr="00AE3F1B">
        <w:rPr>
          <w:rFonts w:ascii="Garamond" w:hAnsi="Garamond"/>
          <w:sz w:val="24"/>
          <w:szCs w:val="24"/>
        </w:rPr>
        <w:t>.1.16.</w:t>
      </w:r>
      <w:r w:rsidR="0025770E">
        <w:rPr>
          <w:rFonts w:ascii="Garamond" w:hAnsi="Garamond"/>
          <w:sz w:val="24"/>
          <w:szCs w:val="24"/>
        </w:rPr>
        <w:t xml:space="preserve"> </w:t>
      </w:r>
      <w:r w:rsidR="00F77545" w:rsidRPr="00AE3F1B">
        <w:rPr>
          <w:rFonts w:ascii="Garamond" w:hAnsi="Garamond"/>
          <w:sz w:val="24"/>
          <w:szCs w:val="24"/>
        </w:rPr>
        <w:t xml:space="preserve">W przypadku, gdy </w:t>
      </w:r>
      <w:proofErr w:type="spellStart"/>
      <w:r w:rsidR="00F77545" w:rsidRPr="00AE3F1B">
        <w:rPr>
          <w:rFonts w:ascii="Garamond" w:hAnsi="Garamond"/>
          <w:sz w:val="24"/>
          <w:szCs w:val="24"/>
        </w:rPr>
        <w:t>ORed</w:t>
      </w:r>
      <w:proofErr w:type="spellEnd"/>
      <w:r w:rsidR="00F77545" w:rsidRPr="00AE3F1B">
        <w:rPr>
          <w:rFonts w:ascii="Garamond" w:hAnsi="Garamond"/>
          <w:sz w:val="24"/>
          <w:szCs w:val="24"/>
        </w:rPr>
        <w:t xml:space="preserve"> przestanie spełniać kryteria dopuszczalności określone w pkt</w:t>
      </w:r>
      <w:r w:rsidRPr="00AE3F1B">
        <w:rPr>
          <w:rFonts w:ascii="Garamond" w:hAnsi="Garamond"/>
          <w:sz w:val="24"/>
          <w:szCs w:val="24"/>
        </w:rPr>
        <w:t xml:space="preserve"> I</w:t>
      </w:r>
      <w:r w:rsidR="00F77545" w:rsidRPr="00AE3F1B">
        <w:rPr>
          <w:rFonts w:ascii="Garamond" w:hAnsi="Garamond"/>
          <w:sz w:val="24"/>
          <w:szCs w:val="24"/>
        </w:rPr>
        <w:t xml:space="preserve">.1.9., Odbiorca w </w:t>
      </w:r>
      <w:proofErr w:type="spellStart"/>
      <w:r w:rsidR="00F77545" w:rsidRPr="00AE3F1B">
        <w:rPr>
          <w:rFonts w:ascii="Garamond" w:hAnsi="Garamond"/>
          <w:sz w:val="24"/>
          <w:szCs w:val="24"/>
        </w:rPr>
        <w:t>ORed</w:t>
      </w:r>
      <w:proofErr w:type="spellEnd"/>
      <w:r w:rsidR="00F77545" w:rsidRPr="00AE3F1B">
        <w:rPr>
          <w:rFonts w:ascii="Garamond" w:hAnsi="Garamond"/>
          <w:sz w:val="24"/>
          <w:szCs w:val="24"/>
        </w:rPr>
        <w:t xml:space="preserve"> lub upoważniony przez niego podmiot zgłasza powyższe do odpowiednio PGE Dystrybucja S.A., albo ID Sp. z o.o., do którego złożył wniosek o wydanie Certyfikatu dla danego </w:t>
      </w:r>
      <w:proofErr w:type="spellStart"/>
      <w:r w:rsidR="00F77545" w:rsidRPr="00AE3F1B">
        <w:rPr>
          <w:rFonts w:ascii="Garamond" w:hAnsi="Garamond"/>
          <w:sz w:val="24"/>
          <w:szCs w:val="24"/>
        </w:rPr>
        <w:t>ORed</w:t>
      </w:r>
      <w:proofErr w:type="spellEnd"/>
      <w:r w:rsidR="00F77545" w:rsidRPr="00AE3F1B">
        <w:rPr>
          <w:rFonts w:ascii="Garamond" w:hAnsi="Garamond"/>
          <w:sz w:val="24"/>
          <w:szCs w:val="24"/>
        </w:rPr>
        <w:t xml:space="preserve"> (ID Sp. z o.o. niezwłocznie przekazuje zweryfikowane zgłoszenie do PGE Dystrybucja S.A.).</w:t>
      </w:r>
    </w:p>
    <w:p w14:paraId="3F04DA19" w14:textId="1D2B47D7" w:rsidR="00F77545" w:rsidRPr="00AE3F1B" w:rsidRDefault="00AC2464" w:rsidP="00175586">
      <w:pPr>
        <w:spacing w:after="117" w:line="249" w:lineRule="auto"/>
        <w:ind w:left="567" w:right="-3" w:hanging="567"/>
        <w:jc w:val="left"/>
        <w:rPr>
          <w:rFonts w:ascii="Garamond" w:hAnsi="Garamond"/>
          <w:sz w:val="24"/>
          <w:szCs w:val="24"/>
        </w:rPr>
      </w:pPr>
      <w:r w:rsidRPr="00AE3F1B">
        <w:rPr>
          <w:rFonts w:ascii="Garamond" w:hAnsi="Garamond"/>
          <w:sz w:val="24"/>
          <w:szCs w:val="24"/>
        </w:rPr>
        <w:t>I</w:t>
      </w:r>
      <w:r w:rsidR="00F77545" w:rsidRPr="00AE3F1B">
        <w:rPr>
          <w:rFonts w:ascii="Garamond" w:hAnsi="Garamond"/>
          <w:sz w:val="24"/>
          <w:szCs w:val="24"/>
        </w:rPr>
        <w:t>.1.17.</w:t>
      </w:r>
      <w:r w:rsidR="0025770E">
        <w:rPr>
          <w:rFonts w:ascii="Garamond" w:hAnsi="Garamond"/>
          <w:sz w:val="24"/>
          <w:szCs w:val="24"/>
        </w:rPr>
        <w:t xml:space="preserve"> </w:t>
      </w:r>
      <w:r w:rsidR="00F77545" w:rsidRPr="00AE3F1B">
        <w:rPr>
          <w:rFonts w:ascii="Garamond" w:hAnsi="Garamond"/>
          <w:sz w:val="24"/>
          <w:szCs w:val="24"/>
        </w:rPr>
        <w:t xml:space="preserve">Odpowiednio PGE Dystrybucja </w:t>
      </w:r>
      <w:r w:rsidR="0025770E" w:rsidRPr="00AE3F1B">
        <w:rPr>
          <w:rFonts w:ascii="Garamond" w:hAnsi="Garamond"/>
          <w:sz w:val="24"/>
          <w:szCs w:val="24"/>
        </w:rPr>
        <w:t>S.A.</w:t>
      </w:r>
      <w:r w:rsidR="00F77545" w:rsidRPr="00AE3F1B">
        <w:rPr>
          <w:rFonts w:ascii="Garamond" w:hAnsi="Garamond"/>
          <w:sz w:val="24"/>
          <w:szCs w:val="24"/>
        </w:rPr>
        <w:t xml:space="preserve"> albo PGE Dystrybucja S.A. upoważniony przez </w:t>
      </w:r>
      <w:r w:rsidRPr="00AE3F1B">
        <w:rPr>
          <w:rFonts w:ascii="Garamond" w:hAnsi="Garamond"/>
          <w:sz w:val="24"/>
          <w:szCs w:val="24"/>
        </w:rPr>
        <w:br/>
      </w:r>
      <w:r w:rsidR="00F77545" w:rsidRPr="00AE3F1B">
        <w:rPr>
          <w:rFonts w:ascii="Garamond" w:hAnsi="Garamond"/>
          <w:sz w:val="24"/>
          <w:szCs w:val="24"/>
        </w:rPr>
        <w:t xml:space="preserve">ID Sp. z o.o., wygasza Certyfikat dla </w:t>
      </w:r>
      <w:proofErr w:type="spellStart"/>
      <w:r w:rsidR="00F77545" w:rsidRPr="00AE3F1B">
        <w:rPr>
          <w:rFonts w:ascii="Garamond" w:hAnsi="Garamond"/>
          <w:sz w:val="24"/>
          <w:szCs w:val="24"/>
        </w:rPr>
        <w:t>ORed</w:t>
      </w:r>
      <w:proofErr w:type="spellEnd"/>
      <w:r w:rsidR="00F77545" w:rsidRPr="00AE3F1B">
        <w:rPr>
          <w:rFonts w:ascii="Garamond" w:hAnsi="Garamond"/>
          <w:sz w:val="24"/>
          <w:szCs w:val="24"/>
        </w:rPr>
        <w:t xml:space="preserve"> w przypadku:</w:t>
      </w:r>
    </w:p>
    <w:p w14:paraId="382FBD49" w14:textId="6275A017" w:rsidR="00AC2464" w:rsidRPr="0025770E" w:rsidRDefault="00F77545">
      <w:pPr>
        <w:pStyle w:val="Akapitzlist"/>
        <w:numPr>
          <w:ilvl w:val="0"/>
          <w:numId w:val="193"/>
        </w:numPr>
        <w:spacing w:after="132" w:line="249" w:lineRule="auto"/>
        <w:ind w:right="-3"/>
        <w:jc w:val="left"/>
        <w:rPr>
          <w:rFonts w:ascii="Garamond" w:hAnsi="Garamond"/>
          <w:sz w:val="24"/>
          <w:szCs w:val="24"/>
        </w:rPr>
      </w:pPr>
      <w:r w:rsidRPr="0025770E">
        <w:rPr>
          <w:rFonts w:ascii="Garamond" w:hAnsi="Garamond"/>
          <w:sz w:val="24"/>
          <w:szCs w:val="24"/>
        </w:rPr>
        <w:t>którym mowa w pkt</w:t>
      </w:r>
      <w:r w:rsidR="00AC2464" w:rsidRPr="0025770E">
        <w:rPr>
          <w:rFonts w:ascii="Garamond" w:hAnsi="Garamond"/>
          <w:sz w:val="24"/>
          <w:szCs w:val="24"/>
        </w:rPr>
        <w:t xml:space="preserve"> I</w:t>
      </w:r>
      <w:r w:rsidRPr="0025770E">
        <w:rPr>
          <w:rFonts w:ascii="Garamond" w:hAnsi="Garamond"/>
          <w:sz w:val="24"/>
          <w:szCs w:val="24"/>
        </w:rPr>
        <w:t xml:space="preserve">.1.16., </w:t>
      </w:r>
      <w:r w:rsidR="00621703" w:rsidRPr="0025770E">
        <w:rPr>
          <w:rFonts w:ascii="Garamond" w:hAnsi="Garamond"/>
          <w:sz w:val="24"/>
          <w:szCs w:val="24"/>
        </w:rPr>
        <w:t>tj.,</w:t>
      </w:r>
      <w:r w:rsidRPr="0025770E">
        <w:rPr>
          <w:rFonts w:ascii="Garamond" w:hAnsi="Garamond"/>
          <w:sz w:val="24"/>
          <w:szCs w:val="24"/>
        </w:rPr>
        <w:t xml:space="preserve"> gdy </w:t>
      </w:r>
      <w:proofErr w:type="spellStart"/>
      <w:r w:rsidRPr="0025770E">
        <w:rPr>
          <w:rFonts w:ascii="Garamond" w:hAnsi="Garamond"/>
          <w:sz w:val="24"/>
          <w:szCs w:val="24"/>
        </w:rPr>
        <w:t>ORed</w:t>
      </w:r>
      <w:proofErr w:type="spellEnd"/>
      <w:r w:rsidRPr="0025770E">
        <w:rPr>
          <w:rFonts w:ascii="Garamond" w:hAnsi="Garamond"/>
          <w:sz w:val="24"/>
          <w:szCs w:val="24"/>
        </w:rPr>
        <w:t xml:space="preserve"> przestanie spełniać kryteria dopuszczalności, </w:t>
      </w:r>
    </w:p>
    <w:p w14:paraId="1A7D68F2" w14:textId="5210F3E4" w:rsidR="00AC2464" w:rsidRPr="0025770E" w:rsidRDefault="00F77545">
      <w:pPr>
        <w:pStyle w:val="Akapitzlist"/>
        <w:numPr>
          <w:ilvl w:val="0"/>
          <w:numId w:val="193"/>
        </w:numPr>
        <w:spacing w:after="132" w:line="249" w:lineRule="auto"/>
        <w:ind w:right="-3"/>
        <w:jc w:val="left"/>
        <w:rPr>
          <w:rFonts w:ascii="Garamond" w:hAnsi="Garamond"/>
          <w:sz w:val="24"/>
          <w:szCs w:val="24"/>
        </w:rPr>
      </w:pPr>
      <w:r w:rsidRPr="0025770E">
        <w:rPr>
          <w:rFonts w:ascii="Garamond" w:hAnsi="Garamond"/>
          <w:sz w:val="24"/>
          <w:szCs w:val="24"/>
        </w:rPr>
        <w:t xml:space="preserve">gdy odpowiednio PGE Dystrybucja S.A. albo ID Sp. z o.o. pozyskają informacje wskazujące, że dany </w:t>
      </w:r>
      <w:proofErr w:type="spellStart"/>
      <w:r w:rsidRPr="0025770E">
        <w:rPr>
          <w:rFonts w:ascii="Garamond" w:hAnsi="Garamond"/>
          <w:sz w:val="24"/>
          <w:szCs w:val="24"/>
        </w:rPr>
        <w:t>ORed</w:t>
      </w:r>
      <w:proofErr w:type="spellEnd"/>
      <w:r w:rsidRPr="0025770E">
        <w:rPr>
          <w:rFonts w:ascii="Garamond" w:hAnsi="Garamond"/>
          <w:sz w:val="24"/>
          <w:szCs w:val="24"/>
        </w:rPr>
        <w:t xml:space="preserve"> nie spełnia kryteriów określonych w pkt</w:t>
      </w:r>
      <w:r w:rsidR="00AC2464" w:rsidRPr="0025770E">
        <w:rPr>
          <w:rFonts w:ascii="Garamond" w:hAnsi="Garamond"/>
          <w:sz w:val="24"/>
          <w:szCs w:val="24"/>
        </w:rPr>
        <w:t xml:space="preserve"> I</w:t>
      </w:r>
      <w:r w:rsidRPr="0025770E">
        <w:rPr>
          <w:rFonts w:ascii="Garamond" w:hAnsi="Garamond"/>
          <w:sz w:val="24"/>
          <w:szCs w:val="24"/>
        </w:rPr>
        <w:t xml:space="preserve">.1.9. ppkt.2) </w:t>
      </w:r>
      <w:r w:rsidR="00AC2464" w:rsidRPr="0025770E">
        <w:rPr>
          <w:rFonts w:ascii="Garamond" w:hAnsi="Garamond"/>
          <w:sz w:val="24"/>
          <w:szCs w:val="24"/>
        </w:rPr>
        <w:t xml:space="preserve">do </w:t>
      </w:r>
      <w:r w:rsidRPr="0025770E">
        <w:rPr>
          <w:rFonts w:ascii="Garamond" w:hAnsi="Garamond"/>
          <w:sz w:val="24"/>
          <w:szCs w:val="24"/>
        </w:rPr>
        <w:t xml:space="preserve">5); ID Sp. z o.o. przekazuje decyzję o wygaszeniu Certyfikatu dla </w:t>
      </w:r>
      <w:proofErr w:type="spellStart"/>
      <w:r w:rsidRPr="0025770E">
        <w:rPr>
          <w:rFonts w:ascii="Garamond" w:hAnsi="Garamond"/>
          <w:sz w:val="24"/>
          <w:szCs w:val="24"/>
        </w:rPr>
        <w:t>ORed</w:t>
      </w:r>
      <w:proofErr w:type="spellEnd"/>
      <w:r w:rsidRPr="0025770E">
        <w:rPr>
          <w:rFonts w:ascii="Garamond" w:hAnsi="Garamond"/>
          <w:sz w:val="24"/>
          <w:szCs w:val="24"/>
        </w:rPr>
        <w:t xml:space="preserve"> do PGE Dystrybucja S.A., który zarejestrował Certyfikat dla tego </w:t>
      </w:r>
      <w:proofErr w:type="spellStart"/>
      <w:r w:rsidRPr="0025770E">
        <w:rPr>
          <w:rFonts w:ascii="Garamond" w:hAnsi="Garamond"/>
          <w:sz w:val="24"/>
          <w:szCs w:val="24"/>
        </w:rPr>
        <w:t>ORed</w:t>
      </w:r>
      <w:proofErr w:type="spellEnd"/>
      <w:r w:rsidRPr="0025770E">
        <w:rPr>
          <w:rFonts w:ascii="Garamond" w:hAnsi="Garamond"/>
          <w:sz w:val="24"/>
          <w:szCs w:val="24"/>
        </w:rPr>
        <w:t xml:space="preserve"> w systemie informatycznym dedykowanym usłudze redukcji zapotrzebowania na polecenie OSP, </w:t>
      </w:r>
    </w:p>
    <w:p w14:paraId="582FD412" w14:textId="12D4A3BC" w:rsidR="00F77545" w:rsidRPr="0025770E" w:rsidRDefault="00F77545">
      <w:pPr>
        <w:pStyle w:val="Akapitzlist"/>
        <w:numPr>
          <w:ilvl w:val="0"/>
          <w:numId w:val="193"/>
        </w:numPr>
        <w:spacing w:after="132" w:line="249" w:lineRule="auto"/>
        <w:ind w:right="-3"/>
        <w:jc w:val="left"/>
        <w:rPr>
          <w:rFonts w:ascii="Garamond" w:hAnsi="Garamond"/>
          <w:sz w:val="24"/>
          <w:szCs w:val="24"/>
        </w:rPr>
      </w:pPr>
      <w:r w:rsidRPr="0025770E">
        <w:rPr>
          <w:rFonts w:ascii="Garamond" w:hAnsi="Garamond"/>
          <w:sz w:val="24"/>
          <w:szCs w:val="24"/>
        </w:rPr>
        <w:lastRenderedPageBreak/>
        <w:t xml:space="preserve">zaprzestania świadczenia usług dystrybucji Odbiorcy w </w:t>
      </w:r>
      <w:proofErr w:type="spellStart"/>
      <w:r w:rsidRPr="0025770E">
        <w:rPr>
          <w:rFonts w:ascii="Garamond" w:hAnsi="Garamond"/>
          <w:sz w:val="24"/>
          <w:szCs w:val="24"/>
        </w:rPr>
        <w:t>ORed</w:t>
      </w:r>
      <w:proofErr w:type="spellEnd"/>
      <w:r w:rsidRPr="0025770E">
        <w:rPr>
          <w:rFonts w:ascii="Garamond" w:hAnsi="Garamond"/>
          <w:sz w:val="24"/>
          <w:szCs w:val="24"/>
        </w:rPr>
        <w:t>.</w:t>
      </w:r>
    </w:p>
    <w:p w14:paraId="3DE78D4E" w14:textId="77777777" w:rsidR="00F77545" w:rsidRPr="00AE3F1B" w:rsidRDefault="00F77545" w:rsidP="006316A5">
      <w:pPr>
        <w:spacing w:after="166" w:line="249" w:lineRule="auto"/>
        <w:ind w:left="567" w:right="-3"/>
        <w:jc w:val="left"/>
        <w:rPr>
          <w:rFonts w:ascii="Garamond" w:hAnsi="Garamond"/>
          <w:sz w:val="24"/>
          <w:szCs w:val="24"/>
        </w:rPr>
      </w:pPr>
      <w:r w:rsidRPr="00AE3F1B">
        <w:rPr>
          <w:rFonts w:ascii="Garamond" w:hAnsi="Garamond"/>
          <w:sz w:val="24"/>
          <w:szCs w:val="24"/>
        </w:rPr>
        <w:t>Za datę wygaszenia certyfikatu uznaje się datę wprowadzenia informacji w tym zakresie przez PGE Dystrybucja S.A. w ww. systemie informatycznym OSP.</w:t>
      </w:r>
    </w:p>
    <w:p w14:paraId="7724D036" w14:textId="77777777" w:rsidR="00F77545" w:rsidRPr="00AE3F1B" w:rsidRDefault="00F77545" w:rsidP="0025770E">
      <w:pPr>
        <w:spacing w:line="248" w:lineRule="auto"/>
        <w:ind w:left="567" w:right="-3"/>
        <w:jc w:val="left"/>
        <w:rPr>
          <w:rFonts w:ascii="Garamond" w:hAnsi="Garamond"/>
          <w:sz w:val="24"/>
          <w:szCs w:val="24"/>
        </w:rPr>
      </w:pPr>
      <w:r w:rsidRPr="00AE3F1B">
        <w:rPr>
          <w:rFonts w:ascii="Garamond" w:hAnsi="Garamond"/>
          <w:sz w:val="24"/>
          <w:szCs w:val="24"/>
        </w:rPr>
        <w:t xml:space="preserve">Wygaszenie Certyfikatu dla </w:t>
      </w:r>
      <w:proofErr w:type="spellStart"/>
      <w:r w:rsidRPr="00AE3F1B">
        <w:rPr>
          <w:rFonts w:ascii="Garamond" w:hAnsi="Garamond"/>
          <w:sz w:val="24"/>
          <w:szCs w:val="24"/>
        </w:rPr>
        <w:t>ORed</w:t>
      </w:r>
      <w:proofErr w:type="spellEnd"/>
      <w:r w:rsidRPr="00AE3F1B">
        <w:rPr>
          <w:rFonts w:ascii="Garamond" w:hAnsi="Garamond"/>
          <w:sz w:val="24"/>
          <w:szCs w:val="24"/>
        </w:rPr>
        <w:t xml:space="preserve"> oznacza, że </w:t>
      </w:r>
      <w:proofErr w:type="spellStart"/>
      <w:r w:rsidRPr="00AE3F1B">
        <w:rPr>
          <w:rFonts w:ascii="Garamond" w:hAnsi="Garamond"/>
          <w:sz w:val="24"/>
          <w:szCs w:val="24"/>
        </w:rPr>
        <w:t>ORed</w:t>
      </w:r>
      <w:proofErr w:type="spellEnd"/>
      <w:r w:rsidRPr="00AE3F1B">
        <w:rPr>
          <w:rFonts w:ascii="Garamond" w:hAnsi="Garamond"/>
          <w:sz w:val="24"/>
          <w:szCs w:val="24"/>
        </w:rPr>
        <w:t xml:space="preserve"> nie spełnia kryteriów warunkujących możliwość świadczenia usługi interwencyjnej ofertowej redukcji poboru mocy przez odbiorców na polecenie OSP.</w:t>
      </w:r>
    </w:p>
    <w:p w14:paraId="5A549084" w14:textId="77777777" w:rsidR="00F77545" w:rsidRPr="00AE3F1B" w:rsidRDefault="00AC2464" w:rsidP="0025770E">
      <w:pPr>
        <w:tabs>
          <w:tab w:val="left" w:pos="9923"/>
        </w:tabs>
        <w:ind w:left="567" w:right="-3" w:hanging="567"/>
        <w:jc w:val="left"/>
        <w:rPr>
          <w:rFonts w:ascii="Garamond" w:hAnsi="Garamond"/>
          <w:sz w:val="24"/>
          <w:szCs w:val="24"/>
        </w:rPr>
      </w:pPr>
      <w:r w:rsidRPr="00AE3F1B">
        <w:rPr>
          <w:rFonts w:ascii="Garamond" w:hAnsi="Garamond"/>
          <w:sz w:val="24"/>
          <w:szCs w:val="24"/>
        </w:rPr>
        <w:t>I</w:t>
      </w:r>
      <w:r w:rsidR="00F77545" w:rsidRPr="00AE3F1B">
        <w:rPr>
          <w:rFonts w:ascii="Garamond" w:hAnsi="Garamond"/>
          <w:sz w:val="24"/>
          <w:szCs w:val="24"/>
        </w:rPr>
        <w:t xml:space="preserve">.1.18. Wniosek, o którym mowa w pkt </w:t>
      </w:r>
      <w:r w:rsidRPr="00AE3F1B">
        <w:rPr>
          <w:rFonts w:ascii="Garamond" w:hAnsi="Garamond"/>
          <w:sz w:val="24"/>
          <w:szCs w:val="24"/>
        </w:rPr>
        <w:t>I</w:t>
      </w:r>
      <w:r w:rsidR="00F77545" w:rsidRPr="00AE3F1B">
        <w:rPr>
          <w:rFonts w:ascii="Garamond" w:hAnsi="Garamond"/>
          <w:sz w:val="24"/>
          <w:szCs w:val="24"/>
        </w:rPr>
        <w:t xml:space="preserve">.1.15., zgłoszenie, o którym mowa w pkt </w:t>
      </w:r>
      <w:r w:rsidRPr="00AE3F1B">
        <w:rPr>
          <w:rFonts w:ascii="Garamond" w:hAnsi="Garamond"/>
          <w:sz w:val="24"/>
          <w:szCs w:val="24"/>
        </w:rPr>
        <w:t>I</w:t>
      </w:r>
      <w:r w:rsidR="00F77545" w:rsidRPr="00AE3F1B">
        <w:rPr>
          <w:rFonts w:ascii="Garamond" w:hAnsi="Garamond"/>
          <w:sz w:val="24"/>
          <w:szCs w:val="24"/>
        </w:rPr>
        <w:t xml:space="preserve">.1.16. oraz decyzja ID Sp. z o.o., o której mowa w pkt </w:t>
      </w:r>
      <w:r w:rsidRPr="00AE3F1B">
        <w:rPr>
          <w:rFonts w:ascii="Garamond" w:hAnsi="Garamond"/>
          <w:sz w:val="24"/>
          <w:szCs w:val="24"/>
        </w:rPr>
        <w:t>I</w:t>
      </w:r>
      <w:r w:rsidR="00F77545" w:rsidRPr="00AE3F1B">
        <w:rPr>
          <w:rFonts w:ascii="Garamond" w:hAnsi="Garamond"/>
          <w:sz w:val="24"/>
          <w:szCs w:val="24"/>
        </w:rPr>
        <w:t>.1.17. ppkt. 2) składane są na wskazany przez PGE Dystrybucja S.A. adres poczty elektronicznej, opublikowany na stronie internetowej PGE Dystrybucja S.A.</w:t>
      </w:r>
    </w:p>
    <w:p w14:paraId="7938FD2E" w14:textId="6B222571" w:rsidR="00F77545" w:rsidRPr="00AE3F1B" w:rsidRDefault="00F77545" w:rsidP="0025770E">
      <w:pPr>
        <w:ind w:left="567" w:right="-3"/>
        <w:jc w:val="left"/>
        <w:rPr>
          <w:rFonts w:ascii="Garamond" w:hAnsi="Garamond"/>
          <w:sz w:val="24"/>
          <w:szCs w:val="24"/>
        </w:rPr>
      </w:pPr>
      <w:r w:rsidRPr="00AE3F1B">
        <w:rPr>
          <w:rFonts w:ascii="Garamond" w:hAnsi="Garamond"/>
          <w:sz w:val="24"/>
          <w:szCs w:val="24"/>
        </w:rPr>
        <w:t xml:space="preserve">PGE Dystrybucja S.A. przesyła Certyfikat dla </w:t>
      </w:r>
      <w:proofErr w:type="spellStart"/>
      <w:r w:rsidRPr="00AE3F1B">
        <w:rPr>
          <w:rFonts w:ascii="Garamond" w:hAnsi="Garamond"/>
          <w:sz w:val="24"/>
          <w:szCs w:val="24"/>
        </w:rPr>
        <w:t>ORed</w:t>
      </w:r>
      <w:proofErr w:type="spellEnd"/>
      <w:r w:rsidRPr="00AE3F1B">
        <w:rPr>
          <w:rFonts w:ascii="Garamond" w:hAnsi="Garamond"/>
          <w:sz w:val="24"/>
          <w:szCs w:val="24"/>
        </w:rPr>
        <w:t xml:space="preserve"> do Odbiorcy w </w:t>
      </w:r>
      <w:proofErr w:type="spellStart"/>
      <w:r w:rsidRPr="00AE3F1B">
        <w:rPr>
          <w:rFonts w:ascii="Garamond" w:hAnsi="Garamond"/>
          <w:sz w:val="24"/>
          <w:szCs w:val="24"/>
        </w:rPr>
        <w:t>ORed</w:t>
      </w:r>
      <w:proofErr w:type="spellEnd"/>
      <w:r w:rsidRPr="00AE3F1B">
        <w:rPr>
          <w:rFonts w:ascii="Garamond" w:hAnsi="Garamond"/>
          <w:sz w:val="24"/>
          <w:szCs w:val="24"/>
        </w:rPr>
        <w:t xml:space="preserve"> przyłączonego do sieci dystrybucyjnej PGE Dystrybucja S.A. albo do ID Sp. z o.o., która przekazała certyfikat do zarejestrowania albo informacje o wygaszeniu Certyfikatu dla </w:t>
      </w:r>
      <w:proofErr w:type="spellStart"/>
      <w:r w:rsidRPr="00AE3F1B">
        <w:rPr>
          <w:rFonts w:ascii="Garamond" w:hAnsi="Garamond"/>
          <w:sz w:val="24"/>
          <w:szCs w:val="24"/>
        </w:rPr>
        <w:t>ORed</w:t>
      </w:r>
      <w:proofErr w:type="spellEnd"/>
      <w:r w:rsidRPr="00AE3F1B">
        <w:rPr>
          <w:rFonts w:ascii="Garamond" w:hAnsi="Garamond"/>
          <w:sz w:val="24"/>
          <w:szCs w:val="24"/>
        </w:rPr>
        <w:t xml:space="preserve">. Certyfikat albo informacja o wygaszeniu przekazywana jest zwrotnie na adres poczty elektronicznej, z której PGE Dystrybucja S.A. otrzymał ten wniosek, zgłoszenie albo decyzję ID Sp. </w:t>
      </w:r>
      <w:r w:rsidR="00257369" w:rsidRPr="00AE3F1B">
        <w:rPr>
          <w:rFonts w:ascii="Garamond" w:hAnsi="Garamond"/>
          <w:sz w:val="24"/>
          <w:szCs w:val="24"/>
        </w:rPr>
        <w:t>Z</w:t>
      </w:r>
      <w:r w:rsidR="00257369">
        <w:rPr>
          <w:rFonts w:ascii="Garamond" w:hAnsi="Garamond"/>
          <w:sz w:val="24"/>
          <w:szCs w:val="24"/>
        </w:rPr>
        <w:t>.</w:t>
      </w:r>
      <w:r w:rsidRPr="00AE3F1B">
        <w:rPr>
          <w:rFonts w:ascii="Garamond" w:hAnsi="Garamond"/>
          <w:sz w:val="24"/>
          <w:szCs w:val="24"/>
        </w:rPr>
        <w:t>o.o.</w:t>
      </w:r>
    </w:p>
    <w:p w14:paraId="1A55B6C3" w14:textId="564100D0" w:rsidR="00F77545" w:rsidRPr="00F93094" w:rsidRDefault="00AC2464" w:rsidP="0025770E">
      <w:pPr>
        <w:ind w:left="567" w:right="-3" w:hanging="567"/>
        <w:jc w:val="left"/>
        <w:rPr>
          <w:rFonts w:ascii="Garamond" w:hAnsi="Garamond"/>
          <w:sz w:val="24"/>
          <w:szCs w:val="24"/>
        </w:rPr>
      </w:pPr>
      <w:r w:rsidRPr="00F93094">
        <w:rPr>
          <w:rFonts w:ascii="Garamond" w:hAnsi="Garamond"/>
          <w:noProof/>
          <w:sz w:val="24"/>
          <w:szCs w:val="24"/>
        </w:rPr>
        <w:t xml:space="preserve">I.2.    </w:t>
      </w:r>
      <w:r w:rsidR="00F77545" w:rsidRPr="00F93094">
        <w:rPr>
          <w:rFonts w:ascii="Garamond" w:hAnsi="Garamond"/>
          <w:sz w:val="24"/>
          <w:szCs w:val="24"/>
        </w:rPr>
        <w:t xml:space="preserve">Zasady przekazywania danych pomiarowych </w:t>
      </w:r>
      <w:proofErr w:type="spellStart"/>
      <w:r w:rsidR="00F77545" w:rsidRPr="00F93094">
        <w:rPr>
          <w:rFonts w:ascii="Garamond" w:hAnsi="Garamond"/>
          <w:sz w:val="24"/>
          <w:szCs w:val="24"/>
        </w:rPr>
        <w:t>ORed</w:t>
      </w:r>
      <w:proofErr w:type="spellEnd"/>
    </w:p>
    <w:p w14:paraId="655123CA" w14:textId="6B61930B" w:rsidR="00F77545" w:rsidRPr="00AE3F1B" w:rsidRDefault="00AC2464" w:rsidP="0025770E">
      <w:pPr>
        <w:ind w:left="567" w:right="-3" w:hanging="567"/>
        <w:jc w:val="left"/>
        <w:rPr>
          <w:rFonts w:ascii="Garamond" w:hAnsi="Garamond"/>
          <w:sz w:val="24"/>
          <w:szCs w:val="24"/>
        </w:rPr>
      </w:pPr>
      <w:r w:rsidRPr="00AE3F1B">
        <w:rPr>
          <w:rFonts w:ascii="Garamond" w:hAnsi="Garamond"/>
          <w:sz w:val="24"/>
          <w:szCs w:val="24"/>
        </w:rPr>
        <w:t>I</w:t>
      </w:r>
      <w:r w:rsidR="00F77545" w:rsidRPr="00AE3F1B">
        <w:rPr>
          <w:rFonts w:ascii="Garamond" w:hAnsi="Garamond"/>
          <w:sz w:val="24"/>
          <w:szCs w:val="24"/>
        </w:rPr>
        <w:t xml:space="preserve">.2.1. Przekazywanie danych pomiarowych dla </w:t>
      </w:r>
      <w:proofErr w:type="spellStart"/>
      <w:r w:rsidR="006E34EA" w:rsidRPr="00AE3F1B">
        <w:rPr>
          <w:rFonts w:ascii="Garamond" w:hAnsi="Garamond"/>
          <w:sz w:val="24"/>
          <w:szCs w:val="24"/>
        </w:rPr>
        <w:t>O</w:t>
      </w:r>
      <w:r w:rsidR="006E34EA">
        <w:rPr>
          <w:rFonts w:ascii="Garamond" w:hAnsi="Garamond"/>
          <w:sz w:val="24"/>
          <w:szCs w:val="24"/>
        </w:rPr>
        <w:t>R</w:t>
      </w:r>
      <w:r w:rsidR="006E34EA" w:rsidRPr="00AE3F1B">
        <w:rPr>
          <w:rFonts w:ascii="Garamond" w:hAnsi="Garamond"/>
          <w:sz w:val="24"/>
          <w:szCs w:val="24"/>
        </w:rPr>
        <w:t>ed</w:t>
      </w:r>
      <w:proofErr w:type="spellEnd"/>
      <w:r w:rsidR="006E34EA" w:rsidRPr="00AE3F1B">
        <w:rPr>
          <w:rFonts w:ascii="Garamond" w:hAnsi="Garamond"/>
          <w:sz w:val="24"/>
          <w:szCs w:val="24"/>
        </w:rPr>
        <w:t xml:space="preserve"> </w:t>
      </w:r>
      <w:r w:rsidR="00F77545" w:rsidRPr="00AE3F1B">
        <w:rPr>
          <w:rFonts w:ascii="Garamond" w:hAnsi="Garamond"/>
          <w:sz w:val="24"/>
          <w:szCs w:val="24"/>
        </w:rPr>
        <w:t xml:space="preserve">(odrębnie dla każdego PPE w </w:t>
      </w:r>
      <w:proofErr w:type="spellStart"/>
      <w:r w:rsidR="006E34EA" w:rsidRPr="00AE3F1B">
        <w:rPr>
          <w:rFonts w:ascii="Garamond" w:hAnsi="Garamond"/>
          <w:sz w:val="24"/>
          <w:szCs w:val="24"/>
        </w:rPr>
        <w:t>O</w:t>
      </w:r>
      <w:r w:rsidR="006E34EA">
        <w:rPr>
          <w:rFonts w:ascii="Garamond" w:hAnsi="Garamond"/>
          <w:sz w:val="24"/>
          <w:szCs w:val="24"/>
        </w:rPr>
        <w:t>R</w:t>
      </w:r>
      <w:r w:rsidR="006E34EA" w:rsidRPr="00AE3F1B">
        <w:rPr>
          <w:rFonts w:ascii="Garamond" w:hAnsi="Garamond"/>
          <w:sz w:val="24"/>
          <w:szCs w:val="24"/>
        </w:rPr>
        <w:t>ed</w:t>
      </w:r>
      <w:proofErr w:type="spellEnd"/>
      <w:r w:rsidR="00F77545" w:rsidRPr="00AE3F1B">
        <w:rPr>
          <w:rFonts w:ascii="Garamond" w:hAnsi="Garamond"/>
          <w:sz w:val="24"/>
          <w:szCs w:val="24"/>
        </w:rPr>
        <w:t>) realizowane jest na zasadach określonych w niniejszym punkcie, z uwzględnieniem zapisów rozdziału C.</w:t>
      </w:r>
    </w:p>
    <w:p w14:paraId="74D6EB20" w14:textId="28A40A83" w:rsidR="00F77545" w:rsidRPr="00AE3F1B" w:rsidRDefault="00AC2464" w:rsidP="0025770E">
      <w:pPr>
        <w:ind w:left="567" w:right="-3" w:hanging="567"/>
        <w:jc w:val="left"/>
        <w:rPr>
          <w:rFonts w:ascii="Garamond" w:hAnsi="Garamond"/>
          <w:sz w:val="24"/>
          <w:szCs w:val="24"/>
        </w:rPr>
      </w:pPr>
      <w:r w:rsidRPr="00AE3F1B">
        <w:rPr>
          <w:rFonts w:ascii="Garamond" w:hAnsi="Garamond"/>
          <w:sz w:val="24"/>
          <w:szCs w:val="24"/>
        </w:rPr>
        <w:t>I</w:t>
      </w:r>
      <w:r w:rsidR="00F77545" w:rsidRPr="00AE3F1B">
        <w:rPr>
          <w:rFonts w:ascii="Garamond" w:hAnsi="Garamond"/>
          <w:sz w:val="24"/>
          <w:szCs w:val="24"/>
        </w:rPr>
        <w:t xml:space="preserve">.2.2. Dane pomiarowe dotyczące ilości dostaw energii elektrycznej dla poszczególnych PPE są pozyskiwane dla wszystkich certyfikowanych </w:t>
      </w:r>
      <w:proofErr w:type="spellStart"/>
      <w:r w:rsidR="006E34EA" w:rsidRPr="00AE3F1B">
        <w:rPr>
          <w:rFonts w:ascii="Garamond" w:hAnsi="Garamond"/>
          <w:sz w:val="24"/>
          <w:szCs w:val="24"/>
        </w:rPr>
        <w:t>O</w:t>
      </w:r>
      <w:r w:rsidR="006E34EA">
        <w:rPr>
          <w:rFonts w:ascii="Garamond" w:hAnsi="Garamond"/>
          <w:sz w:val="24"/>
          <w:szCs w:val="24"/>
        </w:rPr>
        <w:t>R</w:t>
      </w:r>
      <w:r w:rsidR="006E34EA" w:rsidRPr="00AE3F1B">
        <w:rPr>
          <w:rFonts w:ascii="Garamond" w:hAnsi="Garamond"/>
          <w:sz w:val="24"/>
          <w:szCs w:val="24"/>
        </w:rPr>
        <w:t>ed</w:t>
      </w:r>
      <w:proofErr w:type="spellEnd"/>
      <w:r w:rsidR="006E34EA" w:rsidRPr="00AE3F1B">
        <w:rPr>
          <w:rFonts w:ascii="Garamond" w:hAnsi="Garamond"/>
          <w:sz w:val="24"/>
          <w:szCs w:val="24"/>
        </w:rPr>
        <w:t xml:space="preserve"> </w:t>
      </w:r>
      <w:r w:rsidR="00F77545" w:rsidRPr="00AE3F1B">
        <w:rPr>
          <w:rFonts w:ascii="Garamond" w:hAnsi="Garamond"/>
          <w:sz w:val="24"/>
          <w:szCs w:val="24"/>
        </w:rPr>
        <w:t>uczestniczących w świadczeniu usługi interwencyjnej ofertowej redukcji poboru mocy przez odbiorców na polecenie OSP.</w:t>
      </w:r>
    </w:p>
    <w:p w14:paraId="7407164B" w14:textId="32FA9402" w:rsidR="00F77545" w:rsidRPr="00AE3F1B" w:rsidRDefault="00AC2464" w:rsidP="0025770E">
      <w:pPr>
        <w:ind w:left="567" w:right="-3" w:hanging="567"/>
        <w:jc w:val="left"/>
        <w:rPr>
          <w:rFonts w:ascii="Garamond" w:hAnsi="Garamond"/>
          <w:sz w:val="24"/>
          <w:szCs w:val="24"/>
        </w:rPr>
      </w:pPr>
      <w:r w:rsidRPr="00AE3F1B">
        <w:rPr>
          <w:rFonts w:ascii="Garamond" w:hAnsi="Garamond"/>
          <w:sz w:val="24"/>
          <w:szCs w:val="24"/>
        </w:rPr>
        <w:t>I</w:t>
      </w:r>
      <w:r w:rsidR="00F77545" w:rsidRPr="00AE3F1B">
        <w:rPr>
          <w:rFonts w:ascii="Garamond" w:hAnsi="Garamond"/>
          <w:sz w:val="24"/>
          <w:szCs w:val="24"/>
        </w:rPr>
        <w:t xml:space="preserve">.2.3. Dane pomiarowe dotyczące ilości dostaw energii elektrycznej dla poszczególnych PPE, składających się na dany </w:t>
      </w:r>
      <w:proofErr w:type="spellStart"/>
      <w:r w:rsidR="006E34EA" w:rsidRPr="00AE3F1B">
        <w:rPr>
          <w:rFonts w:ascii="Garamond" w:hAnsi="Garamond"/>
          <w:sz w:val="24"/>
          <w:szCs w:val="24"/>
        </w:rPr>
        <w:t>O</w:t>
      </w:r>
      <w:r w:rsidR="006E34EA">
        <w:rPr>
          <w:rFonts w:ascii="Garamond" w:hAnsi="Garamond"/>
          <w:sz w:val="24"/>
          <w:szCs w:val="24"/>
        </w:rPr>
        <w:t>R</w:t>
      </w:r>
      <w:r w:rsidR="006E34EA" w:rsidRPr="00AE3F1B">
        <w:rPr>
          <w:rFonts w:ascii="Garamond" w:hAnsi="Garamond"/>
          <w:sz w:val="24"/>
          <w:szCs w:val="24"/>
        </w:rPr>
        <w:t>ed</w:t>
      </w:r>
      <w:proofErr w:type="spellEnd"/>
      <w:r w:rsidR="00F77545" w:rsidRPr="00AE3F1B">
        <w:rPr>
          <w:rFonts w:ascii="Garamond" w:hAnsi="Garamond"/>
          <w:sz w:val="24"/>
          <w:szCs w:val="24"/>
        </w:rPr>
        <w:t xml:space="preserve">, są przekazywane do OSP, po otrzymaniu przez PGE Dystrybucja S.A. od OSP informacji o konieczności przekazania danych pomiarowych z </w:t>
      </w:r>
      <w:proofErr w:type="spellStart"/>
      <w:r w:rsidR="006E34EA" w:rsidRPr="00AE3F1B">
        <w:rPr>
          <w:rFonts w:ascii="Garamond" w:hAnsi="Garamond"/>
          <w:sz w:val="24"/>
          <w:szCs w:val="24"/>
        </w:rPr>
        <w:t>O</w:t>
      </w:r>
      <w:r w:rsidR="006E34EA">
        <w:rPr>
          <w:rFonts w:ascii="Garamond" w:hAnsi="Garamond"/>
          <w:sz w:val="24"/>
          <w:szCs w:val="24"/>
        </w:rPr>
        <w:t>R</w:t>
      </w:r>
      <w:r w:rsidR="006E34EA" w:rsidRPr="00AE3F1B">
        <w:rPr>
          <w:rFonts w:ascii="Garamond" w:hAnsi="Garamond"/>
          <w:sz w:val="24"/>
          <w:szCs w:val="24"/>
        </w:rPr>
        <w:t>ed</w:t>
      </w:r>
      <w:proofErr w:type="spellEnd"/>
      <w:r w:rsidR="006E34EA" w:rsidRPr="00AE3F1B">
        <w:rPr>
          <w:rFonts w:ascii="Garamond" w:hAnsi="Garamond"/>
          <w:sz w:val="24"/>
          <w:szCs w:val="24"/>
        </w:rPr>
        <w:t xml:space="preserve"> </w:t>
      </w:r>
      <w:r w:rsidR="00F77545" w:rsidRPr="00AE3F1B">
        <w:rPr>
          <w:rFonts w:ascii="Garamond" w:hAnsi="Garamond"/>
          <w:sz w:val="24"/>
          <w:szCs w:val="24"/>
        </w:rPr>
        <w:t>uczestniczących w świadczeniu usługi interwencyjnej ofertowej redukcji poboru mocy przez odbiorców, w wyniku wezwania OSP do redukcji w ramach tej usługi.</w:t>
      </w:r>
    </w:p>
    <w:p w14:paraId="4EEF3C32" w14:textId="06BA8F5F" w:rsidR="00F77545" w:rsidRPr="00AE3F1B" w:rsidRDefault="00F77545" w:rsidP="0025770E">
      <w:pPr>
        <w:ind w:left="567" w:right="-3"/>
        <w:jc w:val="left"/>
        <w:rPr>
          <w:rFonts w:ascii="Garamond" w:hAnsi="Garamond"/>
          <w:sz w:val="24"/>
          <w:szCs w:val="24"/>
        </w:rPr>
      </w:pPr>
      <w:r w:rsidRPr="00AE3F1B">
        <w:rPr>
          <w:rFonts w:ascii="Garamond" w:hAnsi="Garamond"/>
          <w:sz w:val="24"/>
          <w:szCs w:val="24"/>
        </w:rPr>
        <w:t xml:space="preserve">PGE Dystrybucja S.A., po otrzymaniu informacji od OSP dokonuje w dobie n+4 zasilenia, w ramach którego zostają przekazane dane z PPE za okres ostatnich 30 dni. Po dokonaniu zasilenia, PGE Dystrybucja S.A. przekazuje dane pomiarowe dla </w:t>
      </w:r>
      <w:proofErr w:type="spellStart"/>
      <w:r w:rsidR="006E34EA" w:rsidRPr="00AE3F1B">
        <w:rPr>
          <w:rFonts w:ascii="Garamond" w:hAnsi="Garamond"/>
          <w:sz w:val="24"/>
          <w:szCs w:val="24"/>
        </w:rPr>
        <w:t>O</w:t>
      </w:r>
      <w:r w:rsidR="006E34EA">
        <w:rPr>
          <w:rFonts w:ascii="Garamond" w:hAnsi="Garamond"/>
          <w:sz w:val="24"/>
          <w:szCs w:val="24"/>
        </w:rPr>
        <w:t>R</w:t>
      </w:r>
      <w:r w:rsidR="006E34EA" w:rsidRPr="00AE3F1B">
        <w:rPr>
          <w:rFonts w:ascii="Garamond" w:hAnsi="Garamond"/>
          <w:sz w:val="24"/>
          <w:szCs w:val="24"/>
        </w:rPr>
        <w:t>ed</w:t>
      </w:r>
      <w:proofErr w:type="spellEnd"/>
      <w:r w:rsidR="006E34EA" w:rsidRPr="00AE3F1B">
        <w:rPr>
          <w:rFonts w:ascii="Garamond" w:hAnsi="Garamond"/>
          <w:sz w:val="24"/>
          <w:szCs w:val="24"/>
        </w:rPr>
        <w:t xml:space="preserve"> </w:t>
      </w:r>
      <w:r w:rsidRPr="00AE3F1B">
        <w:rPr>
          <w:rFonts w:ascii="Garamond" w:hAnsi="Garamond"/>
          <w:sz w:val="24"/>
          <w:szCs w:val="24"/>
        </w:rPr>
        <w:t>w trybach, określonych</w:t>
      </w:r>
      <w:r w:rsidR="00AC2464" w:rsidRPr="00AE3F1B">
        <w:rPr>
          <w:rFonts w:ascii="Garamond" w:hAnsi="Garamond"/>
          <w:sz w:val="24"/>
          <w:szCs w:val="24"/>
        </w:rPr>
        <w:br/>
      </w:r>
      <w:r w:rsidRPr="00AE3F1B">
        <w:rPr>
          <w:rFonts w:ascii="Garamond" w:hAnsi="Garamond"/>
          <w:sz w:val="24"/>
          <w:szCs w:val="24"/>
        </w:rPr>
        <w:t>w pkt</w:t>
      </w:r>
      <w:r w:rsidR="00AC2464" w:rsidRPr="00AE3F1B">
        <w:rPr>
          <w:rFonts w:ascii="Garamond" w:hAnsi="Garamond"/>
          <w:sz w:val="24"/>
          <w:szCs w:val="24"/>
        </w:rPr>
        <w:t xml:space="preserve"> I</w:t>
      </w:r>
      <w:r w:rsidRPr="00AE3F1B">
        <w:rPr>
          <w:rFonts w:ascii="Garamond" w:hAnsi="Garamond"/>
          <w:sz w:val="24"/>
          <w:szCs w:val="24"/>
        </w:rPr>
        <w:t xml:space="preserve">.2.7. </w:t>
      </w:r>
      <w:r w:rsidR="00AC2464" w:rsidRPr="00AE3F1B">
        <w:rPr>
          <w:rFonts w:ascii="Garamond" w:hAnsi="Garamond"/>
          <w:sz w:val="24"/>
          <w:szCs w:val="24"/>
        </w:rPr>
        <w:t>do</w:t>
      </w:r>
      <w:r w:rsidR="006008D5">
        <w:rPr>
          <w:rFonts w:ascii="Garamond" w:hAnsi="Garamond"/>
          <w:sz w:val="24"/>
          <w:szCs w:val="24"/>
        </w:rPr>
        <w:t xml:space="preserve"> </w:t>
      </w:r>
      <w:r w:rsidR="00AC2464" w:rsidRPr="00AE3F1B">
        <w:rPr>
          <w:rFonts w:ascii="Garamond" w:hAnsi="Garamond"/>
          <w:sz w:val="24"/>
          <w:szCs w:val="24"/>
        </w:rPr>
        <w:t>I</w:t>
      </w:r>
      <w:r w:rsidRPr="00AE3F1B">
        <w:rPr>
          <w:rFonts w:ascii="Garamond" w:hAnsi="Garamond"/>
          <w:sz w:val="24"/>
          <w:szCs w:val="24"/>
        </w:rPr>
        <w:t>.2.9.</w:t>
      </w:r>
    </w:p>
    <w:p w14:paraId="4AE53B3B" w14:textId="336FD8E0" w:rsidR="00F77545" w:rsidRPr="00AE3F1B" w:rsidRDefault="00F77545" w:rsidP="0025770E">
      <w:pPr>
        <w:ind w:left="567" w:right="-3"/>
        <w:jc w:val="left"/>
        <w:rPr>
          <w:rFonts w:ascii="Garamond" w:hAnsi="Garamond"/>
          <w:sz w:val="24"/>
          <w:szCs w:val="24"/>
        </w:rPr>
      </w:pPr>
      <w:r w:rsidRPr="00AE3F1B">
        <w:rPr>
          <w:rFonts w:ascii="Garamond" w:hAnsi="Garamond"/>
          <w:sz w:val="24"/>
          <w:szCs w:val="24"/>
        </w:rPr>
        <w:t xml:space="preserve">PGE Dystrybucja S.A. przekazuje do OSP dane pomiarowe </w:t>
      </w:r>
      <w:proofErr w:type="spellStart"/>
      <w:r w:rsidR="006E34EA" w:rsidRPr="00AE3F1B">
        <w:rPr>
          <w:rFonts w:ascii="Garamond" w:hAnsi="Garamond"/>
          <w:sz w:val="24"/>
          <w:szCs w:val="24"/>
        </w:rPr>
        <w:t>O</w:t>
      </w:r>
      <w:r w:rsidR="006E34EA">
        <w:rPr>
          <w:rFonts w:ascii="Garamond" w:hAnsi="Garamond"/>
          <w:sz w:val="24"/>
          <w:szCs w:val="24"/>
        </w:rPr>
        <w:t>R</w:t>
      </w:r>
      <w:r w:rsidR="006E34EA" w:rsidRPr="00AE3F1B">
        <w:rPr>
          <w:rFonts w:ascii="Garamond" w:hAnsi="Garamond"/>
          <w:sz w:val="24"/>
          <w:szCs w:val="24"/>
        </w:rPr>
        <w:t>ed</w:t>
      </w:r>
      <w:proofErr w:type="spellEnd"/>
      <w:r w:rsidR="006E34EA" w:rsidRPr="00AE3F1B">
        <w:rPr>
          <w:rFonts w:ascii="Garamond" w:hAnsi="Garamond"/>
          <w:sz w:val="24"/>
          <w:szCs w:val="24"/>
        </w:rPr>
        <w:t xml:space="preserve"> </w:t>
      </w:r>
      <w:r w:rsidRPr="00AE3F1B">
        <w:rPr>
          <w:rFonts w:ascii="Garamond" w:hAnsi="Garamond"/>
          <w:sz w:val="24"/>
          <w:szCs w:val="24"/>
        </w:rPr>
        <w:t xml:space="preserve">przyłączonego do sieci ID, </w:t>
      </w:r>
      <w:r w:rsidR="00AC2464" w:rsidRPr="00AE3F1B">
        <w:rPr>
          <w:rFonts w:ascii="Garamond" w:hAnsi="Garamond"/>
          <w:sz w:val="24"/>
          <w:szCs w:val="24"/>
        </w:rPr>
        <w:br/>
      </w:r>
      <w:r w:rsidRPr="00AE3F1B">
        <w:rPr>
          <w:rFonts w:ascii="Garamond" w:hAnsi="Garamond"/>
          <w:sz w:val="24"/>
          <w:szCs w:val="24"/>
        </w:rPr>
        <w:t xml:space="preserve">w tym dokonuje zasilenia inicjalnego, po otrzymaniu tych danych od ID, w trybie i formie określonych w pkt. </w:t>
      </w:r>
      <w:r w:rsidR="00AC2464" w:rsidRPr="00AE3F1B">
        <w:rPr>
          <w:rFonts w:ascii="Garamond" w:hAnsi="Garamond"/>
          <w:sz w:val="24"/>
          <w:szCs w:val="24"/>
        </w:rPr>
        <w:t>I</w:t>
      </w:r>
      <w:r w:rsidRPr="00AE3F1B">
        <w:rPr>
          <w:rFonts w:ascii="Garamond" w:hAnsi="Garamond"/>
          <w:sz w:val="24"/>
          <w:szCs w:val="24"/>
        </w:rPr>
        <w:t>.2.5.</w:t>
      </w:r>
    </w:p>
    <w:p w14:paraId="571E23F1" w14:textId="717CA3E4" w:rsidR="00F77545" w:rsidRPr="00AE3F1B" w:rsidRDefault="00AC2464" w:rsidP="0025770E">
      <w:pPr>
        <w:ind w:left="567" w:right="-3" w:hanging="567"/>
        <w:jc w:val="left"/>
        <w:rPr>
          <w:rFonts w:ascii="Garamond" w:hAnsi="Garamond"/>
          <w:sz w:val="24"/>
          <w:szCs w:val="24"/>
        </w:rPr>
      </w:pPr>
      <w:r w:rsidRPr="00AE3F1B">
        <w:rPr>
          <w:rFonts w:ascii="Garamond" w:hAnsi="Garamond"/>
          <w:sz w:val="24"/>
          <w:szCs w:val="24"/>
        </w:rPr>
        <w:t>I</w:t>
      </w:r>
      <w:r w:rsidR="00F77545" w:rsidRPr="00AE3F1B">
        <w:rPr>
          <w:rFonts w:ascii="Garamond" w:hAnsi="Garamond"/>
          <w:sz w:val="24"/>
          <w:szCs w:val="24"/>
        </w:rPr>
        <w:t xml:space="preserve">.2.4. W przypadku, gdy </w:t>
      </w:r>
      <w:proofErr w:type="spellStart"/>
      <w:r w:rsidR="006E34EA" w:rsidRPr="00AE3F1B">
        <w:rPr>
          <w:rFonts w:ascii="Garamond" w:hAnsi="Garamond"/>
          <w:sz w:val="24"/>
          <w:szCs w:val="24"/>
        </w:rPr>
        <w:t>O</w:t>
      </w:r>
      <w:r w:rsidR="006E34EA">
        <w:rPr>
          <w:rFonts w:ascii="Garamond" w:hAnsi="Garamond"/>
          <w:sz w:val="24"/>
          <w:szCs w:val="24"/>
        </w:rPr>
        <w:t>R</w:t>
      </w:r>
      <w:r w:rsidR="006E34EA" w:rsidRPr="00AE3F1B">
        <w:rPr>
          <w:rFonts w:ascii="Garamond" w:hAnsi="Garamond"/>
          <w:sz w:val="24"/>
          <w:szCs w:val="24"/>
        </w:rPr>
        <w:t>ed</w:t>
      </w:r>
      <w:proofErr w:type="spellEnd"/>
      <w:r w:rsidR="006E34EA" w:rsidRPr="00AE3F1B">
        <w:rPr>
          <w:rFonts w:ascii="Garamond" w:hAnsi="Garamond"/>
          <w:sz w:val="24"/>
          <w:szCs w:val="24"/>
        </w:rPr>
        <w:t xml:space="preserve"> </w:t>
      </w:r>
      <w:r w:rsidR="00F77545" w:rsidRPr="00AE3F1B">
        <w:rPr>
          <w:rFonts w:ascii="Garamond" w:hAnsi="Garamond"/>
          <w:sz w:val="24"/>
          <w:szCs w:val="24"/>
        </w:rPr>
        <w:t>jest przyłączony do więcej niż jednego OSD, PGE Dystrybucja S.A. przesyła dane pomiarowe, o których mowa w pkt</w:t>
      </w:r>
      <w:r w:rsidRPr="00AE3F1B">
        <w:rPr>
          <w:rFonts w:ascii="Garamond" w:hAnsi="Garamond"/>
          <w:sz w:val="24"/>
          <w:szCs w:val="24"/>
        </w:rPr>
        <w:t xml:space="preserve"> I</w:t>
      </w:r>
      <w:r w:rsidR="00F77545" w:rsidRPr="00AE3F1B">
        <w:rPr>
          <w:rFonts w:ascii="Garamond" w:hAnsi="Garamond"/>
          <w:sz w:val="24"/>
          <w:szCs w:val="24"/>
        </w:rPr>
        <w:t xml:space="preserve">.2.3., w zakresie PPE zlokalizowanych w swojej sieci dystrybucyjnej, w tym dla PPE zlokalizowanych w sieci ID Sp. z o.o., którego sieć jest połączona z siecią PGE Dystrybucja </w:t>
      </w:r>
      <w:r w:rsidR="0025770E" w:rsidRPr="00AE3F1B">
        <w:rPr>
          <w:rFonts w:ascii="Garamond" w:hAnsi="Garamond"/>
          <w:sz w:val="24"/>
          <w:szCs w:val="24"/>
        </w:rPr>
        <w:t>S.A.</w:t>
      </w:r>
    </w:p>
    <w:p w14:paraId="3A55C8C4" w14:textId="1559E845" w:rsidR="00F77545" w:rsidRPr="00AE3F1B" w:rsidRDefault="00AC2464" w:rsidP="0025770E">
      <w:pPr>
        <w:tabs>
          <w:tab w:val="left" w:pos="567"/>
        </w:tabs>
        <w:ind w:left="567" w:right="-3" w:hanging="567"/>
        <w:jc w:val="left"/>
        <w:rPr>
          <w:rFonts w:ascii="Garamond" w:hAnsi="Garamond"/>
          <w:sz w:val="24"/>
          <w:szCs w:val="24"/>
        </w:rPr>
      </w:pPr>
      <w:r w:rsidRPr="00AE3F1B">
        <w:rPr>
          <w:rFonts w:ascii="Garamond" w:hAnsi="Garamond"/>
          <w:sz w:val="24"/>
          <w:szCs w:val="24"/>
        </w:rPr>
        <w:t>I</w:t>
      </w:r>
      <w:r w:rsidR="00F77545" w:rsidRPr="00AE3F1B">
        <w:rPr>
          <w:rFonts w:ascii="Garamond" w:hAnsi="Garamond"/>
          <w:sz w:val="24"/>
          <w:szCs w:val="24"/>
        </w:rPr>
        <w:t xml:space="preserve">.2.5. ID Sp. z o.o., której sieć jest połączona z siecią PGE Dystrybucja S.A., zobowiązana jest do przekazywania do PGE Dystrybucja S.A. godzinowych danych pomiarowych dotyczących PPE przyłączonych do jej sieci tworzących </w:t>
      </w:r>
      <w:proofErr w:type="spellStart"/>
      <w:r w:rsidR="00F77545" w:rsidRPr="00AE3F1B">
        <w:rPr>
          <w:rFonts w:ascii="Garamond" w:hAnsi="Garamond"/>
          <w:sz w:val="24"/>
          <w:szCs w:val="24"/>
        </w:rPr>
        <w:t>O</w:t>
      </w:r>
      <w:r w:rsidR="006E34EA">
        <w:rPr>
          <w:rFonts w:ascii="Garamond" w:hAnsi="Garamond"/>
          <w:sz w:val="24"/>
          <w:szCs w:val="24"/>
        </w:rPr>
        <w:t>R</w:t>
      </w:r>
      <w:r w:rsidR="00F77545" w:rsidRPr="00AE3F1B">
        <w:rPr>
          <w:rFonts w:ascii="Garamond" w:hAnsi="Garamond"/>
          <w:sz w:val="24"/>
          <w:szCs w:val="24"/>
        </w:rPr>
        <w:t>ed</w:t>
      </w:r>
      <w:proofErr w:type="spellEnd"/>
      <w:r w:rsidR="00F77545" w:rsidRPr="00AE3F1B">
        <w:rPr>
          <w:rFonts w:ascii="Garamond" w:hAnsi="Garamond"/>
          <w:sz w:val="24"/>
          <w:szCs w:val="24"/>
        </w:rPr>
        <w:t>, w następującym zakresie:</w:t>
      </w:r>
    </w:p>
    <w:p w14:paraId="0803D67B" w14:textId="77777777" w:rsidR="00F77545" w:rsidRPr="0025770E" w:rsidRDefault="00F77545">
      <w:pPr>
        <w:pStyle w:val="Akapitzlist"/>
        <w:numPr>
          <w:ilvl w:val="0"/>
          <w:numId w:val="194"/>
        </w:numPr>
        <w:ind w:right="-3"/>
        <w:jc w:val="left"/>
        <w:rPr>
          <w:rFonts w:ascii="Garamond" w:hAnsi="Garamond"/>
          <w:sz w:val="24"/>
          <w:szCs w:val="24"/>
        </w:rPr>
      </w:pPr>
      <w:r w:rsidRPr="0025770E">
        <w:rPr>
          <w:rFonts w:ascii="Garamond" w:hAnsi="Garamond"/>
          <w:sz w:val="24"/>
          <w:szCs w:val="24"/>
        </w:rPr>
        <w:t>dane pomiarowe dotyczące zasilenia inicjalnego, o którym mowa w pkt</w:t>
      </w:r>
      <w:r w:rsidR="00AC2464" w:rsidRPr="0025770E">
        <w:rPr>
          <w:rFonts w:ascii="Garamond" w:hAnsi="Garamond"/>
          <w:sz w:val="24"/>
          <w:szCs w:val="24"/>
        </w:rPr>
        <w:t xml:space="preserve"> I</w:t>
      </w:r>
      <w:r w:rsidRPr="0025770E">
        <w:rPr>
          <w:rFonts w:ascii="Garamond" w:hAnsi="Garamond"/>
          <w:sz w:val="24"/>
          <w:szCs w:val="24"/>
        </w:rPr>
        <w:t>.2.3., w terminie 2 dni kalendarzowych od otrzymania informacji od PGE Dystrybucja S.A.,</w:t>
      </w:r>
    </w:p>
    <w:p w14:paraId="1647E6E8" w14:textId="77777777" w:rsidR="00F77545" w:rsidRPr="0025770E" w:rsidRDefault="00F77545">
      <w:pPr>
        <w:pStyle w:val="Akapitzlist"/>
        <w:numPr>
          <w:ilvl w:val="0"/>
          <w:numId w:val="194"/>
        </w:numPr>
        <w:ind w:right="-3"/>
        <w:jc w:val="left"/>
        <w:rPr>
          <w:rFonts w:ascii="Garamond" w:hAnsi="Garamond"/>
          <w:sz w:val="24"/>
          <w:szCs w:val="24"/>
        </w:rPr>
      </w:pPr>
      <w:r w:rsidRPr="0025770E">
        <w:rPr>
          <w:rFonts w:ascii="Garamond" w:hAnsi="Garamond"/>
          <w:sz w:val="24"/>
          <w:szCs w:val="24"/>
        </w:rPr>
        <w:t>dane pomiarowe w trybie wstępnym (dla doby n), o którym mowa w pkt</w:t>
      </w:r>
      <w:r w:rsidR="00AC2464" w:rsidRPr="0025770E">
        <w:rPr>
          <w:rFonts w:ascii="Garamond" w:hAnsi="Garamond"/>
          <w:sz w:val="24"/>
          <w:szCs w:val="24"/>
        </w:rPr>
        <w:t xml:space="preserve"> I</w:t>
      </w:r>
      <w:r w:rsidRPr="0025770E">
        <w:rPr>
          <w:rFonts w:ascii="Garamond" w:hAnsi="Garamond"/>
          <w:sz w:val="24"/>
          <w:szCs w:val="24"/>
        </w:rPr>
        <w:t xml:space="preserve">.2.7., w terminie </w:t>
      </w:r>
      <w:r w:rsidR="00AC2464" w:rsidRPr="0025770E">
        <w:rPr>
          <w:rFonts w:ascii="Garamond" w:hAnsi="Garamond"/>
          <w:sz w:val="24"/>
          <w:szCs w:val="24"/>
        </w:rPr>
        <w:br/>
      </w:r>
      <w:r w:rsidRPr="0025770E">
        <w:rPr>
          <w:rFonts w:ascii="Garamond" w:hAnsi="Garamond"/>
          <w:sz w:val="24"/>
          <w:szCs w:val="24"/>
        </w:rPr>
        <w:t>do doby n+2,</w:t>
      </w:r>
    </w:p>
    <w:p w14:paraId="5F720AED" w14:textId="77777777" w:rsidR="00F77545" w:rsidRPr="0025770E" w:rsidRDefault="00F77545">
      <w:pPr>
        <w:pStyle w:val="Akapitzlist"/>
        <w:numPr>
          <w:ilvl w:val="0"/>
          <w:numId w:val="194"/>
        </w:numPr>
        <w:ind w:right="-3"/>
        <w:jc w:val="left"/>
        <w:rPr>
          <w:rFonts w:ascii="Garamond" w:hAnsi="Garamond"/>
          <w:sz w:val="24"/>
          <w:szCs w:val="24"/>
        </w:rPr>
      </w:pPr>
      <w:r w:rsidRPr="0025770E">
        <w:rPr>
          <w:rFonts w:ascii="Garamond" w:hAnsi="Garamond"/>
          <w:sz w:val="24"/>
          <w:szCs w:val="24"/>
        </w:rPr>
        <w:lastRenderedPageBreak/>
        <w:t>dane pomiarowe w trybie podstawowym (dla miesiąca m), o którym mowa w pkt</w:t>
      </w:r>
      <w:r w:rsidR="00AC2464" w:rsidRPr="0025770E">
        <w:rPr>
          <w:rFonts w:ascii="Garamond" w:hAnsi="Garamond"/>
          <w:sz w:val="24"/>
          <w:szCs w:val="24"/>
        </w:rPr>
        <w:t xml:space="preserve"> I</w:t>
      </w:r>
      <w:r w:rsidRPr="0025770E">
        <w:rPr>
          <w:rFonts w:ascii="Garamond" w:hAnsi="Garamond"/>
          <w:sz w:val="24"/>
          <w:szCs w:val="24"/>
        </w:rPr>
        <w:t xml:space="preserve">.2.8, </w:t>
      </w:r>
      <w:r w:rsidR="00AC2464" w:rsidRPr="0025770E">
        <w:rPr>
          <w:rFonts w:ascii="Garamond" w:hAnsi="Garamond"/>
          <w:sz w:val="24"/>
          <w:szCs w:val="24"/>
        </w:rPr>
        <w:br/>
      </w:r>
      <w:r w:rsidRPr="0025770E">
        <w:rPr>
          <w:rFonts w:ascii="Garamond" w:hAnsi="Garamond"/>
          <w:sz w:val="24"/>
          <w:szCs w:val="24"/>
        </w:rPr>
        <w:t xml:space="preserve">w terminie od 1 do 2 dnia miesiąca </w:t>
      </w:r>
      <w:proofErr w:type="spellStart"/>
      <w:r w:rsidRPr="0025770E">
        <w:rPr>
          <w:rFonts w:ascii="Garamond" w:hAnsi="Garamond"/>
          <w:sz w:val="24"/>
          <w:szCs w:val="24"/>
        </w:rPr>
        <w:t>m+l</w:t>
      </w:r>
      <w:proofErr w:type="spellEnd"/>
      <w:r w:rsidRPr="0025770E">
        <w:rPr>
          <w:rFonts w:ascii="Garamond" w:hAnsi="Garamond"/>
          <w:sz w:val="24"/>
          <w:szCs w:val="24"/>
        </w:rPr>
        <w:t>,</w:t>
      </w:r>
    </w:p>
    <w:p w14:paraId="351A0C3A" w14:textId="77777777" w:rsidR="00F77545" w:rsidRPr="0025770E" w:rsidRDefault="00F77545">
      <w:pPr>
        <w:pStyle w:val="Akapitzlist"/>
        <w:numPr>
          <w:ilvl w:val="0"/>
          <w:numId w:val="194"/>
        </w:numPr>
        <w:ind w:right="-3"/>
        <w:jc w:val="left"/>
        <w:rPr>
          <w:rFonts w:ascii="Garamond" w:hAnsi="Garamond"/>
          <w:sz w:val="24"/>
          <w:szCs w:val="24"/>
        </w:rPr>
      </w:pPr>
      <w:r w:rsidRPr="0025770E">
        <w:rPr>
          <w:rFonts w:ascii="Garamond" w:hAnsi="Garamond"/>
          <w:sz w:val="24"/>
          <w:szCs w:val="24"/>
        </w:rPr>
        <w:t>dane pomiarowe w trybie korekt, o których mowa w pkt</w:t>
      </w:r>
      <w:r w:rsidR="00AC2464" w:rsidRPr="0025770E">
        <w:rPr>
          <w:rFonts w:ascii="Garamond" w:hAnsi="Garamond"/>
          <w:sz w:val="24"/>
          <w:szCs w:val="24"/>
        </w:rPr>
        <w:t xml:space="preserve"> I</w:t>
      </w:r>
      <w:r w:rsidRPr="0025770E">
        <w:rPr>
          <w:rFonts w:ascii="Garamond" w:hAnsi="Garamond"/>
          <w:sz w:val="24"/>
          <w:szCs w:val="24"/>
        </w:rPr>
        <w:t xml:space="preserve">.2.9., za miesiąc m, w terminie </w:t>
      </w:r>
      <w:r w:rsidR="00AC2464" w:rsidRPr="0025770E">
        <w:rPr>
          <w:rFonts w:ascii="Garamond" w:hAnsi="Garamond"/>
          <w:sz w:val="24"/>
          <w:szCs w:val="24"/>
        </w:rPr>
        <w:br/>
      </w:r>
      <w:r w:rsidRPr="0025770E">
        <w:rPr>
          <w:rFonts w:ascii="Garamond" w:hAnsi="Garamond"/>
          <w:sz w:val="24"/>
          <w:szCs w:val="24"/>
        </w:rPr>
        <w:t>od 1 do 2 dnia odpowiednio miesiąca m+2 lub m+4.</w:t>
      </w:r>
    </w:p>
    <w:p w14:paraId="4353D6A6" w14:textId="77777777" w:rsidR="00F77545" w:rsidRPr="00AE3F1B" w:rsidRDefault="00F77545" w:rsidP="0025770E">
      <w:pPr>
        <w:spacing w:after="15"/>
        <w:ind w:left="567" w:right="-3"/>
        <w:jc w:val="left"/>
        <w:rPr>
          <w:rFonts w:ascii="Garamond" w:hAnsi="Garamond"/>
          <w:sz w:val="24"/>
          <w:szCs w:val="24"/>
        </w:rPr>
      </w:pPr>
      <w:r w:rsidRPr="00AE3F1B">
        <w:rPr>
          <w:rFonts w:ascii="Garamond" w:hAnsi="Garamond"/>
          <w:sz w:val="24"/>
          <w:szCs w:val="24"/>
        </w:rPr>
        <w:t xml:space="preserve">ID Sp. z o.o. przekazuje do PGE Dystrybucja S.A. godzinowe dane pomiarowe w formie elektronicznej poprzez wskazany przez PGE Dystrybucja S.A. dedykowany serwer. Dane </w:t>
      </w:r>
      <w:r w:rsidR="00AC2464" w:rsidRPr="00AE3F1B">
        <w:rPr>
          <w:rFonts w:ascii="Garamond" w:hAnsi="Garamond"/>
          <w:sz w:val="24"/>
          <w:szCs w:val="24"/>
        </w:rPr>
        <w:br/>
      </w:r>
      <w:r w:rsidRPr="00AE3F1B">
        <w:rPr>
          <w:rFonts w:ascii="Garamond" w:hAnsi="Garamond"/>
          <w:sz w:val="24"/>
          <w:szCs w:val="24"/>
        </w:rPr>
        <w:t>te są przekazywane wraz ze statusami (O — dana poprawna, 1- dana niepoprawna) dla każdego PPE, dla ilości energii elektrycznej oddzielnie dla pobranej/oddanej z/do sieci elektroenergetycznej, z dokładnością do 1 kWh. Dodatkowe szczegóły dotyczące standardu przekazywanych danych zostaną określone przez PGE Dystrybucja S.A. zgodnie ze standardem WIRE.</w:t>
      </w:r>
    </w:p>
    <w:p w14:paraId="025E8662" w14:textId="77777777" w:rsidR="00F77545" w:rsidRPr="00AE3F1B" w:rsidRDefault="00F77545" w:rsidP="0025770E">
      <w:pPr>
        <w:spacing w:after="225" w:line="249" w:lineRule="auto"/>
        <w:ind w:left="567" w:right="-3"/>
        <w:jc w:val="left"/>
        <w:rPr>
          <w:rFonts w:ascii="Garamond" w:hAnsi="Garamond"/>
          <w:sz w:val="24"/>
          <w:szCs w:val="24"/>
        </w:rPr>
      </w:pPr>
      <w:r w:rsidRPr="00AE3F1B">
        <w:rPr>
          <w:rFonts w:ascii="Garamond" w:hAnsi="Garamond"/>
          <w:sz w:val="24"/>
          <w:szCs w:val="24"/>
        </w:rPr>
        <w:t>Wymiana informacji i komunikatów dotyczących powyższych danych pomiarowych odbywa się wyłącznie w formie elektronicznej na adresy poczty elektronicznej /serwery wskazane przez PGE Dystrybucja S.A.</w:t>
      </w:r>
    </w:p>
    <w:p w14:paraId="7F561C8A" w14:textId="77777777" w:rsidR="00F77545" w:rsidRPr="00AE3F1B" w:rsidRDefault="00AC2464" w:rsidP="00175586">
      <w:pPr>
        <w:spacing w:after="112" w:line="249" w:lineRule="auto"/>
        <w:ind w:left="567" w:right="-3" w:hanging="567"/>
        <w:jc w:val="left"/>
        <w:rPr>
          <w:rFonts w:ascii="Garamond" w:hAnsi="Garamond"/>
          <w:sz w:val="24"/>
          <w:szCs w:val="24"/>
        </w:rPr>
      </w:pPr>
      <w:r w:rsidRPr="00AE3F1B">
        <w:rPr>
          <w:rFonts w:ascii="Garamond" w:hAnsi="Garamond"/>
          <w:sz w:val="24"/>
          <w:szCs w:val="24"/>
        </w:rPr>
        <w:t>I</w:t>
      </w:r>
      <w:r w:rsidR="00F77545" w:rsidRPr="00AE3F1B">
        <w:rPr>
          <w:rFonts w:ascii="Garamond" w:hAnsi="Garamond"/>
          <w:sz w:val="24"/>
          <w:szCs w:val="24"/>
        </w:rPr>
        <w:t xml:space="preserve">.2.6. PGE Dystrybucja S.A. przekazuje do OSP godzinowe dane pomiarowe poprzez system WIRE. Dane te są przekazywane wraz ze statusami (O — dana poprawna, 1 —dana niepoprawna) dla każdego PPE, dla ilości energii elektrycznej oddzielnie dla pobranej/oddanej z/do sieci elektroenergetycznej, z dokładnością </w:t>
      </w:r>
      <w:r w:rsidRPr="00AE3F1B">
        <w:rPr>
          <w:rFonts w:ascii="Garamond" w:hAnsi="Garamond"/>
          <w:sz w:val="24"/>
          <w:szCs w:val="24"/>
        </w:rPr>
        <w:t>do 1</w:t>
      </w:r>
      <w:r w:rsidR="00F77545" w:rsidRPr="00AE3F1B">
        <w:rPr>
          <w:rFonts w:ascii="Garamond" w:hAnsi="Garamond"/>
          <w:sz w:val="24"/>
          <w:szCs w:val="24"/>
        </w:rPr>
        <w:t>kWh.</w:t>
      </w:r>
    </w:p>
    <w:p w14:paraId="2591CA28" w14:textId="77777777" w:rsidR="00F77545" w:rsidRPr="00AE3F1B" w:rsidRDefault="00AC2464" w:rsidP="00175586">
      <w:pPr>
        <w:spacing w:after="97" w:line="249" w:lineRule="auto"/>
        <w:ind w:left="567" w:right="-3" w:hanging="567"/>
        <w:jc w:val="left"/>
        <w:rPr>
          <w:rFonts w:ascii="Garamond" w:hAnsi="Garamond"/>
          <w:sz w:val="24"/>
          <w:szCs w:val="24"/>
        </w:rPr>
      </w:pPr>
      <w:r w:rsidRPr="00AE3F1B">
        <w:rPr>
          <w:rFonts w:ascii="Garamond" w:hAnsi="Garamond"/>
          <w:sz w:val="24"/>
          <w:szCs w:val="24"/>
        </w:rPr>
        <w:t>I</w:t>
      </w:r>
      <w:r w:rsidR="00F77545" w:rsidRPr="00AE3F1B">
        <w:rPr>
          <w:rFonts w:ascii="Garamond" w:hAnsi="Garamond"/>
          <w:sz w:val="24"/>
          <w:szCs w:val="24"/>
        </w:rPr>
        <w:t xml:space="preserve">.2.7. Dane godzinowe dla doby n są przekazywane przez PGE Dystrybucja S.A. do OSP w trybie wstępnym od doby </w:t>
      </w:r>
      <w:proofErr w:type="spellStart"/>
      <w:r w:rsidR="00F77545" w:rsidRPr="00AE3F1B">
        <w:rPr>
          <w:rFonts w:ascii="Garamond" w:hAnsi="Garamond"/>
          <w:sz w:val="24"/>
          <w:szCs w:val="24"/>
        </w:rPr>
        <w:t>n+l</w:t>
      </w:r>
      <w:proofErr w:type="spellEnd"/>
      <w:r w:rsidR="00F77545" w:rsidRPr="00AE3F1B">
        <w:rPr>
          <w:rFonts w:ascii="Garamond" w:hAnsi="Garamond"/>
          <w:sz w:val="24"/>
          <w:szCs w:val="24"/>
        </w:rPr>
        <w:t xml:space="preserve"> do doby n+4.</w:t>
      </w:r>
    </w:p>
    <w:p w14:paraId="650519D9" w14:textId="219998D7" w:rsidR="00F77545" w:rsidRPr="00AE3F1B" w:rsidRDefault="00AC2464" w:rsidP="00175586">
      <w:pPr>
        <w:spacing w:after="52" w:line="249" w:lineRule="auto"/>
        <w:ind w:left="567" w:right="-3" w:hanging="567"/>
        <w:jc w:val="left"/>
        <w:rPr>
          <w:rFonts w:ascii="Garamond" w:hAnsi="Garamond"/>
          <w:sz w:val="24"/>
          <w:szCs w:val="24"/>
        </w:rPr>
      </w:pPr>
      <w:r w:rsidRPr="00AE3F1B">
        <w:rPr>
          <w:rFonts w:ascii="Garamond" w:hAnsi="Garamond"/>
          <w:sz w:val="24"/>
          <w:szCs w:val="24"/>
        </w:rPr>
        <w:t>I</w:t>
      </w:r>
      <w:r w:rsidR="00F77545" w:rsidRPr="00AE3F1B">
        <w:rPr>
          <w:rFonts w:ascii="Garamond" w:hAnsi="Garamond"/>
          <w:sz w:val="24"/>
          <w:szCs w:val="24"/>
        </w:rPr>
        <w:t xml:space="preserve">.2.8. Do 5 dnia po zakończeniu miesiąca m, PGE Dystrybucja S.A. dokonuje ponownej weryfikacji przekazanych do OSP danych pomiarowych </w:t>
      </w:r>
      <w:proofErr w:type="spellStart"/>
      <w:r w:rsidR="006E34EA" w:rsidRPr="00AE3F1B">
        <w:rPr>
          <w:rFonts w:ascii="Garamond" w:hAnsi="Garamond"/>
          <w:sz w:val="24"/>
          <w:szCs w:val="24"/>
        </w:rPr>
        <w:t>O</w:t>
      </w:r>
      <w:r w:rsidR="006E34EA">
        <w:rPr>
          <w:rFonts w:ascii="Garamond" w:hAnsi="Garamond"/>
          <w:sz w:val="24"/>
          <w:szCs w:val="24"/>
        </w:rPr>
        <w:t>R</w:t>
      </w:r>
      <w:r w:rsidR="006E34EA" w:rsidRPr="00AE3F1B">
        <w:rPr>
          <w:rFonts w:ascii="Garamond" w:hAnsi="Garamond"/>
          <w:sz w:val="24"/>
          <w:szCs w:val="24"/>
        </w:rPr>
        <w:t>ed</w:t>
      </w:r>
      <w:proofErr w:type="spellEnd"/>
      <w:r w:rsidR="006E34EA" w:rsidRPr="00AE3F1B">
        <w:rPr>
          <w:rFonts w:ascii="Garamond" w:hAnsi="Garamond"/>
          <w:sz w:val="24"/>
          <w:szCs w:val="24"/>
        </w:rPr>
        <w:t xml:space="preserve"> </w:t>
      </w:r>
      <w:r w:rsidR="00F77545" w:rsidRPr="00AE3F1B">
        <w:rPr>
          <w:rFonts w:ascii="Garamond" w:hAnsi="Garamond"/>
          <w:sz w:val="24"/>
          <w:szCs w:val="24"/>
        </w:rPr>
        <w:t>przyłączonych do sieci PGE Dystrybucja S.A. i w razie konieczności przekazuje zweryfikowaną wersję tych danych w trybie podstawowym m+</w:t>
      </w:r>
      <w:r w:rsidR="007606DB">
        <w:rPr>
          <w:rFonts w:ascii="Garamond" w:hAnsi="Garamond"/>
          <w:sz w:val="24"/>
          <w:szCs w:val="24"/>
        </w:rPr>
        <w:t>1</w:t>
      </w:r>
      <w:r w:rsidR="00F77545" w:rsidRPr="00AE3F1B">
        <w:rPr>
          <w:rFonts w:ascii="Garamond" w:hAnsi="Garamond"/>
          <w:sz w:val="24"/>
          <w:szCs w:val="24"/>
        </w:rPr>
        <w:t xml:space="preserve">. Weryfikacji danych pomiarowych </w:t>
      </w:r>
      <w:proofErr w:type="spellStart"/>
      <w:r w:rsidR="006E34EA" w:rsidRPr="00AE3F1B">
        <w:rPr>
          <w:rFonts w:ascii="Garamond" w:hAnsi="Garamond"/>
          <w:sz w:val="24"/>
          <w:szCs w:val="24"/>
        </w:rPr>
        <w:t>O</w:t>
      </w:r>
      <w:r w:rsidR="006E34EA">
        <w:rPr>
          <w:rFonts w:ascii="Garamond" w:hAnsi="Garamond"/>
          <w:sz w:val="24"/>
          <w:szCs w:val="24"/>
        </w:rPr>
        <w:t>R</w:t>
      </w:r>
      <w:r w:rsidR="006E34EA" w:rsidRPr="00AE3F1B">
        <w:rPr>
          <w:rFonts w:ascii="Garamond" w:hAnsi="Garamond"/>
          <w:sz w:val="24"/>
          <w:szCs w:val="24"/>
        </w:rPr>
        <w:t>ed</w:t>
      </w:r>
      <w:proofErr w:type="spellEnd"/>
      <w:r w:rsidR="006E34EA" w:rsidRPr="00AE3F1B">
        <w:rPr>
          <w:rFonts w:ascii="Garamond" w:hAnsi="Garamond"/>
          <w:sz w:val="24"/>
          <w:szCs w:val="24"/>
        </w:rPr>
        <w:t xml:space="preserve"> </w:t>
      </w:r>
      <w:r w:rsidR="00F77545" w:rsidRPr="00AE3F1B">
        <w:rPr>
          <w:rFonts w:ascii="Garamond" w:hAnsi="Garamond"/>
          <w:sz w:val="24"/>
          <w:szCs w:val="24"/>
        </w:rPr>
        <w:t>przyłączonych do sieci ID Sp. z o.o. dokonuje ID Sp. z o.o. i w razie konieczności przekazuje je do PGE Dystrybucja S.A. zgodnie z pkt</w:t>
      </w:r>
      <w:r w:rsidR="000227D0" w:rsidRPr="00AE3F1B">
        <w:rPr>
          <w:rFonts w:ascii="Garamond" w:hAnsi="Garamond"/>
          <w:sz w:val="24"/>
          <w:szCs w:val="24"/>
        </w:rPr>
        <w:t xml:space="preserve"> I</w:t>
      </w:r>
      <w:r w:rsidR="00F77545" w:rsidRPr="00AE3F1B">
        <w:rPr>
          <w:rFonts w:ascii="Garamond" w:hAnsi="Garamond"/>
          <w:sz w:val="24"/>
          <w:szCs w:val="24"/>
        </w:rPr>
        <w:t>.2.5.</w:t>
      </w:r>
    </w:p>
    <w:p w14:paraId="0FBD9850" w14:textId="18034F19" w:rsidR="00F77545" w:rsidRPr="00AE3F1B" w:rsidRDefault="00F77545" w:rsidP="0025770E">
      <w:pPr>
        <w:spacing w:after="15" w:line="249" w:lineRule="auto"/>
        <w:ind w:left="567" w:right="-3"/>
        <w:jc w:val="left"/>
        <w:rPr>
          <w:rFonts w:ascii="Garamond" w:hAnsi="Garamond"/>
          <w:sz w:val="24"/>
          <w:szCs w:val="24"/>
        </w:rPr>
      </w:pPr>
      <w:r w:rsidRPr="00AE3F1B">
        <w:rPr>
          <w:rFonts w:ascii="Garamond" w:hAnsi="Garamond"/>
          <w:sz w:val="24"/>
          <w:szCs w:val="24"/>
        </w:rPr>
        <w:t>Dane pomiarowe są przekazywane przez PGE Dystrybucja S.A. do OSP za miesiąc m od 1 do 5 dnia miesiąca m+</w:t>
      </w:r>
      <w:r w:rsidR="007606DB">
        <w:rPr>
          <w:rFonts w:ascii="Garamond" w:hAnsi="Garamond"/>
          <w:sz w:val="24"/>
          <w:szCs w:val="24"/>
        </w:rPr>
        <w:t>1</w:t>
      </w:r>
      <w:r w:rsidRPr="00AE3F1B">
        <w:rPr>
          <w:rFonts w:ascii="Garamond" w:hAnsi="Garamond"/>
          <w:sz w:val="24"/>
          <w:szCs w:val="24"/>
        </w:rPr>
        <w:t xml:space="preserve">. W przypadku stwierdzenia nieprawidłowości lub braku danych godzinowych, OSP inicjuje proces pozyskiwania danych w 5 dniu miesiąca </w:t>
      </w:r>
      <w:proofErr w:type="spellStart"/>
      <w:r w:rsidRPr="00AE3F1B">
        <w:rPr>
          <w:rFonts w:ascii="Garamond" w:hAnsi="Garamond"/>
          <w:sz w:val="24"/>
          <w:szCs w:val="24"/>
        </w:rPr>
        <w:t>m+l</w:t>
      </w:r>
      <w:proofErr w:type="spellEnd"/>
      <w:r w:rsidRPr="00AE3F1B">
        <w:rPr>
          <w:rFonts w:ascii="Garamond" w:hAnsi="Garamond"/>
          <w:sz w:val="24"/>
          <w:szCs w:val="24"/>
        </w:rPr>
        <w:t xml:space="preserve"> poprzez wysłanie zapytania do PGE Dystrybucja S.A. o dane pomiarowe dla wskazanych PPE. W odpowiedzi na wysłane zapytanie, PGE Dystrybucja S.A. przekazuje wymagane dane pomiarowe tego samego dnia lub w dniu następnym. W przypadku nie przesłania danych przez PGE Dystrybucja S.A. w trybie podstawowym </w:t>
      </w:r>
      <w:proofErr w:type="spellStart"/>
      <w:r w:rsidRPr="00AE3F1B">
        <w:rPr>
          <w:rFonts w:ascii="Garamond" w:hAnsi="Garamond"/>
          <w:sz w:val="24"/>
          <w:szCs w:val="24"/>
        </w:rPr>
        <w:t>m+l</w:t>
      </w:r>
      <w:proofErr w:type="spellEnd"/>
      <w:r w:rsidRPr="00AE3F1B">
        <w:rPr>
          <w:rFonts w:ascii="Garamond" w:hAnsi="Garamond"/>
          <w:sz w:val="24"/>
          <w:szCs w:val="24"/>
        </w:rPr>
        <w:t>, OSP do rozliczeń przyjmuje dane, o</w:t>
      </w:r>
      <w:r w:rsidR="00257369">
        <w:rPr>
          <w:rFonts w:ascii="Garamond" w:hAnsi="Garamond"/>
          <w:sz w:val="24"/>
          <w:szCs w:val="24"/>
        </w:rPr>
        <w:t xml:space="preserve"> </w:t>
      </w:r>
      <w:r w:rsidRPr="00AE3F1B">
        <w:rPr>
          <w:rFonts w:ascii="Garamond" w:hAnsi="Garamond"/>
          <w:sz w:val="24"/>
          <w:szCs w:val="24"/>
        </w:rPr>
        <w:t>których mowa w pkt</w:t>
      </w:r>
      <w:r w:rsidR="000227D0" w:rsidRPr="00AE3F1B">
        <w:rPr>
          <w:rFonts w:ascii="Garamond" w:hAnsi="Garamond"/>
          <w:sz w:val="24"/>
          <w:szCs w:val="24"/>
        </w:rPr>
        <w:t xml:space="preserve"> I</w:t>
      </w:r>
      <w:r w:rsidRPr="00AE3F1B">
        <w:rPr>
          <w:rFonts w:ascii="Garamond" w:hAnsi="Garamond"/>
          <w:sz w:val="24"/>
          <w:szCs w:val="24"/>
        </w:rPr>
        <w:t>.2.7.</w:t>
      </w:r>
    </w:p>
    <w:p w14:paraId="7788FFEA" w14:textId="3598E54A" w:rsidR="00F77545" w:rsidRPr="00AE3F1B" w:rsidRDefault="00F77545" w:rsidP="0025770E">
      <w:pPr>
        <w:spacing w:after="153" w:line="249" w:lineRule="auto"/>
        <w:ind w:left="567" w:right="-3"/>
        <w:jc w:val="left"/>
        <w:rPr>
          <w:rFonts w:ascii="Garamond" w:hAnsi="Garamond"/>
          <w:sz w:val="24"/>
          <w:szCs w:val="24"/>
        </w:rPr>
      </w:pPr>
      <w:r w:rsidRPr="00AE3F1B">
        <w:rPr>
          <w:rFonts w:ascii="Garamond" w:hAnsi="Garamond"/>
          <w:sz w:val="24"/>
          <w:szCs w:val="24"/>
        </w:rPr>
        <w:t xml:space="preserve">W trybie podstawowym </w:t>
      </w:r>
      <w:proofErr w:type="spellStart"/>
      <w:r w:rsidRPr="00AE3F1B">
        <w:rPr>
          <w:rFonts w:ascii="Garamond" w:hAnsi="Garamond"/>
          <w:sz w:val="24"/>
          <w:szCs w:val="24"/>
        </w:rPr>
        <w:t>m+l</w:t>
      </w:r>
      <w:proofErr w:type="spellEnd"/>
      <w:r w:rsidRPr="00AE3F1B">
        <w:rPr>
          <w:rFonts w:ascii="Garamond" w:hAnsi="Garamond"/>
          <w:sz w:val="24"/>
          <w:szCs w:val="24"/>
        </w:rPr>
        <w:t xml:space="preserve"> wszystkie dane pomiarowe przekazywane przez PGE Dystrybucja S.A. do </w:t>
      </w:r>
      <w:r w:rsidR="0025770E" w:rsidRPr="00AE3F1B">
        <w:rPr>
          <w:rFonts w:ascii="Garamond" w:hAnsi="Garamond"/>
          <w:sz w:val="24"/>
          <w:szCs w:val="24"/>
        </w:rPr>
        <w:t>OSP</w:t>
      </w:r>
      <w:r w:rsidRPr="00AE3F1B">
        <w:rPr>
          <w:rFonts w:ascii="Garamond" w:hAnsi="Garamond"/>
          <w:sz w:val="24"/>
          <w:szCs w:val="24"/>
        </w:rPr>
        <w:t xml:space="preserve"> jako zweryfikowane pod względem i poprawności, muszą posiadać status danych poprawnych.</w:t>
      </w:r>
    </w:p>
    <w:p w14:paraId="5DCE9F74" w14:textId="77777777" w:rsidR="00F77545" w:rsidRPr="00AE3F1B" w:rsidRDefault="000227D0" w:rsidP="00175586">
      <w:pPr>
        <w:spacing w:after="15" w:line="249" w:lineRule="auto"/>
        <w:ind w:left="567" w:right="-3" w:hanging="567"/>
        <w:jc w:val="left"/>
        <w:rPr>
          <w:rFonts w:ascii="Garamond" w:hAnsi="Garamond"/>
          <w:sz w:val="24"/>
          <w:szCs w:val="24"/>
        </w:rPr>
      </w:pPr>
      <w:r w:rsidRPr="00AE3F1B">
        <w:rPr>
          <w:rFonts w:ascii="Garamond" w:hAnsi="Garamond"/>
          <w:sz w:val="24"/>
          <w:szCs w:val="24"/>
        </w:rPr>
        <w:t>I</w:t>
      </w:r>
      <w:r w:rsidR="00F77545" w:rsidRPr="00AE3F1B">
        <w:rPr>
          <w:rFonts w:ascii="Garamond" w:hAnsi="Garamond"/>
          <w:sz w:val="24"/>
          <w:szCs w:val="24"/>
        </w:rPr>
        <w:t>.2.9. Dopuszcza się możliwość korygowania przekazanych przez PGE Dystrybucja S.A. do OSP danych pomiarowych.</w:t>
      </w:r>
    </w:p>
    <w:p w14:paraId="5AC81143" w14:textId="77777777" w:rsidR="00F77545" w:rsidRPr="00AE3F1B" w:rsidRDefault="00F77545" w:rsidP="0025770E">
      <w:pPr>
        <w:spacing w:after="67" w:line="249" w:lineRule="auto"/>
        <w:ind w:left="567" w:right="-3"/>
        <w:jc w:val="left"/>
        <w:rPr>
          <w:rFonts w:ascii="Garamond" w:hAnsi="Garamond"/>
          <w:sz w:val="24"/>
          <w:szCs w:val="24"/>
        </w:rPr>
      </w:pPr>
      <w:r w:rsidRPr="00AE3F1B">
        <w:rPr>
          <w:rFonts w:ascii="Garamond" w:hAnsi="Garamond"/>
          <w:sz w:val="24"/>
          <w:szCs w:val="24"/>
        </w:rPr>
        <w:t xml:space="preserve">Okresem korygowania jest miesiąc m+2 i m+4 (tryb korekt). Dane są przekazywane za miesiąc </w:t>
      </w:r>
      <w:r w:rsidR="000227D0" w:rsidRPr="00AE3F1B">
        <w:rPr>
          <w:rFonts w:ascii="Garamond" w:hAnsi="Garamond"/>
          <w:sz w:val="24"/>
          <w:szCs w:val="24"/>
        </w:rPr>
        <w:br/>
      </w:r>
      <w:r w:rsidRPr="00AE3F1B">
        <w:rPr>
          <w:rFonts w:ascii="Garamond" w:hAnsi="Garamond"/>
          <w:sz w:val="24"/>
          <w:szCs w:val="24"/>
        </w:rPr>
        <w:t xml:space="preserve">m od 1 do 5 dnia miesiąca m+2 i m+4. W przypadku stwierdzenia nieprawidłowości lub braku danych godzinowych, OSP inicjuje proces pozyskiwania danych 5 dnia miesiąca m+2 i m+4 poprzez wysłanie do PGE Dystrybucja S.A. zapytania o dane godzinowe dla wskazanych PPE. </w:t>
      </w:r>
      <w:r w:rsidR="000227D0" w:rsidRPr="00AE3F1B">
        <w:rPr>
          <w:rFonts w:ascii="Garamond" w:hAnsi="Garamond"/>
          <w:sz w:val="24"/>
          <w:szCs w:val="24"/>
        </w:rPr>
        <w:br/>
      </w:r>
      <w:r w:rsidRPr="00AE3F1B">
        <w:rPr>
          <w:rFonts w:ascii="Garamond" w:hAnsi="Garamond"/>
          <w:sz w:val="24"/>
          <w:szCs w:val="24"/>
        </w:rPr>
        <w:t>W odpowiedzi na wysłane zapytanie PGE Dystrybucja S.A. przekazuje dane pomiarowe tego samego dnia lub dnia następnego.</w:t>
      </w:r>
    </w:p>
    <w:p w14:paraId="484B154D" w14:textId="77777777" w:rsidR="00F77545" w:rsidRPr="00AE3F1B" w:rsidRDefault="00F77545" w:rsidP="0025770E">
      <w:pPr>
        <w:spacing w:after="148" w:line="249" w:lineRule="auto"/>
        <w:ind w:left="567" w:right="-3"/>
        <w:jc w:val="left"/>
        <w:rPr>
          <w:rFonts w:ascii="Garamond" w:hAnsi="Garamond"/>
          <w:sz w:val="24"/>
          <w:szCs w:val="24"/>
        </w:rPr>
      </w:pPr>
      <w:r w:rsidRPr="00AE3F1B">
        <w:rPr>
          <w:rFonts w:ascii="Garamond" w:hAnsi="Garamond"/>
          <w:sz w:val="24"/>
          <w:szCs w:val="24"/>
        </w:rPr>
        <w:lastRenderedPageBreak/>
        <w:t>Poza powyższym okresem, korekty dokonywane są na wniosek podmiotu realizującego usługę interwencyjnej ofertowej redukcji poboru mocy przez odbiorców na polecenie OSP, w trybie postępowania reklamacyjnego, zgodnie z WDB.</w:t>
      </w:r>
    </w:p>
    <w:p w14:paraId="037CFC46" w14:textId="16EB831E" w:rsidR="00F77545" w:rsidRPr="00AE3F1B" w:rsidRDefault="000227D0" w:rsidP="00175586">
      <w:pPr>
        <w:spacing w:after="345" w:line="249" w:lineRule="auto"/>
        <w:ind w:left="567" w:right="-3" w:hanging="567"/>
        <w:jc w:val="left"/>
        <w:rPr>
          <w:rFonts w:ascii="Garamond" w:hAnsi="Garamond"/>
          <w:sz w:val="24"/>
          <w:szCs w:val="24"/>
        </w:rPr>
      </w:pPr>
      <w:r w:rsidRPr="00AE3F1B">
        <w:rPr>
          <w:rFonts w:ascii="Garamond" w:hAnsi="Garamond"/>
          <w:sz w:val="24"/>
          <w:szCs w:val="24"/>
        </w:rPr>
        <w:t>I</w:t>
      </w:r>
      <w:r w:rsidR="00F77545" w:rsidRPr="00AE3F1B">
        <w:rPr>
          <w:rFonts w:ascii="Garamond" w:hAnsi="Garamond"/>
          <w:sz w:val="24"/>
          <w:szCs w:val="24"/>
        </w:rPr>
        <w:t xml:space="preserve">.2.10. Dane pomiarowe dotyczące </w:t>
      </w:r>
      <w:proofErr w:type="spellStart"/>
      <w:r w:rsidR="006E34EA" w:rsidRPr="00AE3F1B">
        <w:rPr>
          <w:rFonts w:ascii="Garamond" w:hAnsi="Garamond"/>
          <w:sz w:val="24"/>
          <w:szCs w:val="24"/>
        </w:rPr>
        <w:t>O</w:t>
      </w:r>
      <w:r w:rsidR="006E34EA">
        <w:rPr>
          <w:rFonts w:ascii="Garamond" w:hAnsi="Garamond"/>
          <w:sz w:val="24"/>
          <w:szCs w:val="24"/>
        </w:rPr>
        <w:t>R</w:t>
      </w:r>
      <w:r w:rsidR="006E34EA" w:rsidRPr="00AE3F1B">
        <w:rPr>
          <w:rFonts w:ascii="Garamond" w:hAnsi="Garamond"/>
          <w:sz w:val="24"/>
          <w:szCs w:val="24"/>
        </w:rPr>
        <w:t>ed</w:t>
      </w:r>
      <w:proofErr w:type="spellEnd"/>
      <w:r w:rsidR="006E34EA" w:rsidRPr="00AE3F1B">
        <w:rPr>
          <w:rFonts w:ascii="Garamond" w:hAnsi="Garamond"/>
          <w:sz w:val="24"/>
          <w:szCs w:val="24"/>
        </w:rPr>
        <w:t xml:space="preserve"> </w:t>
      </w:r>
      <w:r w:rsidR="00F77545" w:rsidRPr="00AE3F1B">
        <w:rPr>
          <w:rFonts w:ascii="Garamond" w:hAnsi="Garamond"/>
          <w:sz w:val="24"/>
          <w:szCs w:val="24"/>
        </w:rPr>
        <w:t xml:space="preserve">są udostępniane wyłącznie przez OSP podmiotowi świadczącemu usługę interwencyjnej ofertowej redukcji poboru mocy przez odbiorców </w:t>
      </w:r>
      <w:r w:rsidRPr="00AE3F1B">
        <w:rPr>
          <w:rFonts w:ascii="Garamond" w:hAnsi="Garamond"/>
          <w:sz w:val="24"/>
          <w:szCs w:val="24"/>
        </w:rPr>
        <w:br/>
      </w:r>
      <w:r w:rsidR="00F77545" w:rsidRPr="00AE3F1B">
        <w:rPr>
          <w:rFonts w:ascii="Garamond" w:hAnsi="Garamond"/>
          <w:sz w:val="24"/>
          <w:szCs w:val="24"/>
        </w:rPr>
        <w:t>na polecenie OSP.</w:t>
      </w:r>
    </w:p>
    <w:p w14:paraId="6CE6BFFA" w14:textId="77777777" w:rsidR="00F77545" w:rsidRPr="00F93094" w:rsidRDefault="00F06737">
      <w:pPr>
        <w:numPr>
          <w:ilvl w:val="0"/>
          <w:numId w:val="54"/>
        </w:numPr>
        <w:spacing w:after="186" w:line="248" w:lineRule="auto"/>
        <w:ind w:left="567" w:right="-3" w:hanging="567"/>
        <w:jc w:val="left"/>
        <w:rPr>
          <w:rFonts w:asciiTheme="majorHAnsi" w:hAnsiTheme="majorHAnsi"/>
          <w:b/>
          <w:bCs/>
          <w:sz w:val="24"/>
          <w:szCs w:val="24"/>
        </w:rPr>
      </w:pPr>
      <w:r w:rsidRPr="00F93094">
        <w:rPr>
          <w:rFonts w:asciiTheme="majorHAnsi" w:hAnsiTheme="majorHAnsi"/>
          <w:b/>
          <w:bCs/>
          <w:sz w:val="24"/>
          <w:szCs w:val="24"/>
        </w:rPr>
        <w:t>Zasady współpracy operatora ogólnodostępnej stacji ładowania z OSD</w:t>
      </w:r>
    </w:p>
    <w:p w14:paraId="6B5FBCA6" w14:textId="598B6BAF" w:rsidR="00F77545" w:rsidRPr="00AE3F1B" w:rsidRDefault="000227D0" w:rsidP="00BE269F">
      <w:pPr>
        <w:spacing w:line="249" w:lineRule="auto"/>
        <w:ind w:left="567" w:right="-3" w:hanging="567"/>
        <w:jc w:val="left"/>
        <w:rPr>
          <w:rFonts w:ascii="Garamond" w:hAnsi="Garamond"/>
          <w:sz w:val="24"/>
          <w:szCs w:val="24"/>
        </w:rPr>
      </w:pPr>
      <w:r w:rsidRPr="00AE3F1B">
        <w:rPr>
          <w:rFonts w:ascii="Garamond" w:hAnsi="Garamond"/>
          <w:sz w:val="24"/>
          <w:szCs w:val="24"/>
        </w:rPr>
        <w:t>J.1.</w:t>
      </w:r>
      <w:r w:rsidR="00BE269F">
        <w:rPr>
          <w:rFonts w:ascii="Garamond" w:hAnsi="Garamond"/>
          <w:sz w:val="24"/>
          <w:szCs w:val="24"/>
        </w:rPr>
        <w:tab/>
      </w:r>
      <w:r w:rsidR="00F77545" w:rsidRPr="00AE3F1B">
        <w:rPr>
          <w:rFonts w:ascii="Garamond" w:hAnsi="Garamond"/>
          <w:sz w:val="24"/>
          <w:szCs w:val="24"/>
        </w:rPr>
        <w:t>Podstawą realizacji współpracy operatora ogólnodostępnej stacji ładowania („OOSŁ”) z ID Sp. z o.o. w zakresie przekazywania danych pomiarowych do OSP dla potrzeb rozliczeń na RB, jest zawarcie umowy między OSD oraz OOSŁ.</w:t>
      </w:r>
    </w:p>
    <w:p w14:paraId="52D51C9F" w14:textId="50A259BE" w:rsidR="00F77545" w:rsidRPr="00AE3F1B" w:rsidRDefault="00F77545">
      <w:pPr>
        <w:numPr>
          <w:ilvl w:val="1"/>
          <w:numId w:val="54"/>
        </w:numPr>
        <w:spacing w:line="249" w:lineRule="auto"/>
        <w:ind w:left="567" w:right="-3" w:hanging="567"/>
        <w:jc w:val="left"/>
        <w:rPr>
          <w:rFonts w:ascii="Garamond" w:hAnsi="Garamond"/>
          <w:sz w:val="24"/>
          <w:szCs w:val="24"/>
        </w:rPr>
      </w:pPr>
      <w:r w:rsidRPr="00AE3F1B">
        <w:rPr>
          <w:rFonts w:ascii="Garamond" w:hAnsi="Garamond"/>
          <w:sz w:val="24"/>
          <w:szCs w:val="24"/>
        </w:rPr>
        <w:t xml:space="preserve">W celu umożliwienia realizacji wymiany danych pomiarowych, ogólnodostępna stacja ładowania, musi posiadać układy pomiarowo-rozliczeniowe służące do rozliczeń z OSD, dostosowane do wymagań rozporządzenia Ministra Gospodarki z dnia 4 maja 2007 r. w sprawie szczegółowych warunków funkcjonowania systemu elektroenergetycznego oraz </w:t>
      </w:r>
      <w:r w:rsidR="005B3AD1" w:rsidRPr="005B3AD1">
        <w:rPr>
          <w:rFonts w:ascii="Garamond" w:hAnsi="Garamond"/>
          <w:sz w:val="24"/>
          <w:szCs w:val="24"/>
        </w:rPr>
        <w:t>IRiESD</w:t>
      </w:r>
      <w:r w:rsidRPr="00AE3F1B">
        <w:rPr>
          <w:rFonts w:ascii="Garamond" w:hAnsi="Garamond"/>
          <w:sz w:val="24"/>
          <w:szCs w:val="24"/>
        </w:rPr>
        <w:t>.</w:t>
      </w:r>
    </w:p>
    <w:p w14:paraId="54B7E464" w14:textId="77777777" w:rsidR="00F77545" w:rsidRPr="00AE3F1B" w:rsidRDefault="00F77545">
      <w:pPr>
        <w:numPr>
          <w:ilvl w:val="1"/>
          <w:numId w:val="54"/>
        </w:numPr>
        <w:spacing w:line="249" w:lineRule="auto"/>
        <w:ind w:left="567" w:right="-3" w:hanging="567"/>
        <w:jc w:val="left"/>
        <w:rPr>
          <w:rFonts w:ascii="Garamond" w:hAnsi="Garamond"/>
          <w:sz w:val="24"/>
          <w:szCs w:val="24"/>
        </w:rPr>
      </w:pPr>
      <w:r w:rsidRPr="00AE3F1B">
        <w:rPr>
          <w:rFonts w:ascii="Garamond" w:hAnsi="Garamond"/>
          <w:sz w:val="24"/>
          <w:szCs w:val="24"/>
        </w:rPr>
        <w:t>Warunkiem przekazywania przez OSD danych pomiarowych do OSP jest jednoczesne obowiązywanie następujących umów:</w:t>
      </w:r>
    </w:p>
    <w:p w14:paraId="2DC1A7FF" w14:textId="32914714" w:rsidR="00F77545" w:rsidRPr="00BE269F" w:rsidRDefault="00F77545">
      <w:pPr>
        <w:pStyle w:val="Akapitzlist"/>
        <w:numPr>
          <w:ilvl w:val="0"/>
          <w:numId w:val="195"/>
        </w:numPr>
        <w:spacing w:line="249" w:lineRule="auto"/>
        <w:ind w:right="-3"/>
        <w:jc w:val="left"/>
        <w:rPr>
          <w:rFonts w:ascii="Garamond" w:hAnsi="Garamond"/>
          <w:sz w:val="24"/>
          <w:szCs w:val="24"/>
        </w:rPr>
      </w:pPr>
      <w:r w:rsidRPr="00BE269F">
        <w:rPr>
          <w:rFonts w:ascii="Garamond" w:hAnsi="Garamond"/>
          <w:sz w:val="24"/>
          <w:szCs w:val="24"/>
        </w:rPr>
        <w:t>świadczenie usług przesyłania energii elektrycznej zawartej pomiędzy OSDp a OSP,</w:t>
      </w:r>
    </w:p>
    <w:p w14:paraId="7956A90A" w14:textId="6EB4E7D5" w:rsidR="00F77545" w:rsidRPr="00BE269F" w:rsidRDefault="00F77545">
      <w:pPr>
        <w:pStyle w:val="Akapitzlist"/>
        <w:numPr>
          <w:ilvl w:val="0"/>
          <w:numId w:val="195"/>
        </w:numPr>
        <w:spacing w:line="249" w:lineRule="auto"/>
        <w:ind w:right="-3"/>
        <w:jc w:val="left"/>
        <w:rPr>
          <w:rFonts w:ascii="Garamond" w:hAnsi="Garamond"/>
          <w:sz w:val="24"/>
          <w:szCs w:val="24"/>
        </w:rPr>
      </w:pPr>
      <w:r w:rsidRPr="00BE269F">
        <w:rPr>
          <w:rFonts w:ascii="Garamond" w:hAnsi="Garamond"/>
          <w:sz w:val="24"/>
          <w:szCs w:val="24"/>
        </w:rPr>
        <w:t>świadczenie usług dystrybucji energii elektrycznej zawartej pomiędzy OSD a OOSŁ,</w:t>
      </w:r>
    </w:p>
    <w:p w14:paraId="0C9FE8CF" w14:textId="77777777" w:rsidR="00F77545" w:rsidRPr="00BE269F" w:rsidRDefault="00F77545">
      <w:pPr>
        <w:pStyle w:val="Akapitzlist"/>
        <w:numPr>
          <w:ilvl w:val="0"/>
          <w:numId w:val="195"/>
        </w:numPr>
        <w:spacing w:line="249" w:lineRule="auto"/>
        <w:ind w:right="-3"/>
        <w:jc w:val="left"/>
        <w:rPr>
          <w:rFonts w:ascii="Garamond" w:hAnsi="Garamond"/>
          <w:sz w:val="24"/>
          <w:szCs w:val="24"/>
        </w:rPr>
      </w:pPr>
      <w:r w:rsidRPr="00BE269F">
        <w:rPr>
          <w:rFonts w:ascii="Garamond" w:hAnsi="Garamond"/>
          <w:sz w:val="24"/>
          <w:szCs w:val="24"/>
        </w:rPr>
        <w:t>sprzedaży energii elektrycznej zawartej pomiędzy sprzedawcą, z listy sprzedawców, o której mowa w pkt A.2.5. i A.2.6.,</w:t>
      </w:r>
    </w:p>
    <w:p w14:paraId="6DB3108F" w14:textId="77777777" w:rsidR="00F77545" w:rsidRPr="00BE269F" w:rsidRDefault="00F77545">
      <w:pPr>
        <w:pStyle w:val="Akapitzlist"/>
        <w:numPr>
          <w:ilvl w:val="0"/>
          <w:numId w:val="195"/>
        </w:numPr>
        <w:spacing w:line="249" w:lineRule="auto"/>
        <w:ind w:right="-3"/>
        <w:jc w:val="left"/>
        <w:rPr>
          <w:rFonts w:ascii="Garamond" w:hAnsi="Garamond"/>
          <w:sz w:val="24"/>
          <w:szCs w:val="24"/>
        </w:rPr>
      </w:pPr>
      <w:r w:rsidRPr="00BE269F">
        <w:rPr>
          <w:rFonts w:ascii="Garamond" w:hAnsi="Garamond"/>
          <w:sz w:val="24"/>
          <w:szCs w:val="24"/>
        </w:rPr>
        <w:t>sprzedaży energii elektrycznej zawartej pomiędzy dostawcami usług ładowania („DUŁ”) prowadzącymi działalność na ogólnodostępnej stacji ładowania OOSŁ, a sprzedawcą, z listy sprzedawców o której mowa w pkt A.5.4.,</w:t>
      </w:r>
    </w:p>
    <w:p w14:paraId="098F231B" w14:textId="4AD1D89B" w:rsidR="00F77545" w:rsidRPr="00BE269F" w:rsidRDefault="00F77545">
      <w:pPr>
        <w:pStyle w:val="Akapitzlist"/>
        <w:numPr>
          <w:ilvl w:val="0"/>
          <w:numId w:val="195"/>
        </w:numPr>
        <w:spacing w:line="249" w:lineRule="auto"/>
        <w:ind w:right="-3"/>
        <w:jc w:val="left"/>
        <w:rPr>
          <w:rFonts w:ascii="Garamond" w:hAnsi="Garamond"/>
          <w:sz w:val="24"/>
          <w:szCs w:val="24"/>
        </w:rPr>
      </w:pPr>
      <w:r w:rsidRPr="00BE269F">
        <w:rPr>
          <w:rFonts w:ascii="Garamond" w:hAnsi="Garamond"/>
          <w:sz w:val="24"/>
          <w:szCs w:val="24"/>
        </w:rPr>
        <w:t>świadczenie usług dystrybucji energii elektrycznej zawartej pomiędzy OSD a POB, którego MB są wykorzystywane w bilansowaniu handlowym sprzedawców, o których mowa w lit. c) i d).</w:t>
      </w:r>
    </w:p>
    <w:p w14:paraId="53427EAD" w14:textId="05B5AA77" w:rsidR="00F77545" w:rsidRPr="00AE3F1B" w:rsidRDefault="00F77545">
      <w:pPr>
        <w:numPr>
          <w:ilvl w:val="1"/>
          <w:numId w:val="54"/>
        </w:numPr>
        <w:spacing w:line="259" w:lineRule="auto"/>
        <w:ind w:left="567" w:right="-3" w:hanging="567"/>
        <w:jc w:val="left"/>
        <w:rPr>
          <w:rFonts w:ascii="Garamond" w:hAnsi="Garamond"/>
          <w:sz w:val="24"/>
          <w:szCs w:val="24"/>
        </w:rPr>
      </w:pPr>
      <w:r w:rsidRPr="00AE3F1B">
        <w:rPr>
          <w:rFonts w:ascii="Garamond" w:hAnsi="Garamond"/>
          <w:sz w:val="24"/>
          <w:szCs w:val="24"/>
        </w:rPr>
        <w:t>W celu umożliwienia OSD przekazywania danych pomiarowych do OSP, OOSŁ jest</w:t>
      </w:r>
      <w:r w:rsidR="00BE269F">
        <w:rPr>
          <w:rFonts w:ascii="Garamond" w:hAnsi="Garamond"/>
          <w:sz w:val="24"/>
          <w:szCs w:val="24"/>
        </w:rPr>
        <w:t xml:space="preserve"> </w:t>
      </w:r>
      <w:r w:rsidRPr="00AE3F1B">
        <w:rPr>
          <w:rFonts w:ascii="Garamond" w:hAnsi="Garamond"/>
          <w:sz w:val="24"/>
          <w:szCs w:val="24"/>
        </w:rPr>
        <w:t>zobowiązany w szczególności do:</w:t>
      </w:r>
    </w:p>
    <w:p w14:paraId="390291B5" w14:textId="77777777" w:rsidR="00F77545" w:rsidRPr="00BE269F" w:rsidRDefault="00F77545">
      <w:pPr>
        <w:pStyle w:val="Akapitzlist"/>
        <w:numPr>
          <w:ilvl w:val="0"/>
          <w:numId w:val="196"/>
        </w:numPr>
        <w:spacing w:line="249" w:lineRule="auto"/>
        <w:ind w:right="-3"/>
        <w:jc w:val="left"/>
        <w:rPr>
          <w:rFonts w:ascii="Garamond" w:hAnsi="Garamond"/>
          <w:sz w:val="24"/>
          <w:szCs w:val="24"/>
        </w:rPr>
      </w:pPr>
      <w:r w:rsidRPr="00BE269F">
        <w:rPr>
          <w:rFonts w:ascii="Garamond" w:hAnsi="Garamond"/>
          <w:sz w:val="24"/>
          <w:szCs w:val="24"/>
        </w:rPr>
        <w:t>pozyskiwania odrębnie danych pomiarowych dotyczących punktów ładowania oraz na potrzeby funkcjonowania ogólnodostępnych stacji ładowania,</w:t>
      </w:r>
    </w:p>
    <w:p w14:paraId="329CA4F2" w14:textId="77777777" w:rsidR="00F77545" w:rsidRPr="00BE269F" w:rsidRDefault="00F77545">
      <w:pPr>
        <w:pStyle w:val="Akapitzlist"/>
        <w:numPr>
          <w:ilvl w:val="0"/>
          <w:numId w:val="196"/>
        </w:numPr>
        <w:spacing w:line="249" w:lineRule="auto"/>
        <w:ind w:right="-3"/>
        <w:jc w:val="left"/>
        <w:rPr>
          <w:rFonts w:ascii="Garamond" w:hAnsi="Garamond"/>
          <w:sz w:val="24"/>
          <w:szCs w:val="24"/>
        </w:rPr>
      </w:pPr>
      <w:r w:rsidRPr="00BE269F">
        <w:rPr>
          <w:rFonts w:ascii="Garamond" w:hAnsi="Garamond"/>
          <w:sz w:val="24"/>
          <w:szCs w:val="24"/>
        </w:rPr>
        <w:t>dostarczania do OSD danych pomiarowych, o których mowa w lit. a), dotyczących ilości zużytej energii elektrycznej na świadczenie usług ładowania oraz na potrzeby funkcjonowania ogólnodostępnych stacji ładowania, dla każdej godziny doby handlowej, w podziale na sprzedawców dla każdej ogólnodostępnej stacji ładowania,</w:t>
      </w:r>
    </w:p>
    <w:p w14:paraId="3E70A9BC" w14:textId="77777777" w:rsidR="00F77545" w:rsidRPr="00BE269F" w:rsidRDefault="00F77545">
      <w:pPr>
        <w:pStyle w:val="Akapitzlist"/>
        <w:numPr>
          <w:ilvl w:val="0"/>
          <w:numId w:val="196"/>
        </w:numPr>
        <w:spacing w:line="249" w:lineRule="auto"/>
        <w:ind w:right="-3"/>
        <w:jc w:val="left"/>
        <w:rPr>
          <w:rFonts w:ascii="Garamond" w:hAnsi="Garamond"/>
          <w:sz w:val="24"/>
          <w:szCs w:val="24"/>
        </w:rPr>
      </w:pPr>
      <w:r w:rsidRPr="00BE269F">
        <w:rPr>
          <w:rFonts w:ascii="Garamond" w:hAnsi="Garamond"/>
          <w:sz w:val="24"/>
          <w:szCs w:val="24"/>
        </w:rPr>
        <w:t>przekazywania do OSD skorygowanych danych pomiarowych, o których mowa w lit. b), w celu ich przesłania do OSP w trybach korekty obowiązujących na RB zgodnie z WDB,</w:t>
      </w:r>
    </w:p>
    <w:p w14:paraId="032C78A1" w14:textId="77777777" w:rsidR="00F77545" w:rsidRPr="00BE269F" w:rsidRDefault="00F77545">
      <w:pPr>
        <w:pStyle w:val="Akapitzlist"/>
        <w:numPr>
          <w:ilvl w:val="0"/>
          <w:numId w:val="196"/>
        </w:numPr>
        <w:spacing w:line="249" w:lineRule="auto"/>
        <w:ind w:right="-3"/>
        <w:jc w:val="left"/>
        <w:rPr>
          <w:rFonts w:ascii="Garamond" w:hAnsi="Garamond"/>
          <w:sz w:val="24"/>
          <w:szCs w:val="24"/>
        </w:rPr>
      </w:pPr>
      <w:r w:rsidRPr="00BE269F">
        <w:rPr>
          <w:rFonts w:ascii="Garamond" w:hAnsi="Garamond"/>
          <w:sz w:val="24"/>
          <w:szCs w:val="24"/>
        </w:rPr>
        <w:t>niezwłocznego informowania OSD o okolicznościach mających wpływ na prawidłowość przekazywanych danych pomiarowych.</w:t>
      </w:r>
    </w:p>
    <w:p w14:paraId="5C1C581B" w14:textId="45FE4581" w:rsidR="00F77545" w:rsidRPr="00AE3F1B" w:rsidRDefault="00F77545">
      <w:pPr>
        <w:numPr>
          <w:ilvl w:val="1"/>
          <w:numId w:val="54"/>
        </w:numPr>
        <w:spacing w:line="249" w:lineRule="auto"/>
        <w:ind w:left="567" w:right="-3" w:hanging="567"/>
        <w:jc w:val="left"/>
        <w:rPr>
          <w:rFonts w:ascii="Garamond" w:hAnsi="Garamond"/>
          <w:sz w:val="24"/>
          <w:szCs w:val="24"/>
        </w:rPr>
      </w:pPr>
      <w:r w:rsidRPr="00AE3F1B">
        <w:rPr>
          <w:rFonts w:ascii="Garamond" w:hAnsi="Garamond"/>
          <w:sz w:val="24"/>
          <w:szCs w:val="24"/>
        </w:rPr>
        <w:t>Przekazywanie danych pomiarowych przez OSD do OSP obejmuje przekazywanie</w:t>
      </w:r>
      <w:r w:rsidR="00BE269F">
        <w:rPr>
          <w:rFonts w:ascii="Garamond" w:hAnsi="Garamond"/>
          <w:sz w:val="24"/>
          <w:szCs w:val="24"/>
        </w:rPr>
        <w:t xml:space="preserve"> </w:t>
      </w:r>
      <w:r w:rsidRPr="00AE3F1B">
        <w:rPr>
          <w:rFonts w:ascii="Garamond" w:hAnsi="Garamond"/>
          <w:sz w:val="24"/>
          <w:szCs w:val="24"/>
        </w:rPr>
        <w:t>zagregowanych danych pomiarowych, o których mowa w pkt J.4., w podziale na MB będące w posiadaniu POB ustanowionego przez sprzedawcę wybranego przez OOSŁ lub DUŁ.</w:t>
      </w:r>
      <w:r w:rsidR="00BE269F">
        <w:rPr>
          <w:rFonts w:ascii="Garamond" w:hAnsi="Garamond"/>
          <w:sz w:val="24"/>
          <w:szCs w:val="24"/>
        </w:rPr>
        <w:t xml:space="preserve"> </w:t>
      </w:r>
      <w:r w:rsidRPr="00AE3F1B">
        <w:rPr>
          <w:rFonts w:ascii="Garamond" w:hAnsi="Garamond"/>
          <w:sz w:val="24"/>
          <w:szCs w:val="24"/>
        </w:rPr>
        <w:t>Ustanowienie POB przez ww. sprzedawcę następuje w umowie GUD zawartej pomiędzy OSD a tym sprzedawcą.</w:t>
      </w:r>
    </w:p>
    <w:p w14:paraId="466CF6AD" w14:textId="7F59B0DA" w:rsidR="00F77545" w:rsidRPr="00AE3F1B" w:rsidRDefault="00F77545">
      <w:pPr>
        <w:numPr>
          <w:ilvl w:val="1"/>
          <w:numId w:val="54"/>
        </w:numPr>
        <w:spacing w:line="249" w:lineRule="auto"/>
        <w:ind w:left="567" w:right="-3" w:hanging="567"/>
        <w:jc w:val="left"/>
        <w:rPr>
          <w:rFonts w:ascii="Garamond" w:hAnsi="Garamond"/>
          <w:sz w:val="24"/>
          <w:szCs w:val="24"/>
        </w:rPr>
      </w:pPr>
      <w:r w:rsidRPr="00AE3F1B">
        <w:rPr>
          <w:rFonts w:ascii="Garamond" w:hAnsi="Garamond"/>
          <w:sz w:val="24"/>
          <w:szCs w:val="24"/>
        </w:rPr>
        <w:lastRenderedPageBreak/>
        <w:t>Wyznaczanie i przekazywanie przez OOSŁ danych pomiarowych do OSD oraz udostępnianie danych pomiarowych do OSP, odbywa się zgodnie z zasadami opisanymi w niniejszej</w:t>
      </w:r>
      <w:r w:rsidR="00BA6D98">
        <w:rPr>
          <w:rFonts w:ascii="Garamond" w:hAnsi="Garamond"/>
          <w:sz w:val="24"/>
          <w:szCs w:val="24"/>
        </w:rPr>
        <w:t xml:space="preserve"> </w:t>
      </w:r>
      <w:r w:rsidR="00BA6D98" w:rsidRPr="00BA6D98">
        <w:rPr>
          <w:rFonts w:ascii="Garamond" w:hAnsi="Garamond"/>
          <w:sz w:val="24"/>
          <w:szCs w:val="24"/>
        </w:rPr>
        <w:t>IRiESD</w:t>
      </w:r>
      <w:r w:rsidR="000227D0" w:rsidRPr="00AE3F1B">
        <w:rPr>
          <w:rFonts w:ascii="Garamond" w:hAnsi="Garamond"/>
          <w:sz w:val="24"/>
          <w:szCs w:val="24"/>
        </w:rPr>
        <w:br/>
      </w:r>
      <w:r w:rsidRPr="00AE3F1B">
        <w:rPr>
          <w:rFonts w:ascii="Garamond" w:hAnsi="Garamond"/>
          <w:sz w:val="24"/>
          <w:szCs w:val="24"/>
        </w:rPr>
        <w:t xml:space="preserve">oraz umowie, o której mowa w pkt </w:t>
      </w:r>
      <w:r w:rsidR="000227D0" w:rsidRPr="00AE3F1B">
        <w:rPr>
          <w:rFonts w:ascii="Garamond" w:hAnsi="Garamond"/>
          <w:sz w:val="24"/>
          <w:szCs w:val="24"/>
        </w:rPr>
        <w:t>J.1</w:t>
      </w:r>
      <w:r w:rsidRPr="00AE3F1B">
        <w:rPr>
          <w:rFonts w:ascii="Garamond" w:hAnsi="Garamond"/>
          <w:sz w:val="24"/>
          <w:szCs w:val="24"/>
        </w:rPr>
        <w:t>.</w:t>
      </w:r>
    </w:p>
    <w:p w14:paraId="5D4026C9" w14:textId="440C256C" w:rsidR="00F77545" w:rsidRPr="00AE3F1B" w:rsidRDefault="00F77545">
      <w:pPr>
        <w:numPr>
          <w:ilvl w:val="1"/>
          <w:numId w:val="54"/>
        </w:numPr>
        <w:ind w:left="567" w:right="-3" w:hanging="567"/>
        <w:jc w:val="left"/>
        <w:rPr>
          <w:rFonts w:ascii="Garamond" w:hAnsi="Garamond"/>
          <w:sz w:val="24"/>
          <w:szCs w:val="24"/>
        </w:rPr>
      </w:pPr>
      <w:r w:rsidRPr="00AE3F1B">
        <w:rPr>
          <w:rFonts w:ascii="Garamond" w:hAnsi="Garamond"/>
          <w:sz w:val="24"/>
          <w:szCs w:val="24"/>
        </w:rPr>
        <w:t xml:space="preserve">Zawieszenie lub zaprzestanie, niezależnie od przyczyny, działalności na RB przez POB wskazanego przez sprzedawcę wybranego przez DUŁ lub zaprzestanie niezależnie od przyczyn bilansowania handlowego sprzedawcy przez tego POB, będzie skutkować zaprzestaniem przekazywania przez OSD danych pomiarowych na MB tego POE. Tym samym dane pomiarowe tych sprzedawców będą uwzględniane w zużyciu energii elektrycznej OOSŁ, chyba że zostanie wskazany inny POB w terminie umożliwiającym zmianę konfiguracji obiektów tego POB (zgodnie z zasadami opisanymi w niniejszej </w:t>
      </w:r>
      <w:r w:rsidR="005B3AD1" w:rsidRPr="005B3AD1">
        <w:rPr>
          <w:rFonts w:ascii="Garamond" w:hAnsi="Garamond"/>
          <w:sz w:val="24"/>
          <w:szCs w:val="24"/>
        </w:rPr>
        <w:t>IRiESD</w:t>
      </w:r>
      <w:r w:rsidRPr="00AE3F1B">
        <w:rPr>
          <w:rFonts w:ascii="Garamond" w:hAnsi="Garamond"/>
          <w:sz w:val="24"/>
          <w:szCs w:val="24"/>
        </w:rPr>
        <w:t>).</w:t>
      </w:r>
    </w:p>
    <w:p w14:paraId="011CC1FE" w14:textId="77777777" w:rsidR="00F77545" w:rsidRPr="00AE3F1B" w:rsidRDefault="00F77545">
      <w:pPr>
        <w:numPr>
          <w:ilvl w:val="1"/>
          <w:numId w:val="54"/>
        </w:numPr>
        <w:spacing w:line="249" w:lineRule="auto"/>
        <w:ind w:left="567" w:right="-3" w:hanging="567"/>
        <w:jc w:val="left"/>
        <w:rPr>
          <w:rFonts w:ascii="Garamond" w:hAnsi="Garamond"/>
          <w:sz w:val="24"/>
          <w:szCs w:val="24"/>
        </w:rPr>
      </w:pPr>
      <w:r w:rsidRPr="00AE3F1B">
        <w:rPr>
          <w:rFonts w:ascii="Garamond" w:hAnsi="Garamond"/>
          <w:sz w:val="24"/>
          <w:szCs w:val="24"/>
        </w:rPr>
        <w:t>Zaprzestanie sprzedaży energii elektrycznej przez sprzedawcę wskazanego przez DUŁ, będzie skutkować zaprzestaniem przekazywania przez OSD danych pomiarowych na MB POB wybranego przez tego sprzedawcę, a tym samym ww. dane pomiarowe będą powiększać zużycie energii elektrycznej OOSŁ.</w:t>
      </w:r>
    </w:p>
    <w:p w14:paraId="474AE000" w14:textId="2EE28B70" w:rsidR="00F77545" w:rsidRPr="00AE3F1B" w:rsidRDefault="00F77545">
      <w:pPr>
        <w:numPr>
          <w:ilvl w:val="1"/>
          <w:numId w:val="54"/>
        </w:numPr>
        <w:spacing w:line="249" w:lineRule="auto"/>
        <w:ind w:left="567" w:right="-3" w:hanging="567"/>
        <w:jc w:val="left"/>
        <w:rPr>
          <w:rFonts w:ascii="Garamond" w:hAnsi="Garamond"/>
          <w:sz w:val="24"/>
          <w:szCs w:val="24"/>
        </w:rPr>
      </w:pPr>
      <w:r w:rsidRPr="00AE3F1B">
        <w:rPr>
          <w:rFonts w:ascii="Garamond" w:hAnsi="Garamond"/>
          <w:sz w:val="24"/>
          <w:szCs w:val="24"/>
        </w:rPr>
        <w:t xml:space="preserve">Ilości energii elektrycznej dostarczonej siecią dystrybucyjną OSD do OOSŁ, stanowiące podstawę do rozliczania usług dystrybucyjnych, wyznacza się zgodnie z </w:t>
      </w:r>
      <w:r w:rsidR="00BA6D98" w:rsidRPr="00BA6D98">
        <w:rPr>
          <w:rFonts w:ascii="Garamond" w:hAnsi="Garamond"/>
          <w:sz w:val="24"/>
          <w:szCs w:val="24"/>
        </w:rPr>
        <w:t>IRiESD</w:t>
      </w:r>
      <w:r w:rsidRPr="00AE3F1B">
        <w:rPr>
          <w:rFonts w:ascii="Garamond" w:hAnsi="Garamond"/>
          <w:sz w:val="24"/>
          <w:szCs w:val="24"/>
        </w:rPr>
        <w:t>, Taryfą oraz umową dystrybucji zawartą pomiędzy OSD a OOSŁ.</w:t>
      </w:r>
    </w:p>
    <w:p w14:paraId="1E8038B8" w14:textId="51FE2D0D" w:rsidR="00F77545" w:rsidRPr="00AE3F1B" w:rsidRDefault="00F77545" w:rsidP="00BE269F">
      <w:pPr>
        <w:spacing w:line="249" w:lineRule="auto"/>
        <w:ind w:left="567" w:right="-3" w:hanging="567"/>
        <w:jc w:val="left"/>
        <w:rPr>
          <w:rFonts w:ascii="Garamond" w:hAnsi="Garamond"/>
          <w:sz w:val="24"/>
          <w:szCs w:val="24"/>
        </w:rPr>
      </w:pPr>
      <w:r w:rsidRPr="00AE3F1B">
        <w:rPr>
          <w:rFonts w:ascii="Garamond" w:hAnsi="Garamond"/>
          <w:sz w:val="24"/>
          <w:szCs w:val="24"/>
        </w:rPr>
        <w:t>J.</w:t>
      </w:r>
      <w:r w:rsidR="000227D0" w:rsidRPr="00AE3F1B">
        <w:rPr>
          <w:rFonts w:ascii="Garamond" w:hAnsi="Garamond"/>
          <w:sz w:val="24"/>
          <w:szCs w:val="24"/>
        </w:rPr>
        <w:t>10</w:t>
      </w:r>
      <w:r w:rsidRPr="00AE3F1B">
        <w:rPr>
          <w:rFonts w:ascii="Garamond" w:hAnsi="Garamond"/>
          <w:sz w:val="24"/>
          <w:szCs w:val="24"/>
        </w:rPr>
        <w:t xml:space="preserve">. </w:t>
      </w:r>
      <w:r w:rsidR="00BE269F">
        <w:rPr>
          <w:rFonts w:ascii="Garamond" w:hAnsi="Garamond"/>
          <w:sz w:val="24"/>
          <w:szCs w:val="24"/>
        </w:rPr>
        <w:tab/>
      </w:r>
      <w:r w:rsidRPr="00AE3F1B">
        <w:rPr>
          <w:rFonts w:ascii="Garamond" w:hAnsi="Garamond"/>
          <w:sz w:val="24"/>
          <w:szCs w:val="24"/>
        </w:rPr>
        <w:t>Ilości energii elektrycznej zużytej przez OOSŁ, na potrzeby funkcjonowania ogólnodostępnej stacji ładowania, stanowiące podstawę do rozliczeń sprzedaży energii elektrycznej pomiędzy sprzedawcą a OOSŁ, wyznacza OOSŁ z uwzględnieniem ilości energii elektrycznej przekazanej OSD przez OOSŁ, która została przypisana do sprzedawców wskazanych przez DUŁ. Suma ilości energii wyznaczonej dla każdej godziny na potrzeby funkcjonowania ogólnodostępnej stacji ładowania oraz ilości energii przypisanej do sprzedawców wskazanych przez DUŁ powinna być zgodna z ilością energii elektrycznej o której mowa w</w:t>
      </w:r>
      <w:r w:rsidR="00257369">
        <w:rPr>
          <w:rFonts w:ascii="Garamond" w:hAnsi="Garamond"/>
          <w:sz w:val="24"/>
          <w:szCs w:val="24"/>
        </w:rPr>
        <w:t xml:space="preserve"> </w:t>
      </w:r>
      <w:r w:rsidRPr="00AE3F1B">
        <w:rPr>
          <w:rFonts w:ascii="Garamond" w:hAnsi="Garamond"/>
          <w:sz w:val="24"/>
          <w:szCs w:val="24"/>
        </w:rPr>
        <w:t>pkt J.9.</w:t>
      </w:r>
    </w:p>
    <w:p w14:paraId="380CAC2F" w14:textId="7CC589E5" w:rsidR="00A938A5" w:rsidRPr="00AE3F1B" w:rsidRDefault="00F77545" w:rsidP="00BE269F">
      <w:pPr>
        <w:spacing w:line="249" w:lineRule="auto"/>
        <w:ind w:left="567" w:right="-3" w:hanging="567"/>
        <w:jc w:val="left"/>
        <w:rPr>
          <w:rFonts w:ascii="Garamond" w:hAnsi="Garamond"/>
          <w:sz w:val="24"/>
          <w:szCs w:val="24"/>
        </w:rPr>
      </w:pPr>
      <w:r w:rsidRPr="00AE3F1B">
        <w:rPr>
          <w:rFonts w:ascii="Garamond" w:hAnsi="Garamond"/>
          <w:sz w:val="24"/>
          <w:szCs w:val="24"/>
        </w:rPr>
        <w:t>J.</w:t>
      </w:r>
      <w:r w:rsidR="000227D0" w:rsidRPr="00AE3F1B">
        <w:rPr>
          <w:rFonts w:ascii="Garamond" w:hAnsi="Garamond"/>
          <w:sz w:val="24"/>
          <w:szCs w:val="24"/>
        </w:rPr>
        <w:t>11</w:t>
      </w:r>
      <w:r w:rsidRPr="00AE3F1B">
        <w:rPr>
          <w:rFonts w:ascii="Garamond" w:hAnsi="Garamond"/>
          <w:sz w:val="24"/>
          <w:szCs w:val="24"/>
        </w:rPr>
        <w:t xml:space="preserve">. </w:t>
      </w:r>
      <w:r w:rsidR="00BE269F">
        <w:rPr>
          <w:rFonts w:ascii="Garamond" w:hAnsi="Garamond"/>
          <w:sz w:val="24"/>
          <w:szCs w:val="24"/>
        </w:rPr>
        <w:tab/>
      </w:r>
      <w:r w:rsidRPr="00AE3F1B">
        <w:rPr>
          <w:rFonts w:ascii="Garamond" w:hAnsi="Garamond"/>
          <w:sz w:val="24"/>
          <w:szCs w:val="24"/>
        </w:rPr>
        <w:t>OOSŁ informuje OSD o wybranym, przez DUŁ sprzedawcy energii elektrycznej z listy, o której mowa w pkt J.8. oraz o zmianie tego sprzedawcy, w terminie 7 dni od dnia otrzymania tej informacji. Powyższa informacja jest zgłaszana do OSD w formie elektronicznej na wskazany przez OSD adres poczty elektronicznej lub poprzez dedykowany system informatyczny OSD.</w:t>
      </w:r>
    </w:p>
    <w:p w14:paraId="59364989" w14:textId="77777777" w:rsidR="00A938A5" w:rsidRDefault="00A938A5" w:rsidP="00175586">
      <w:pPr>
        <w:spacing w:after="42" w:line="249" w:lineRule="auto"/>
        <w:ind w:left="567" w:right="-3" w:hanging="567"/>
        <w:jc w:val="left"/>
        <w:rPr>
          <w:rFonts w:ascii="Garamond" w:hAnsi="Garamond"/>
          <w:sz w:val="24"/>
          <w:szCs w:val="24"/>
        </w:rPr>
      </w:pPr>
    </w:p>
    <w:p w14:paraId="2332A647" w14:textId="77777777" w:rsidR="00BE269F" w:rsidRDefault="00BE269F" w:rsidP="00175586">
      <w:pPr>
        <w:spacing w:after="42" w:line="249" w:lineRule="auto"/>
        <w:ind w:left="567" w:right="-3" w:hanging="567"/>
        <w:jc w:val="left"/>
        <w:rPr>
          <w:rFonts w:ascii="Garamond" w:hAnsi="Garamond"/>
          <w:sz w:val="24"/>
          <w:szCs w:val="24"/>
        </w:rPr>
      </w:pPr>
    </w:p>
    <w:p w14:paraId="4C97252D" w14:textId="77777777" w:rsidR="00BE269F" w:rsidRDefault="00BE269F" w:rsidP="00175586">
      <w:pPr>
        <w:spacing w:after="42" w:line="249" w:lineRule="auto"/>
        <w:ind w:left="567" w:right="-3" w:hanging="567"/>
        <w:jc w:val="left"/>
        <w:rPr>
          <w:rFonts w:ascii="Garamond" w:hAnsi="Garamond"/>
          <w:sz w:val="24"/>
          <w:szCs w:val="24"/>
        </w:rPr>
      </w:pPr>
    </w:p>
    <w:p w14:paraId="2D382E30" w14:textId="77777777" w:rsidR="00BE269F" w:rsidRDefault="00BE269F" w:rsidP="00175586">
      <w:pPr>
        <w:spacing w:after="42" w:line="249" w:lineRule="auto"/>
        <w:ind w:left="567" w:right="-3" w:hanging="567"/>
        <w:jc w:val="left"/>
        <w:rPr>
          <w:rFonts w:ascii="Garamond" w:hAnsi="Garamond"/>
          <w:sz w:val="24"/>
          <w:szCs w:val="24"/>
        </w:rPr>
      </w:pPr>
    </w:p>
    <w:p w14:paraId="384A3002" w14:textId="77777777" w:rsidR="00BE269F" w:rsidRDefault="00BE269F" w:rsidP="00175586">
      <w:pPr>
        <w:spacing w:after="42" w:line="249" w:lineRule="auto"/>
        <w:ind w:left="567" w:right="-3" w:hanging="567"/>
        <w:jc w:val="left"/>
        <w:rPr>
          <w:rFonts w:ascii="Garamond" w:hAnsi="Garamond"/>
          <w:sz w:val="24"/>
          <w:szCs w:val="24"/>
        </w:rPr>
      </w:pPr>
    </w:p>
    <w:p w14:paraId="29EF6DD7" w14:textId="77777777" w:rsidR="00BE269F" w:rsidRDefault="00BE269F" w:rsidP="00175586">
      <w:pPr>
        <w:spacing w:after="42" w:line="249" w:lineRule="auto"/>
        <w:ind w:left="567" w:right="-3" w:hanging="567"/>
        <w:jc w:val="left"/>
        <w:rPr>
          <w:rFonts w:ascii="Garamond" w:hAnsi="Garamond"/>
          <w:sz w:val="24"/>
          <w:szCs w:val="24"/>
        </w:rPr>
      </w:pPr>
    </w:p>
    <w:p w14:paraId="2DE7FEF5" w14:textId="77777777" w:rsidR="00BE269F" w:rsidRDefault="00BE269F" w:rsidP="00175586">
      <w:pPr>
        <w:spacing w:after="42" w:line="249" w:lineRule="auto"/>
        <w:ind w:left="567" w:right="-3" w:hanging="567"/>
        <w:jc w:val="left"/>
        <w:rPr>
          <w:rFonts w:ascii="Garamond" w:hAnsi="Garamond"/>
          <w:sz w:val="24"/>
          <w:szCs w:val="24"/>
        </w:rPr>
      </w:pPr>
    </w:p>
    <w:p w14:paraId="2BDEC6C5" w14:textId="77777777" w:rsidR="00BE269F" w:rsidRDefault="00BE269F" w:rsidP="00175586">
      <w:pPr>
        <w:spacing w:after="42" w:line="249" w:lineRule="auto"/>
        <w:ind w:left="567" w:right="-3" w:hanging="567"/>
        <w:jc w:val="left"/>
        <w:rPr>
          <w:rFonts w:ascii="Garamond" w:hAnsi="Garamond"/>
          <w:sz w:val="24"/>
          <w:szCs w:val="24"/>
        </w:rPr>
      </w:pPr>
    </w:p>
    <w:p w14:paraId="66EC0960" w14:textId="77777777" w:rsidR="00BE269F" w:rsidRDefault="00BE269F" w:rsidP="00175586">
      <w:pPr>
        <w:spacing w:after="42" w:line="249" w:lineRule="auto"/>
        <w:ind w:left="567" w:right="-3" w:hanging="567"/>
        <w:jc w:val="left"/>
        <w:rPr>
          <w:rFonts w:ascii="Garamond" w:hAnsi="Garamond"/>
          <w:sz w:val="24"/>
          <w:szCs w:val="24"/>
        </w:rPr>
      </w:pPr>
    </w:p>
    <w:p w14:paraId="4A3A60A4" w14:textId="77777777" w:rsidR="00BE269F" w:rsidRDefault="00BE269F" w:rsidP="00175586">
      <w:pPr>
        <w:spacing w:after="42" w:line="249" w:lineRule="auto"/>
        <w:ind w:left="567" w:right="-3" w:hanging="567"/>
        <w:jc w:val="left"/>
        <w:rPr>
          <w:rFonts w:ascii="Garamond" w:hAnsi="Garamond"/>
          <w:sz w:val="24"/>
          <w:szCs w:val="24"/>
        </w:rPr>
      </w:pPr>
    </w:p>
    <w:p w14:paraId="0667F5BF" w14:textId="77777777" w:rsidR="00BE269F" w:rsidRDefault="00BE269F" w:rsidP="00175586">
      <w:pPr>
        <w:spacing w:after="42" w:line="249" w:lineRule="auto"/>
        <w:ind w:left="567" w:right="-3" w:hanging="567"/>
        <w:jc w:val="left"/>
        <w:rPr>
          <w:rFonts w:ascii="Garamond" w:hAnsi="Garamond"/>
          <w:sz w:val="24"/>
          <w:szCs w:val="24"/>
        </w:rPr>
      </w:pPr>
    </w:p>
    <w:p w14:paraId="2CCC033F" w14:textId="77777777" w:rsidR="00BE269F" w:rsidRDefault="00BE269F" w:rsidP="00175586">
      <w:pPr>
        <w:spacing w:after="42" w:line="249" w:lineRule="auto"/>
        <w:ind w:left="567" w:right="-3" w:hanging="567"/>
        <w:jc w:val="left"/>
        <w:rPr>
          <w:rFonts w:ascii="Garamond" w:hAnsi="Garamond"/>
          <w:sz w:val="24"/>
          <w:szCs w:val="24"/>
        </w:rPr>
      </w:pPr>
    </w:p>
    <w:p w14:paraId="43FFC3A7" w14:textId="77777777" w:rsidR="00BE269F" w:rsidRDefault="00BE269F" w:rsidP="00175586">
      <w:pPr>
        <w:spacing w:after="42" w:line="249" w:lineRule="auto"/>
        <w:ind w:left="567" w:right="-3" w:hanging="567"/>
        <w:jc w:val="left"/>
        <w:rPr>
          <w:rFonts w:ascii="Garamond" w:hAnsi="Garamond"/>
          <w:sz w:val="24"/>
          <w:szCs w:val="24"/>
        </w:rPr>
      </w:pPr>
    </w:p>
    <w:p w14:paraId="4CF2107D" w14:textId="77777777" w:rsidR="00BE269F" w:rsidRDefault="00BE269F" w:rsidP="00175586">
      <w:pPr>
        <w:spacing w:after="42" w:line="249" w:lineRule="auto"/>
        <w:ind w:left="567" w:right="-3" w:hanging="567"/>
        <w:jc w:val="left"/>
        <w:rPr>
          <w:rFonts w:ascii="Garamond" w:hAnsi="Garamond"/>
          <w:sz w:val="24"/>
          <w:szCs w:val="24"/>
        </w:rPr>
      </w:pPr>
    </w:p>
    <w:p w14:paraId="38AE15D7" w14:textId="77777777" w:rsidR="00BE269F" w:rsidRDefault="00BE269F" w:rsidP="00175586">
      <w:pPr>
        <w:spacing w:after="42" w:line="249" w:lineRule="auto"/>
        <w:ind w:left="567" w:right="-3" w:hanging="567"/>
        <w:jc w:val="left"/>
        <w:rPr>
          <w:rFonts w:ascii="Garamond" w:hAnsi="Garamond"/>
          <w:sz w:val="24"/>
          <w:szCs w:val="24"/>
        </w:rPr>
      </w:pPr>
    </w:p>
    <w:p w14:paraId="5C627E4B" w14:textId="77777777" w:rsidR="00BE269F" w:rsidRDefault="00BE269F" w:rsidP="00175586">
      <w:pPr>
        <w:spacing w:after="42" w:line="249" w:lineRule="auto"/>
        <w:ind w:left="567" w:right="-3" w:hanging="567"/>
        <w:jc w:val="left"/>
        <w:rPr>
          <w:rFonts w:ascii="Garamond" w:hAnsi="Garamond"/>
          <w:sz w:val="24"/>
          <w:szCs w:val="24"/>
        </w:rPr>
      </w:pPr>
    </w:p>
    <w:p w14:paraId="4816EC5B" w14:textId="77777777" w:rsidR="00BE269F" w:rsidRDefault="00BE269F" w:rsidP="00175586">
      <w:pPr>
        <w:spacing w:after="42" w:line="249" w:lineRule="auto"/>
        <w:ind w:left="567" w:right="-3" w:hanging="567"/>
        <w:jc w:val="left"/>
        <w:rPr>
          <w:rFonts w:ascii="Garamond" w:hAnsi="Garamond"/>
          <w:sz w:val="24"/>
          <w:szCs w:val="24"/>
        </w:rPr>
      </w:pPr>
    </w:p>
    <w:p w14:paraId="7ACDF41B" w14:textId="77777777" w:rsidR="00BE269F" w:rsidRDefault="00BE269F" w:rsidP="00175586">
      <w:pPr>
        <w:spacing w:after="42" w:line="249" w:lineRule="auto"/>
        <w:ind w:left="567" w:right="-3" w:hanging="567"/>
        <w:jc w:val="left"/>
        <w:rPr>
          <w:rFonts w:ascii="Garamond" w:hAnsi="Garamond"/>
          <w:sz w:val="24"/>
          <w:szCs w:val="24"/>
        </w:rPr>
      </w:pPr>
    </w:p>
    <w:p w14:paraId="7AFC4A8F" w14:textId="77777777" w:rsidR="00BE269F" w:rsidRDefault="00BE269F" w:rsidP="00175586">
      <w:pPr>
        <w:spacing w:after="42" w:line="249" w:lineRule="auto"/>
        <w:ind w:left="567" w:right="-3" w:hanging="567"/>
        <w:jc w:val="left"/>
        <w:rPr>
          <w:rFonts w:ascii="Garamond" w:hAnsi="Garamond"/>
          <w:sz w:val="24"/>
          <w:szCs w:val="24"/>
        </w:rPr>
      </w:pPr>
    </w:p>
    <w:p w14:paraId="1CDFCBA3" w14:textId="77777777" w:rsidR="00BE269F" w:rsidRDefault="00BE269F" w:rsidP="00175586">
      <w:pPr>
        <w:spacing w:after="42" w:line="249" w:lineRule="auto"/>
        <w:ind w:left="567" w:right="-3" w:hanging="567"/>
        <w:jc w:val="left"/>
        <w:rPr>
          <w:rFonts w:ascii="Garamond" w:hAnsi="Garamond"/>
          <w:sz w:val="24"/>
          <w:szCs w:val="24"/>
        </w:rPr>
      </w:pPr>
    </w:p>
    <w:p w14:paraId="566EDEA6" w14:textId="77777777" w:rsidR="00BE269F" w:rsidRDefault="00BE269F" w:rsidP="00175586">
      <w:pPr>
        <w:spacing w:after="42" w:line="249" w:lineRule="auto"/>
        <w:ind w:left="567" w:right="-3" w:hanging="567"/>
        <w:jc w:val="left"/>
        <w:rPr>
          <w:rFonts w:ascii="Garamond" w:hAnsi="Garamond"/>
          <w:sz w:val="24"/>
          <w:szCs w:val="24"/>
        </w:rPr>
      </w:pPr>
    </w:p>
    <w:p w14:paraId="6CFE7E76" w14:textId="77777777" w:rsidR="00BE269F" w:rsidRDefault="00BE269F" w:rsidP="00175586">
      <w:pPr>
        <w:spacing w:after="42" w:line="249" w:lineRule="auto"/>
        <w:ind w:left="567" w:right="-3" w:hanging="567"/>
        <w:jc w:val="left"/>
        <w:rPr>
          <w:rFonts w:ascii="Garamond" w:hAnsi="Garamond"/>
          <w:sz w:val="24"/>
          <w:szCs w:val="24"/>
        </w:rPr>
      </w:pPr>
    </w:p>
    <w:p w14:paraId="79542452" w14:textId="77777777" w:rsidR="00BE269F" w:rsidRPr="00AE3F1B" w:rsidRDefault="00BE269F" w:rsidP="00175586">
      <w:pPr>
        <w:spacing w:after="42" w:line="249" w:lineRule="auto"/>
        <w:ind w:left="567" w:right="-3" w:hanging="567"/>
        <w:jc w:val="left"/>
        <w:rPr>
          <w:rFonts w:ascii="Garamond" w:hAnsi="Garamond"/>
          <w:sz w:val="24"/>
          <w:szCs w:val="24"/>
        </w:rPr>
      </w:pPr>
    </w:p>
    <w:p w14:paraId="12AFEB08" w14:textId="77777777" w:rsidR="00A938A5" w:rsidRPr="00F93094" w:rsidRDefault="00791F8E">
      <w:pPr>
        <w:pStyle w:val="Akapitzlist"/>
        <w:numPr>
          <w:ilvl w:val="0"/>
          <w:numId w:val="54"/>
        </w:numPr>
        <w:spacing w:after="15" w:line="248" w:lineRule="auto"/>
        <w:ind w:left="567" w:right="-3" w:hanging="567"/>
        <w:jc w:val="left"/>
        <w:rPr>
          <w:rFonts w:asciiTheme="majorHAnsi" w:hAnsiTheme="majorHAnsi"/>
          <w:b/>
          <w:bCs/>
          <w:sz w:val="24"/>
          <w:szCs w:val="24"/>
        </w:rPr>
      </w:pPr>
      <w:r w:rsidRPr="00F93094">
        <w:rPr>
          <w:rFonts w:asciiTheme="majorHAnsi" w:hAnsiTheme="majorHAnsi"/>
          <w:b/>
          <w:bCs/>
          <w:sz w:val="24"/>
          <w:szCs w:val="24"/>
        </w:rPr>
        <w:t xml:space="preserve">Słownik pojęć i definicji </w:t>
      </w:r>
    </w:p>
    <w:p w14:paraId="01D858B8" w14:textId="77777777" w:rsidR="00A938A5" w:rsidRPr="00F93094" w:rsidRDefault="00A938A5" w:rsidP="00175586">
      <w:pPr>
        <w:spacing w:after="15" w:line="248" w:lineRule="auto"/>
        <w:ind w:left="567" w:right="-3" w:hanging="567"/>
        <w:jc w:val="left"/>
        <w:rPr>
          <w:rFonts w:asciiTheme="majorHAnsi" w:hAnsiTheme="majorHAnsi"/>
          <w:sz w:val="24"/>
          <w:szCs w:val="24"/>
        </w:rPr>
      </w:pPr>
      <w:r w:rsidRPr="00F93094">
        <w:rPr>
          <w:rFonts w:asciiTheme="majorHAnsi" w:hAnsiTheme="majorHAnsi"/>
          <w:sz w:val="24"/>
          <w:szCs w:val="24"/>
        </w:rPr>
        <w:t>K.1. Oznaczenia skrótów</w:t>
      </w:r>
    </w:p>
    <w:tbl>
      <w:tblPr>
        <w:tblStyle w:val="TableGrid"/>
        <w:tblW w:w="9756" w:type="dxa"/>
        <w:tblInd w:w="281" w:type="dxa"/>
        <w:tblCellMar>
          <w:top w:w="67" w:type="dxa"/>
          <w:left w:w="58" w:type="dxa"/>
          <w:right w:w="101" w:type="dxa"/>
        </w:tblCellMar>
        <w:tblLook w:val="04A0" w:firstRow="1" w:lastRow="0" w:firstColumn="1" w:lastColumn="0" w:noHBand="0" w:noVBand="1"/>
      </w:tblPr>
      <w:tblGrid>
        <w:gridCol w:w="1379"/>
        <w:gridCol w:w="8353"/>
        <w:gridCol w:w="16"/>
        <w:gridCol w:w="8"/>
      </w:tblGrid>
      <w:tr w:rsidR="00A938A5" w:rsidRPr="00AE3F1B" w14:paraId="704A11D4" w14:textId="77777777" w:rsidTr="00257369">
        <w:trPr>
          <w:gridAfter w:val="2"/>
          <w:wAfter w:w="24" w:type="dxa"/>
          <w:trHeight w:val="410"/>
        </w:trPr>
        <w:tc>
          <w:tcPr>
            <w:tcW w:w="1337" w:type="dxa"/>
            <w:tcBorders>
              <w:top w:val="single" w:sz="2" w:space="0" w:color="000000"/>
              <w:left w:val="single" w:sz="2" w:space="0" w:color="000000"/>
              <w:bottom w:val="single" w:sz="2" w:space="0" w:color="000000"/>
              <w:right w:val="single" w:sz="2" w:space="0" w:color="000000"/>
            </w:tcBorders>
            <w:vAlign w:val="center"/>
          </w:tcPr>
          <w:p w14:paraId="63D030E8"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APKO</w:t>
            </w:r>
          </w:p>
        </w:tc>
        <w:tc>
          <w:tcPr>
            <w:tcW w:w="8395" w:type="dxa"/>
            <w:tcBorders>
              <w:top w:val="single" w:sz="2" w:space="0" w:color="000000"/>
              <w:left w:val="single" w:sz="2" w:space="0" w:color="000000"/>
              <w:bottom w:val="single" w:sz="2" w:space="0" w:color="000000"/>
              <w:right w:val="single" w:sz="2" w:space="0" w:color="000000"/>
            </w:tcBorders>
          </w:tcPr>
          <w:p w14:paraId="44F1189D"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 xml:space="preserve">Automatyka </w:t>
            </w:r>
            <w:proofErr w:type="spellStart"/>
            <w:r w:rsidRPr="00AE3F1B">
              <w:rPr>
                <w:rFonts w:ascii="Garamond" w:hAnsi="Garamond"/>
                <w:sz w:val="24"/>
                <w:szCs w:val="24"/>
              </w:rPr>
              <w:t>przeciwkołysaniowa</w:t>
            </w:r>
            <w:proofErr w:type="spellEnd"/>
            <w:r w:rsidRPr="00AE3F1B">
              <w:rPr>
                <w:rFonts w:ascii="Garamond" w:hAnsi="Garamond"/>
                <w:sz w:val="24"/>
                <w:szCs w:val="24"/>
              </w:rPr>
              <w:t>.</w:t>
            </w:r>
          </w:p>
        </w:tc>
      </w:tr>
      <w:tr w:rsidR="00A938A5" w:rsidRPr="00AE3F1B" w14:paraId="35A944EB" w14:textId="77777777" w:rsidTr="00257369">
        <w:trPr>
          <w:gridAfter w:val="2"/>
          <w:wAfter w:w="24" w:type="dxa"/>
          <w:trHeight w:val="406"/>
        </w:trPr>
        <w:tc>
          <w:tcPr>
            <w:tcW w:w="1337" w:type="dxa"/>
            <w:tcBorders>
              <w:top w:val="single" w:sz="2" w:space="0" w:color="000000"/>
              <w:left w:val="single" w:sz="2" w:space="0" w:color="000000"/>
              <w:bottom w:val="single" w:sz="2" w:space="0" w:color="000000"/>
              <w:right w:val="single" w:sz="2" w:space="0" w:color="000000"/>
            </w:tcBorders>
            <w:vAlign w:val="center"/>
          </w:tcPr>
          <w:p w14:paraId="649AE734"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ARNE</w:t>
            </w:r>
          </w:p>
        </w:tc>
        <w:tc>
          <w:tcPr>
            <w:tcW w:w="8395" w:type="dxa"/>
            <w:tcBorders>
              <w:top w:val="single" w:sz="2" w:space="0" w:color="000000"/>
              <w:left w:val="single" w:sz="2" w:space="0" w:color="000000"/>
              <w:bottom w:val="single" w:sz="2" w:space="0" w:color="000000"/>
              <w:right w:val="single" w:sz="2" w:space="0" w:color="000000"/>
            </w:tcBorders>
          </w:tcPr>
          <w:p w14:paraId="25A49307"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Automatyczna regulacja napięcia elektrowni.</w:t>
            </w:r>
          </w:p>
        </w:tc>
      </w:tr>
      <w:tr w:rsidR="00A938A5" w:rsidRPr="00AE3F1B" w14:paraId="1206E79B" w14:textId="77777777" w:rsidTr="00257369">
        <w:trPr>
          <w:gridAfter w:val="2"/>
          <w:wAfter w:w="24" w:type="dxa"/>
          <w:trHeight w:val="580"/>
        </w:trPr>
        <w:tc>
          <w:tcPr>
            <w:tcW w:w="1337" w:type="dxa"/>
            <w:tcBorders>
              <w:top w:val="single" w:sz="2" w:space="0" w:color="000000"/>
              <w:left w:val="single" w:sz="2" w:space="0" w:color="000000"/>
              <w:bottom w:val="single" w:sz="2" w:space="0" w:color="000000"/>
              <w:right w:val="single" w:sz="2" w:space="0" w:color="000000"/>
            </w:tcBorders>
            <w:vAlign w:val="center"/>
          </w:tcPr>
          <w:p w14:paraId="39C5A8E3" w14:textId="77777777" w:rsidR="00A938A5" w:rsidRPr="00AE3F1B" w:rsidRDefault="00A938A5" w:rsidP="00175586">
            <w:pPr>
              <w:spacing w:line="259" w:lineRule="auto"/>
              <w:ind w:left="567" w:right="-3" w:hanging="567"/>
              <w:jc w:val="left"/>
              <w:rPr>
                <w:rFonts w:ascii="Garamond" w:hAnsi="Garamond"/>
                <w:sz w:val="24"/>
                <w:szCs w:val="24"/>
              </w:rPr>
            </w:pPr>
            <w:proofErr w:type="spellStart"/>
            <w:r w:rsidRPr="00AE3F1B">
              <w:rPr>
                <w:rFonts w:ascii="Garamond" w:hAnsi="Garamond"/>
                <w:sz w:val="24"/>
                <w:szCs w:val="24"/>
              </w:rPr>
              <w:t>AWSCz</w:t>
            </w:r>
            <w:proofErr w:type="spellEnd"/>
          </w:p>
        </w:tc>
        <w:tc>
          <w:tcPr>
            <w:tcW w:w="8395" w:type="dxa"/>
            <w:tcBorders>
              <w:top w:val="single" w:sz="2" w:space="0" w:color="000000"/>
              <w:left w:val="single" w:sz="2" w:space="0" w:color="000000"/>
              <w:bottom w:val="single" w:sz="2" w:space="0" w:color="000000"/>
              <w:right w:val="single" w:sz="2" w:space="0" w:color="000000"/>
            </w:tcBorders>
          </w:tcPr>
          <w:p w14:paraId="6EECEB2C"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Automatyka wymuszania składowej czynnej, stosowana dla potrzeb zabezpieczeń ziemnozwarciowych w sieciach skompensowanych.</w:t>
            </w:r>
          </w:p>
        </w:tc>
      </w:tr>
      <w:tr w:rsidR="00A938A5" w:rsidRPr="00AE3F1B" w14:paraId="5E42CF40" w14:textId="77777777" w:rsidTr="00257369">
        <w:trPr>
          <w:gridAfter w:val="2"/>
          <w:wAfter w:w="24" w:type="dxa"/>
          <w:trHeight w:val="410"/>
        </w:trPr>
        <w:tc>
          <w:tcPr>
            <w:tcW w:w="1337" w:type="dxa"/>
            <w:tcBorders>
              <w:top w:val="single" w:sz="2" w:space="0" w:color="000000"/>
              <w:left w:val="single" w:sz="2" w:space="0" w:color="000000"/>
              <w:bottom w:val="single" w:sz="2" w:space="0" w:color="000000"/>
              <w:right w:val="single" w:sz="2" w:space="0" w:color="000000"/>
            </w:tcBorders>
            <w:vAlign w:val="center"/>
          </w:tcPr>
          <w:p w14:paraId="2DEFD916"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BTHD</w:t>
            </w:r>
          </w:p>
        </w:tc>
        <w:tc>
          <w:tcPr>
            <w:tcW w:w="8395" w:type="dxa"/>
            <w:tcBorders>
              <w:top w:val="single" w:sz="2" w:space="0" w:color="000000"/>
              <w:left w:val="single" w:sz="2" w:space="0" w:color="000000"/>
              <w:bottom w:val="single" w:sz="2" w:space="0" w:color="000000"/>
              <w:right w:val="single" w:sz="2" w:space="0" w:color="000000"/>
            </w:tcBorders>
          </w:tcPr>
          <w:p w14:paraId="6567E82C"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Bilans techniczno-handlowy dobowy.</w:t>
            </w:r>
          </w:p>
        </w:tc>
      </w:tr>
      <w:tr w:rsidR="00A938A5" w:rsidRPr="00AE3F1B" w14:paraId="0AD24EB7" w14:textId="77777777" w:rsidTr="00257369">
        <w:trPr>
          <w:gridAfter w:val="2"/>
          <w:wAfter w:w="24" w:type="dxa"/>
          <w:trHeight w:val="410"/>
        </w:trPr>
        <w:tc>
          <w:tcPr>
            <w:tcW w:w="1337" w:type="dxa"/>
            <w:tcBorders>
              <w:top w:val="single" w:sz="2" w:space="0" w:color="000000"/>
              <w:left w:val="single" w:sz="2" w:space="0" w:color="000000"/>
              <w:bottom w:val="single" w:sz="2" w:space="0" w:color="000000"/>
              <w:right w:val="single" w:sz="2" w:space="0" w:color="000000"/>
            </w:tcBorders>
            <w:vAlign w:val="center"/>
          </w:tcPr>
          <w:p w14:paraId="4415C056"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BTHM</w:t>
            </w:r>
          </w:p>
        </w:tc>
        <w:tc>
          <w:tcPr>
            <w:tcW w:w="8395" w:type="dxa"/>
            <w:tcBorders>
              <w:top w:val="single" w:sz="2" w:space="0" w:color="000000"/>
              <w:left w:val="single" w:sz="2" w:space="0" w:color="000000"/>
              <w:bottom w:val="single" w:sz="2" w:space="0" w:color="000000"/>
              <w:right w:val="single" w:sz="2" w:space="0" w:color="000000"/>
            </w:tcBorders>
          </w:tcPr>
          <w:p w14:paraId="11808746"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Bilans techniczno-handlowy miesięczny.</w:t>
            </w:r>
          </w:p>
        </w:tc>
      </w:tr>
      <w:tr w:rsidR="00A938A5" w:rsidRPr="00AE3F1B" w14:paraId="47204A07" w14:textId="77777777" w:rsidTr="00257369">
        <w:trPr>
          <w:gridAfter w:val="2"/>
          <w:wAfter w:w="24" w:type="dxa"/>
          <w:trHeight w:val="403"/>
        </w:trPr>
        <w:tc>
          <w:tcPr>
            <w:tcW w:w="1337" w:type="dxa"/>
            <w:tcBorders>
              <w:top w:val="single" w:sz="2" w:space="0" w:color="000000"/>
              <w:left w:val="single" w:sz="2" w:space="0" w:color="000000"/>
              <w:bottom w:val="single" w:sz="2" w:space="0" w:color="000000"/>
              <w:right w:val="single" w:sz="2" w:space="0" w:color="000000"/>
            </w:tcBorders>
            <w:vAlign w:val="center"/>
          </w:tcPr>
          <w:p w14:paraId="4122847E"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BTHR</w:t>
            </w:r>
          </w:p>
        </w:tc>
        <w:tc>
          <w:tcPr>
            <w:tcW w:w="8395" w:type="dxa"/>
            <w:tcBorders>
              <w:top w:val="single" w:sz="2" w:space="0" w:color="000000"/>
              <w:left w:val="single" w:sz="2" w:space="0" w:color="000000"/>
              <w:bottom w:val="single" w:sz="2" w:space="0" w:color="000000"/>
              <w:right w:val="single" w:sz="2" w:space="0" w:color="000000"/>
            </w:tcBorders>
          </w:tcPr>
          <w:p w14:paraId="6441B096"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Bilans techniczno-handlowy roczny.</w:t>
            </w:r>
          </w:p>
        </w:tc>
      </w:tr>
      <w:tr w:rsidR="00A938A5" w:rsidRPr="00AE3F1B" w14:paraId="37E7C8AC" w14:textId="77777777" w:rsidTr="00257369">
        <w:trPr>
          <w:gridAfter w:val="2"/>
          <w:wAfter w:w="24" w:type="dxa"/>
          <w:trHeight w:val="410"/>
        </w:trPr>
        <w:tc>
          <w:tcPr>
            <w:tcW w:w="1337" w:type="dxa"/>
            <w:tcBorders>
              <w:top w:val="single" w:sz="2" w:space="0" w:color="000000"/>
              <w:left w:val="single" w:sz="2" w:space="0" w:color="000000"/>
              <w:bottom w:val="single" w:sz="2" w:space="0" w:color="000000"/>
              <w:right w:val="single" w:sz="2" w:space="0" w:color="000000"/>
            </w:tcBorders>
            <w:vAlign w:val="center"/>
          </w:tcPr>
          <w:p w14:paraId="3CC4B8B9"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CWSI</w:t>
            </w:r>
          </w:p>
        </w:tc>
        <w:tc>
          <w:tcPr>
            <w:tcW w:w="8395" w:type="dxa"/>
            <w:tcBorders>
              <w:top w:val="single" w:sz="2" w:space="0" w:color="000000"/>
              <w:left w:val="single" w:sz="2" w:space="0" w:color="000000"/>
              <w:bottom w:val="single" w:sz="2" w:space="0" w:color="000000"/>
              <w:right w:val="single" w:sz="2" w:space="0" w:color="000000"/>
            </w:tcBorders>
          </w:tcPr>
          <w:p w14:paraId="61EF644D"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Centralny System Wymiany Informacji.</w:t>
            </w:r>
          </w:p>
        </w:tc>
      </w:tr>
      <w:tr w:rsidR="00A938A5" w:rsidRPr="00AE3F1B" w14:paraId="1BD0D04A" w14:textId="77777777" w:rsidTr="00257369">
        <w:trPr>
          <w:gridAfter w:val="2"/>
          <w:wAfter w:w="24" w:type="dxa"/>
          <w:trHeight w:val="406"/>
        </w:trPr>
        <w:tc>
          <w:tcPr>
            <w:tcW w:w="1337" w:type="dxa"/>
            <w:tcBorders>
              <w:top w:val="single" w:sz="2" w:space="0" w:color="000000"/>
              <w:left w:val="single" w:sz="2" w:space="0" w:color="000000"/>
              <w:bottom w:val="single" w:sz="2" w:space="0" w:color="000000"/>
              <w:right w:val="single" w:sz="2" w:space="0" w:color="000000"/>
            </w:tcBorders>
            <w:vAlign w:val="center"/>
          </w:tcPr>
          <w:p w14:paraId="520A3B23"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DUŁ</w:t>
            </w:r>
          </w:p>
        </w:tc>
        <w:tc>
          <w:tcPr>
            <w:tcW w:w="8395" w:type="dxa"/>
            <w:tcBorders>
              <w:top w:val="single" w:sz="2" w:space="0" w:color="000000"/>
              <w:left w:val="single" w:sz="2" w:space="0" w:color="000000"/>
              <w:bottom w:val="single" w:sz="2" w:space="0" w:color="000000"/>
              <w:right w:val="single" w:sz="2" w:space="0" w:color="000000"/>
            </w:tcBorders>
          </w:tcPr>
          <w:p w14:paraId="6D8B8095"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Dostawca usługi ładowania.</w:t>
            </w:r>
          </w:p>
        </w:tc>
      </w:tr>
      <w:tr w:rsidR="00A938A5" w:rsidRPr="00AE3F1B" w14:paraId="41604834" w14:textId="77777777" w:rsidTr="00257369">
        <w:trPr>
          <w:gridAfter w:val="2"/>
          <w:wAfter w:w="24" w:type="dxa"/>
          <w:trHeight w:val="407"/>
        </w:trPr>
        <w:tc>
          <w:tcPr>
            <w:tcW w:w="1337" w:type="dxa"/>
            <w:tcBorders>
              <w:top w:val="single" w:sz="2" w:space="0" w:color="000000"/>
              <w:left w:val="single" w:sz="2" w:space="0" w:color="000000"/>
              <w:bottom w:val="single" w:sz="2" w:space="0" w:color="000000"/>
              <w:right w:val="single" w:sz="2" w:space="0" w:color="000000"/>
            </w:tcBorders>
            <w:vAlign w:val="center"/>
          </w:tcPr>
          <w:p w14:paraId="34D3599C"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EAZ</w:t>
            </w:r>
          </w:p>
        </w:tc>
        <w:tc>
          <w:tcPr>
            <w:tcW w:w="8395" w:type="dxa"/>
            <w:tcBorders>
              <w:top w:val="single" w:sz="2" w:space="0" w:color="000000"/>
              <w:left w:val="single" w:sz="2" w:space="0" w:color="000000"/>
              <w:bottom w:val="single" w:sz="2" w:space="0" w:color="000000"/>
              <w:right w:val="single" w:sz="2" w:space="0" w:color="000000"/>
            </w:tcBorders>
          </w:tcPr>
          <w:p w14:paraId="2B218E63"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Elektroenergetyczna automatyka zabezpieczeniowa.</w:t>
            </w:r>
          </w:p>
        </w:tc>
      </w:tr>
      <w:tr w:rsidR="00A938A5" w:rsidRPr="00AE3F1B" w14:paraId="6DEB8F1C" w14:textId="77777777" w:rsidTr="00257369">
        <w:trPr>
          <w:gridAfter w:val="2"/>
          <w:wAfter w:w="24" w:type="dxa"/>
          <w:trHeight w:val="410"/>
        </w:trPr>
        <w:tc>
          <w:tcPr>
            <w:tcW w:w="1337" w:type="dxa"/>
            <w:tcBorders>
              <w:top w:val="single" w:sz="2" w:space="0" w:color="000000"/>
              <w:left w:val="single" w:sz="2" w:space="0" w:color="000000"/>
              <w:bottom w:val="single" w:sz="2" w:space="0" w:color="000000"/>
              <w:right w:val="single" w:sz="2" w:space="0" w:color="000000"/>
            </w:tcBorders>
          </w:tcPr>
          <w:p w14:paraId="25BEBD5F"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F</w:t>
            </w:r>
            <w:r w:rsidR="007C22B1" w:rsidRPr="00AE3F1B">
              <w:rPr>
                <w:rFonts w:ascii="Garamond" w:hAnsi="Garamond"/>
                <w:sz w:val="24"/>
                <w:szCs w:val="24"/>
              </w:rPr>
              <w:t>PP</w:t>
            </w:r>
          </w:p>
        </w:tc>
        <w:tc>
          <w:tcPr>
            <w:tcW w:w="8395" w:type="dxa"/>
            <w:tcBorders>
              <w:top w:val="single" w:sz="2" w:space="0" w:color="000000"/>
              <w:left w:val="single" w:sz="2" w:space="0" w:color="000000"/>
              <w:bottom w:val="single" w:sz="2" w:space="0" w:color="000000"/>
              <w:right w:val="single" w:sz="2" w:space="0" w:color="000000"/>
            </w:tcBorders>
          </w:tcPr>
          <w:p w14:paraId="2173AE1F"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Fizyczny Punkt Pomiarowy.</w:t>
            </w:r>
          </w:p>
        </w:tc>
      </w:tr>
      <w:tr w:rsidR="00A938A5" w:rsidRPr="00AE3F1B" w14:paraId="15921E2E" w14:textId="77777777" w:rsidTr="00257369">
        <w:trPr>
          <w:gridAfter w:val="2"/>
          <w:wAfter w:w="24" w:type="dxa"/>
          <w:trHeight w:val="403"/>
        </w:trPr>
        <w:tc>
          <w:tcPr>
            <w:tcW w:w="1337" w:type="dxa"/>
            <w:tcBorders>
              <w:top w:val="single" w:sz="2" w:space="0" w:color="000000"/>
              <w:left w:val="single" w:sz="2" w:space="0" w:color="000000"/>
              <w:bottom w:val="single" w:sz="2" w:space="0" w:color="000000"/>
              <w:right w:val="single" w:sz="2" w:space="0" w:color="000000"/>
            </w:tcBorders>
            <w:vAlign w:val="center"/>
          </w:tcPr>
          <w:p w14:paraId="00DE19B1"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GPO</w:t>
            </w:r>
          </w:p>
        </w:tc>
        <w:tc>
          <w:tcPr>
            <w:tcW w:w="8395" w:type="dxa"/>
            <w:tcBorders>
              <w:top w:val="single" w:sz="2" w:space="0" w:color="000000"/>
              <w:left w:val="single" w:sz="2" w:space="0" w:color="000000"/>
              <w:bottom w:val="single" w:sz="2" w:space="0" w:color="000000"/>
              <w:right w:val="single" w:sz="2" w:space="0" w:color="000000"/>
            </w:tcBorders>
          </w:tcPr>
          <w:p w14:paraId="638C39CB"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Główny punkt odbioru energii.</w:t>
            </w:r>
          </w:p>
        </w:tc>
      </w:tr>
      <w:tr w:rsidR="00A938A5" w:rsidRPr="00AE3F1B" w14:paraId="661C6A1D" w14:textId="77777777" w:rsidTr="00257369">
        <w:trPr>
          <w:gridAfter w:val="2"/>
          <w:wAfter w:w="24" w:type="dxa"/>
          <w:trHeight w:val="410"/>
        </w:trPr>
        <w:tc>
          <w:tcPr>
            <w:tcW w:w="1337" w:type="dxa"/>
            <w:tcBorders>
              <w:top w:val="single" w:sz="2" w:space="0" w:color="000000"/>
              <w:left w:val="single" w:sz="2" w:space="0" w:color="000000"/>
              <w:bottom w:val="single" w:sz="2" w:space="0" w:color="000000"/>
              <w:right w:val="single" w:sz="2" w:space="0" w:color="000000"/>
            </w:tcBorders>
            <w:vAlign w:val="center"/>
          </w:tcPr>
          <w:p w14:paraId="219C8C33"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GUD</w:t>
            </w:r>
          </w:p>
        </w:tc>
        <w:tc>
          <w:tcPr>
            <w:tcW w:w="8395" w:type="dxa"/>
            <w:tcBorders>
              <w:top w:val="single" w:sz="2" w:space="0" w:color="000000"/>
              <w:left w:val="single" w:sz="2" w:space="0" w:color="000000"/>
              <w:bottom w:val="single" w:sz="2" w:space="0" w:color="000000"/>
              <w:right w:val="single" w:sz="2" w:space="0" w:color="000000"/>
            </w:tcBorders>
          </w:tcPr>
          <w:p w14:paraId="0DBB50EE"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Generalna Umowa Dystrybucji.</w:t>
            </w:r>
          </w:p>
        </w:tc>
      </w:tr>
      <w:tr w:rsidR="00A938A5" w:rsidRPr="00AE3F1B" w14:paraId="3F3AE719" w14:textId="77777777" w:rsidTr="00257369">
        <w:trPr>
          <w:gridAfter w:val="2"/>
          <w:wAfter w:w="24" w:type="dxa"/>
          <w:trHeight w:val="403"/>
        </w:trPr>
        <w:tc>
          <w:tcPr>
            <w:tcW w:w="1337" w:type="dxa"/>
            <w:tcBorders>
              <w:top w:val="single" w:sz="2" w:space="0" w:color="000000"/>
              <w:left w:val="single" w:sz="2" w:space="0" w:color="000000"/>
              <w:bottom w:val="single" w:sz="2" w:space="0" w:color="000000"/>
              <w:right w:val="single" w:sz="2" w:space="0" w:color="000000"/>
            </w:tcBorders>
            <w:vAlign w:val="center"/>
          </w:tcPr>
          <w:p w14:paraId="6B1FC874"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GUD-K</w:t>
            </w:r>
          </w:p>
        </w:tc>
        <w:tc>
          <w:tcPr>
            <w:tcW w:w="8395" w:type="dxa"/>
            <w:tcBorders>
              <w:top w:val="single" w:sz="2" w:space="0" w:color="000000"/>
              <w:left w:val="single" w:sz="2" w:space="0" w:color="000000"/>
              <w:bottom w:val="single" w:sz="2" w:space="0" w:color="000000"/>
              <w:right w:val="single" w:sz="2" w:space="0" w:color="000000"/>
            </w:tcBorders>
          </w:tcPr>
          <w:p w14:paraId="3D59F5E3" w14:textId="702803AB"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 xml:space="preserve">Generalna Umowa Dystrybucji dla </w:t>
            </w:r>
            <w:r w:rsidR="00257369" w:rsidRPr="00AE3F1B">
              <w:rPr>
                <w:rFonts w:ascii="Garamond" w:hAnsi="Garamond"/>
                <w:sz w:val="24"/>
                <w:szCs w:val="24"/>
              </w:rPr>
              <w:t>usługi kompleksowej</w:t>
            </w:r>
            <w:r w:rsidRPr="00AE3F1B">
              <w:rPr>
                <w:rFonts w:ascii="Garamond" w:hAnsi="Garamond"/>
                <w:sz w:val="24"/>
                <w:szCs w:val="24"/>
              </w:rPr>
              <w:t>.</w:t>
            </w:r>
          </w:p>
        </w:tc>
      </w:tr>
      <w:tr w:rsidR="00A938A5" w:rsidRPr="00AE3F1B" w14:paraId="1D131D37" w14:textId="77777777" w:rsidTr="00257369">
        <w:trPr>
          <w:gridAfter w:val="2"/>
          <w:wAfter w:w="24" w:type="dxa"/>
          <w:trHeight w:val="410"/>
        </w:trPr>
        <w:tc>
          <w:tcPr>
            <w:tcW w:w="1337" w:type="dxa"/>
            <w:tcBorders>
              <w:top w:val="single" w:sz="2" w:space="0" w:color="000000"/>
              <w:left w:val="single" w:sz="2" w:space="0" w:color="000000"/>
              <w:bottom w:val="single" w:sz="2" w:space="0" w:color="000000"/>
              <w:right w:val="single" w:sz="2" w:space="0" w:color="000000"/>
            </w:tcBorders>
            <w:vAlign w:val="center"/>
          </w:tcPr>
          <w:p w14:paraId="51C0778F" w14:textId="210482FE" w:rsidR="00A938A5" w:rsidRPr="00AE3F1B" w:rsidRDefault="005B3AD1" w:rsidP="00175586">
            <w:pPr>
              <w:spacing w:line="259" w:lineRule="auto"/>
              <w:ind w:left="567" w:right="-3" w:hanging="567"/>
              <w:jc w:val="left"/>
              <w:rPr>
                <w:rFonts w:ascii="Garamond" w:hAnsi="Garamond"/>
                <w:sz w:val="24"/>
                <w:szCs w:val="24"/>
              </w:rPr>
            </w:pPr>
            <w:r w:rsidRPr="005B3AD1">
              <w:rPr>
                <w:rFonts w:ascii="Garamond" w:hAnsi="Garamond"/>
                <w:sz w:val="24"/>
                <w:szCs w:val="24"/>
              </w:rPr>
              <w:t>IRiESD</w:t>
            </w:r>
          </w:p>
        </w:tc>
        <w:tc>
          <w:tcPr>
            <w:tcW w:w="8395" w:type="dxa"/>
            <w:tcBorders>
              <w:top w:val="single" w:sz="2" w:space="0" w:color="000000"/>
              <w:left w:val="single" w:sz="2" w:space="0" w:color="000000"/>
              <w:bottom w:val="single" w:sz="2" w:space="0" w:color="000000"/>
              <w:right w:val="single" w:sz="2" w:space="0" w:color="000000"/>
            </w:tcBorders>
          </w:tcPr>
          <w:p w14:paraId="5FB77BBE"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Instrukcja Ruchu i Eksploatacji Sieci Dystrybucyjnej (całość).</w:t>
            </w:r>
          </w:p>
        </w:tc>
      </w:tr>
      <w:tr w:rsidR="00A938A5" w:rsidRPr="00AE3F1B" w14:paraId="580BDC4F" w14:textId="77777777" w:rsidTr="00257369">
        <w:trPr>
          <w:gridAfter w:val="2"/>
          <w:wAfter w:w="24" w:type="dxa"/>
          <w:trHeight w:val="576"/>
        </w:trPr>
        <w:tc>
          <w:tcPr>
            <w:tcW w:w="1337" w:type="dxa"/>
            <w:tcBorders>
              <w:top w:val="single" w:sz="2" w:space="0" w:color="000000"/>
              <w:left w:val="single" w:sz="2" w:space="0" w:color="000000"/>
              <w:bottom w:val="single" w:sz="2" w:space="0" w:color="000000"/>
              <w:right w:val="single" w:sz="2" w:space="0" w:color="000000"/>
            </w:tcBorders>
          </w:tcPr>
          <w:p w14:paraId="01547DC2" w14:textId="45220D2F" w:rsidR="00A938A5" w:rsidRPr="00AE3F1B" w:rsidRDefault="005B3AD1" w:rsidP="00175586">
            <w:pPr>
              <w:spacing w:line="259" w:lineRule="auto"/>
              <w:ind w:left="567" w:right="-3" w:hanging="567"/>
              <w:jc w:val="left"/>
              <w:rPr>
                <w:rFonts w:ascii="Garamond" w:hAnsi="Garamond"/>
                <w:sz w:val="24"/>
                <w:szCs w:val="24"/>
              </w:rPr>
            </w:pPr>
            <w:r w:rsidRPr="005B3AD1">
              <w:rPr>
                <w:rFonts w:ascii="Garamond" w:hAnsi="Garamond"/>
                <w:sz w:val="24"/>
                <w:szCs w:val="24"/>
              </w:rPr>
              <w:t xml:space="preserve">IRiESD </w:t>
            </w:r>
            <w:r w:rsidR="00A938A5" w:rsidRPr="00AE3F1B">
              <w:rPr>
                <w:rFonts w:ascii="Garamond" w:hAnsi="Garamond"/>
                <w:sz w:val="24"/>
                <w:szCs w:val="24"/>
              </w:rPr>
              <w:t>-</w:t>
            </w:r>
          </w:p>
          <w:p w14:paraId="2169267D"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Bilansowanie</w:t>
            </w:r>
          </w:p>
        </w:tc>
        <w:tc>
          <w:tcPr>
            <w:tcW w:w="8395" w:type="dxa"/>
            <w:tcBorders>
              <w:top w:val="single" w:sz="2" w:space="0" w:color="000000"/>
              <w:left w:val="single" w:sz="2" w:space="0" w:color="000000"/>
              <w:bottom w:val="single" w:sz="2" w:space="0" w:color="000000"/>
              <w:right w:val="single" w:sz="2" w:space="0" w:color="000000"/>
            </w:tcBorders>
          </w:tcPr>
          <w:p w14:paraId="59F646ED" w14:textId="77777777" w:rsidR="00A938A5" w:rsidRPr="00AE3F1B" w:rsidRDefault="00A938A5" w:rsidP="00F5565C">
            <w:pPr>
              <w:spacing w:line="259" w:lineRule="auto"/>
              <w:ind w:left="41" w:right="-3"/>
              <w:jc w:val="left"/>
              <w:rPr>
                <w:rFonts w:ascii="Garamond" w:hAnsi="Garamond"/>
                <w:sz w:val="24"/>
                <w:szCs w:val="24"/>
              </w:rPr>
            </w:pPr>
            <w:r w:rsidRPr="00AE3F1B">
              <w:rPr>
                <w:rFonts w:ascii="Garamond" w:hAnsi="Garamond"/>
                <w:sz w:val="24"/>
                <w:szCs w:val="24"/>
              </w:rPr>
              <w:t>Instrukcja Ruchu i Eksploatacji Sieci Dystrybucyjnej — część: bilansowanie systemu i zarządzanie ograniczeniami systemowymi.</w:t>
            </w:r>
          </w:p>
        </w:tc>
      </w:tr>
      <w:tr w:rsidR="00A938A5" w:rsidRPr="00AE3F1B" w14:paraId="760AF6A5" w14:textId="77777777" w:rsidTr="00257369">
        <w:trPr>
          <w:gridAfter w:val="2"/>
          <w:wAfter w:w="24" w:type="dxa"/>
          <w:trHeight w:val="406"/>
        </w:trPr>
        <w:tc>
          <w:tcPr>
            <w:tcW w:w="1337" w:type="dxa"/>
            <w:tcBorders>
              <w:top w:val="single" w:sz="2" w:space="0" w:color="000000"/>
              <w:left w:val="single" w:sz="2" w:space="0" w:color="000000"/>
              <w:bottom w:val="single" w:sz="2" w:space="0" w:color="000000"/>
              <w:right w:val="single" w:sz="2" w:space="0" w:color="000000"/>
            </w:tcBorders>
            <w:vAlign w:val="center"/>
          </w:tcPr>
          <w:p w14:paraId="5A0F9B90"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IRiESP</w:t>
            </w:r>
          </w:p>
        </w:tc>
        <w:tc>
          <w:tcPr>
            <w:tcW w:w="8395" w:type="dxa"/>
            <w:tcBorders>
              <w:top w:val="single" w:sz="2" w:space="0" w:color="000000"/>
              <w:left w:val="single" w:sz="2" w:space="0" w:color="000000"/>
              <w:bottom w:val="single" w:sz="2" w:space="0" w:color="000000"/>
              <w:right w:val="single" w:sz="2" w:space="0" w:color="000000"/>
            </w:tcBorders>
          </w:tcPr>
          <w:p w14:paraId="23CFCD7D" w14:textId="77777777" w:rsidR="00A938A5" w:rsidRPr="00AE3F1B" w:rsidRDefault="00A938A5" w:rsidP="00F5565C">
            <w:pPr>
              <w:spacing w:line="259" w:lineRule="auto"/>
              <w:ind w:left="41" w:right="-3"/>
              <w:jc w:val="left"/>
              <w:rPr>
                <w:rFonts w:ascii="Garamond" w:hAnsi="Garamond"/>
                <w:sz w:val="24"/>
                <w:szCs w:val="24"/>
              </w:rPr>
            </w:pPr>
            <w:r w:rsidRPr="00AE3F1B">
              <w:rPr>
                <w:rFonts w:ascii="Garamond" w:hAnsi="Garamond"/>
                <w:sz w:val="24"/>
                <w:szCs w:val="24"/>
              </w:rPr>
              <w:t>Instrukcja ruchu i eksploatacji sieci przesyłowej (całość).</w:t>
            </w:r>
          </w:p>
        </w:tc>
      </w:tr>
      <w:tr w:rsidR="00A938A5" w:rsidRPr="00AE3F1B" w14:paraId="2074199B" w14:textId="77777777" w:rsidTr="00257369">
        <w:trPr>
          <w:gridAfter w:val="2"/>
          <w:wAfter w:w="24" w:type="dxa"/>
          <w:trHeight w:val="576"/>
        </w:trPr>
        <w:tc>
          <w:tcPr>
            <w:tcW w:w="1337" w:type="dxa"/>
            <w:tcBorders>
              <w:top w:val="single" w:sz="2" w:space="0" w:color="000000"/>
              <w:left w:val="single" w:sz="2" w:space="0" w:color="000000"/>
              <w:bottom w:val="single" w:sz="2" w:space="0" w:color="000000"/>
              <w:right w:val="single" w:sz="2" w:space="0" w:color="000000"/>
            </w:tcBorders>
          </w:tcPr>
          <w:p w14:paraId="1DA507A9"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IRiESP-</w:t>
            </w:r>
          </w:p>
          <w:p w14:paraId="5F23B1A3"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Bilansowanie</w:t>
            </w:r>
          </w:p>
        </w:tc>
        <w:tc>
          <w:tcPr>
            <w:tcW w:w="8395" w:type="dxa"/>
            <w:tcBorders>
              <w:top w:val="single" w:sz="2" w:space="0" w:color="000000"/>
              <w:left w:val="single" w:sz="2" w:space="0" w:color="000000"/>
              <w:bottom w:val="single" w:sz="2" w:space="0" w:color="000000"/>
              <w:right w:val="single" w:sz="2" w:space="0" w:color="000000"/>
            </w:tcBorders>
          </w:tcPr>
          <w:p w14:paraId="7762B2D9" w14:textId="77777777" w:rsidR="00A938A5" w:rsidRPr="00AE3F1B" w:rsidRDefault="00A938A5" w:rsidP="00F5565C">
            <w:pPr>
              <w:spacing w:line="259" w:lineRule="auto"/>
              <w:ind w:left="41" w:right="-3"/>
              <w:jc w:val="left"/>
              <w:rPr>
                <w:rFonts w:ascii="Garamond" w:hAnsi="Garamond"/>
                <w:sz w:val="24"/>
                <w:szCs w:val="24"/>
              </w:rPr>
            </w:pPr>
            <w:r w:rsidRPr="00AE3F1B">
              <w:rPr>
                <w:rFonts w:ascii="Garamond" w:hAnsi="Garamond"/>
                <w:sz w:val="24"/>
                <w:szCs w:val="24"/>
              </w:rPr>
              <w:t>Instrukcja ruchu i eksploatacji sieci przesyłowej — część: bilansowanie systemu i zarządzanie ograniczeniami systemowymi.</w:t>
            </w:r>
          </w:p>
        </w:tc>
      </w:tr>
      <w:tr w:rsidR="00A938A5" w:rsidRPr="00AE3F1B" w14:paraId="2CA0FEAD" w14:textId="77777777" w:rsidTr="00257369">
        <w:trPr>
          <w:gridAfter w:val="2"/>
          <w:wAfter w:w="24" w:type="dxa"/>
          <w:trHeight w:val="580"/>
        </w:trPr>
        <w:tc>
          <w:tcPr>
            <w:tcW w:w="1337" w:type="dxa"/>
            <w:tcBorders>
              <w:top w:val="single" w:sz="2" w:space="0" w:color="000000"/>
              <w:left w:val="single" w:sz="2" w:space="0" w:color="000000"/>
              <w:bottom w:val="single" w:sz="2" w:space="0" w:color="000000"/>
              <w:right w:val="single" w:sz="2" w:space="0" w:color="000000"/>
            </w:tcBorders>
            <w:vAlign w:val="center"/>
          </w:tcPr>
          <w:p w14:paraId="21072301"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JWCD</w:t>
            </w:r>
          </w:p>
        </w:tc>
        <w:tc>
          <w:tcPr>
            <w:tcW w:w="8395" w:type="dxa"/>
            <w:tcBorders>
              <w:top w:val="single" w:sz="2" w:space="0" w:color="000000"/>
              <w:left w:val="single" w:sz="2" w:space="0" w:color="000000"/>
              <w:bottom w:val="single" w:sz="2" w:space="0" w:color="000000"/>
              <w:right w:val="single" w:sz="2" w:space="0" w:color="000000"/>
            </w:tcBorders>
          </w:tcPr>
          <w:p w14:paraId="29D6B315" w14:textId="77777777" w:rsidR="00A938A5" w:rsidRPr="00AE3F1B" w:rsidRDefault="00A938A5" w:rsidP="00F5565C">
            <w:pPr>
              <w:spacing w:line="259" w:lineRule="auto"/>
              <w:ind w:left="41" w:right="-3"/>
              <w:jc w:val="left"/>
              <w:rPr>
                <w:rFonts w:ascii="Garamond" w:hAnsi="Garamond"/>
                <w:sz w:val="24"/>
                <w:szCs w:val="24"/>
              </w:rPr>
            </w:pPr>
            <w:r w:rsidRPr="00AE3F1B">
              <w:rPr>
                <w:rFonts w:ascii="Garamond" w:hAnsi="Garamond"/>
                <w:sz w:val="24"/>
                <w:szCs w:val="24"/>
              </w:rPr>
              <w:t>Jednostka wytwórcza centralnie dysponowana — jednostka wytwórcza przyłączona do koordynowanej sieci 110kV podlegająca centralnemu dysponowaniu przez OSP.</w:t>
            </w:r>
          </w:p>
        </w:tc>
      </w:tr>
      <w:tr w:rsidR="00A938A5" w:rsidRPr="00AE3F1B" w14:paraId="204786DC" w14:textId="77777777" w:rsidTr="00257369">
        <w:trPr>
          <w:gridAfter w:val="2"/>
          <w:wAfter w:w="24" w:type="dxa"/>
          <w:trHeight w:val="571"/>
        </w:trPr>
        <w:tc>
          <w:tcPr>
            <w:tcW w:w="1337" w:type="dxa"/>
            <w:tcBorders>
              <w:top w:val="single" w:sz="2" w:space="0" w:color="000000"/>
              <w:left w:val="single" w:sz="2" w:space="0" w:color="000000"/>
              <w:bottom w:val="single" w:sz="2" w:space="0" w:color="000000"/>
              <w:right w:val="single" w:sz="2" w:space="0" w:color="000000"/>
            </w:tcBorders>
            <w:vAlign w:val="center"/>
          </w:tcPr>
          <w:p w14:paraId="375708B7"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JWCK</w:t>
            </w:r>
          </w:p>
        </w:tc>
        <w:tc>
          <w:tcPr>
            <w:tcW w:w="8395" w:type="dxa"/>
            <w:tcBorders>
              <w:top w:val="single" w:sz="2" w:space="0" w:color="000000"/>
              <w:left w:val="single" w:sz="2" w:space="0" w:color="000000"/>
              <w:bottom w:val="single" w:sz="2" w:space="0" w:color="000000"/>
              <w:right w:val="single" w:sz="2" w:space="0" w:color="000000"/>
            </w:tcBorders>
          </w:tcPr>
          <w:p w14:paraId="20F63477" w14:textId="77777777" w:rsidR="00A938A5" w:rsidRPr="00AE3F1B" w:rsidRDefault="00A938A5" w:rsidP="00F5565C">
            <w:pPr>
              <w:spacing w:line="259" w:lineRule="auto"/>
              <w:ind w:left="41" w:right="-3"/>
              <w:jc w:val="left"/>
              <w:rPr>
                <w:rFonts w:ascii="Garamond" w:hAnsi="Garamond"/>
                <w:sz w:val="24"/>
                <w:szCs w:val="24"/>
              </w:rPr>
            </w:pPr>
            <w:r w:rsidRPr="00AE3F1B">
              <w:rPr>
                <w:rFonts w:ascii="Garamond" w:hAnsi="Garamond"/>
                <w:sz w:val="24"/>
                <w:szCs w:val="24"/>
              </w:rPr>
              <w:t>Jednostka wytwórcza centralnie koordynowana — jednostka wytwórcza której praca podlega koordynacji przez OSP.</w:t>
            </w:r>
          </w:p>
        </w:tc>
      </w:tr>
      <w:tr w:rsidR="00A938A5" w:rsidRPr="00AE3F1B" w14:paraId="58B81A0D" w14:textId="77777777" w:rsidTr="00257369">
        <w:trPr>
          <w:gridAfter w:val="2"/>
          <w:wAfter w:w="24" w:type="dxa"/>
          <w:trHeight w:val="407"/>
        </w:trPr>
        <w:tc>
          <w:tcPr>
            <w:tcW w:w="1337" w:type="dxa"/>
            <w:tcBorders>
              <w:top w:val="single" w:sz="2" w:space="0" w:color="000000"/>
              <w:left w:val="single" w:sz="2" w:space="0" w:color="000000"/>
              <w:bottom w:val="single" w:sz="2" w:space="0" w:color="000000"/>
              <w:right w:val="single" w:sz="2" w:space="0" w:color="000000"/>
            </w:tcBorders>
            <w:vAlign w:val="center"/>
          </w:tcPr>
          <w:p w14:paraId="730D604A"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KSE</w:t>
            </w:r>
          </w:p>
        </w:tc>
        <w:tc>
          <w:tcPr>
            <w:tcW w:w="8395" w:type="dxa"/>
            <w:tcBorders>
              <w:top w:val="single" w:sz="2" w:space="0" w:color="000000"/>
              <w:left w:val="single" w:sz="2" w:space="0" w:color="000000"/>
              <w:bottom w:val="single" w:sz="2" w:space="0" w:color="000000"/>
              <w:right w:val="single" w:sz="2" w:space="0" w:color="000000"/>
            </w:tcBorders>
          </w:tcPr>
          <w:p w14:paraId="6333E3D4" w14:textId="77777777" w:rsidR="00A938A5" w:rsidRPr="00AE3F1B" w:rsidRDefault="00A938A5" w:rsidP="00F5565C">
            <w:pPr>
              <w:spacing w:line="259" w:lineRule="auto"/>
              <w:ind w:left="41" w:right="-3"/>
              <w:jc w:val="left"/>
              <w:rPr>
                <w:rFonts w:ascii="Garamond" w:hAnsi="Garamond"/>
                <w:sz w:val="24"/>
                <w:szCs w:val="24"/>
              </w:rPr>
            </w:pPr>
            <w:r w:rsidRPr="00AE3F1B">
              <w:rPr>
                <w:rFonts w:ascii="Garamond" w:hAnsi="Garamond"/>
                <w:sz w:val="24"/>
                <w:szCs w:val="24"/>
              </w:rPr>
              <w:t>Krajowy system elektroenergetyczny.</w:t>
            </w:r>
          </w:p>
        </w:tc>
      </w:tr>
      <w:tr w:rsidR="00A938A5" w:rsidRPr="00AE3F1B" w14:paraId="630B4C3B" w14:textId="77777777" w:rsidTr="00257369">
        <w:trPr>
          <w:gridAfter w:val="2"/>
          <w:wAfter w:w="24" w:type="dxa"/>
          <w:trHeight w:val="576"/>
        </w:trPr>
        <w:tc>
          <w:tcPr>
            <w:tcW w:w="1337" w:type="dxa"/>
            <w:tcBorders>
              <w:top w:val="single" w:sz="2" w:space="0" w:color="000000"/>
              <w:left w:val="single" w:sz="2" w:space="0" w:color="000000"/>
              <w:bottom w:val="single" w:sz="2" w:space="0" w:color="000000"/>
              <w:right w:val="single" w:sz="2" w:space="0" w:color="000000"/>
            </w:tcBorders>
            <w:vAlign w:val="center"/>
          </w:tcPr>
          <w:p w14:paraId="29CC3CFD" w14:textId="77777777" w:rsidR="00A938A5" w:rsidRPr="00AE3F1B" w:rsidRDefault="00A938A5" w:rsidP="00175586">
            <w:pPr>
              <w:spacing w:line="259" w:lineRule="auto"/>
              <w:ind w:left="567" w:right="-3" w:hanging="567"/>
              <w:jc w:val="left"/>
              <w:rPr>
                <w:rFonts w:ascii="Garamond" w:hAnsi="Garamond"/>
                <w:sz w:val="24"/>
                <w:szCs w:val="24"/>
              </w:rPr>
            </w:pPr>
            <w:proofErr w:type="spellStart"/>
            <w:r w:rsidRPr="00AE3F1B">
              <w:rPr>
                <w:rFonts w:ascii="Garamond" w:hAnsi="Garamond"/>
                <w:sz w:val="24"/>
                <w:szCs w:val="24"/>
              </w:rPr>
              <w:lastRenderedPageBreak/>
              <w:t>kWp</w:t>
            </w:r>
            <w:proofErr w:type="spellEnd"/>
          </w:p>
        </w:tc>
        <w:tc>
          <w:tcPr>
            <w:tcW w:w="8395" w:type="dxa"/>
            <w:tcBorders>
              <w:top w:val="single" w:sz="2" w:space="0" w:color="000000"/>
              <w:left w:val="single" w:sz="2" w:space="0" w:color="000000"/>
              <w:bottom w:val="single" w:sz="2" w:space="0" w:color="000000"/>
              <w:right w:val="single" w:sz="2" w:space="0" w:color="000000"/>
            </w:tcBorders>
          </w:tcPr>
          <w:p w14:paraId="1B4C8EB4" w14:textId="77777777" w:rsidR="00A938A5" w:rsidRPr="00AE3F1B" w:rsidRDefault="00A938A5" w:rsidP="00F5565C">
            <w:pPr>
              <w:spacing w:line="259" w:lineRule="auto"/>
              <w:ind w:left="41" w:right="-3"/>
              <w:jc w:val="left"/>
              <w:rPr>
                <w:rFonts w:ascii="Garamond" w:hAnsi="Garamond"/>
                <w:sz w:val="24"/>
                <w:szCs w:val="24"/>
              </w:rPr>
            </w:pPr>
            <w:r w:rsidRPr="00AE3F1B">
              <w:rPr>
                <w:rFonts w:ascii="Garamond" w:hAnsi="Garamond"/>
                <w:sz w:val="24"/>
                <w:szCs w:val="24"/>
              </w:rPr>
              <w:t>Jednostka mocy szczytowej baterii słonecznej, która jest oddawana przy określonym promieniowaniu słonecznym.</w:t>
            </w:r>
          </w:p>
        </w:tc>
      </w:tr>
      <w:tr w:rsidR="00A938A5" w:rsidRPr="00AE3F1B" w14:paraId="32E02348" w14:textId="77777777" w:rsidTr="00257369">
        <w:trPr>
          <w:gridAfter w:val="2"/>
          <w:wAfter w:w="24" w:type="dxa"/>
          <w:trHeight w:val="406"/>
        </w:trPr>
        <w:tc>
          <w:tcPr>
            <w:tcW w:w="1337" w:type="dxa"/>
            <w:tcBorders>
              <w:top w:val="single" w:sz="2" w:space="0" w:color="000000"/>
              <w:left w:val="single" w:sz="2" w:space="0" w:color="000000"/>
              <w:bottom w:val="single" w:sz="2" w:space="0" w:color="000000"/>
              <w:right w:val="single" w:sz="2" w:space="0" w:color="000000"/>
            </w:tcBorders>
            <w:vAlign w:val="center"/>
          </w:tcPr>
          <w:p w14:paraId="43786028"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LRW</w:t>
            </w:r>
          </w:p>
        </w:tc>
        <w:tc>
          <w:tcPr>
            <w:tcW w:w="8395" w:type="dxa"/>
            <w:tcBorders>
              <w:top w:val="single" w:sz="2" w:space="0" w:color="000000"/>
              <w:left w:val="single" w:sz="2" w:space="0" w:color="000000"/>
              <w:bottom w:val="single" w:sz="2" w:space="0" w:color="000000"/>
              <w:right w:val="single" w:sz="2" w:space="0" w:color="000000"/>
            </w:tcBorders>
          </w:tcPr>
          <w:p w14:paraId="7C0DA782"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Lokalna rezerwa wyłącznikowa.</w:t>
            </w:r>
          </w:p>
        </w:tc>
      </w:tr>
      <w:tr w:rsidR="00A938A5" w:rsidRPr="00AE3F1B" w14:paraId="2AFF2D20" w14:textId="77777777" w:rsidTr="00257369">
        <w:trPr>
          <w:gridAfter w:val="2"/>
          <w:wAfter w:w="24" w:type="dxa"/>
          <w:trHeight w:val="403"/>
        </w:trPr>
        <w:tc>
          <w:tcPr>
            <w:tcW w:w="1337" w:type="dxa"/>
            <w:tcBorders>
              <w:top w:val="single" w:sz="2" w:space="0" w:color="000000"/>
              <w:left w:val="single" w:sz="2" w:space="0" w:color="000000"/>
              <w:bottom w:val="single" w:sz="2" w:space="0" w:color="000000"/>
              <w:right w:val="single" w:sz="2" w:space="0" w:color="000000"/>
            </w:tcBorders>
            <w:vAlign w:val="center"/>
          </w:tcPr>
          <w:p w14:paraId="5BB66123"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LSPR</w:t>
            </w:r>
          </w:p>
        </w:tc>
        <w:tc>
          <w:tcPr>
            <w:tcW w:w="8395" w:type="dxa"/>
            <w:tcBorders>
              <w:top w:val="single" w:sz="2" w:space="0" w:color="000000"/>
              <w:left w:val="single" w:sz="2" w:space="0" w:color="000000"/>
              <w:bottom w:val="single" w:sz="2" w:space="0" w:color="000000"/>
              <w:right w:val="single" w:sz="2" w:space="0" w:color="000000"/>
            </w:tcBorders>
          </w:tcPr>
          <w:p w14:paraId="7EB96FB3"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Lokalny System Pomiarowo Rozliczeniowy.</w:t>
            </w:r>
          </w:p>
        </w:tc>
      </w:tr>
      <w:tr w:rsidR="00A938A5" w:rsidRPr="00AE3F1B" w14:paraId="675B4F4C" w14:textId="77777777" w:rsidTr="00257369">
        <w:trPr>
          <w:gridAfter w:val="2"/>
          <w:wAfter w:w="24" w:type="dxa"/>
          <w:trHeight w:val="410"/>
        </w:trPr>
        <w:tc>
          <w:tcPr>
            <w:tcW w:w="1337" w:type="dxa"/>
            <w:tcBorders>
              <w:top w:val="single" w:sz="2" w:space="0" w:color="000000"/>
              <w:left w:val="single" w:sz="2" w:space="0" w:color="000000"/>
              <w:bottom w:val="single" w:sz="2" w:space="0" w:color="000000"/>
              <w:right w:val="single" w:sz="2" w:space="0" w:color="000000"/>
            </w:tcBorders>
            <w:vAlign w:val="center"/>
          </w:tcPr>
          <w:p w14:paraId="1A72EB49"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MB</w:t>
            </w:r>
          </w:p>
        </w:tc>
        <w:tc>
          <w:tcPr>
            <w:tcW w:w="8395" w:type="dxa"/>
            <w:tcBorders>
              <w:top w:val="single" w:sz="2" w:space="0" w:color="000000"/>
              <w:left w:val="single" w:sz="2" w:space="0" w:color="000000"/>
              <w:bottom w:val="single" w:sz="2" w:space="0" w:color="000000"/>
              <w:right w:val="single" w:sz="2" w:space="0" w:color="000000"/>
            </w:tcBorders>
          </w:tcPr>
          <w:p w14:paraId="45B90E02"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Miejsce Dostarczania Energii Elektrycznej Rynku Bilansującego.</w:t>
            </w:r>
          </w:p>
        </w:tc>
      </w:tr>
      <w:tr w:rsidR="00A938A5" w:rsidRPr="00AE3F1B" w14:paraId="12500520" w14:textId="77777777" w:rsidTr="00257369">
        <w:trPr>
          <w:gridAfter w:val="2"/>
          <w:wAfter w:w="24" w:type="dxa"/>
          <w:trHeight w:val="403"/>
        </w:trPr>
        <w:tc>
          <w:tcPr>
            <w:tcW w:w="1337" w:type="dxa"/>
            <w:tcBorders>
              <w:top w:val="single" w:sz="2" w:space="0" w:color="000000"/>
              <w:left w:val="single" w:sz="2" w:space="0" w:color="000000"/>
              <w:bottom w:val="single" w:sz="2" w:space="0" w:color="000000"/>
              <w:right w:val="single" w:sz="2" w:space="0" w:color="000000"/>
            </w:tcBorders>
            <w:vAlign w:val="center"/>
          </w:tcPr>
          <w:p w14:paraId="34FDF804" w14:textId="63B0A82C" w:rsidR="00A938A5" w:rsidRPr="00AE3F1B" w:rsidRDefault="00D356CE" w:rsidP="00175586">
            <w:pPr>
              <w:spacing w:line="259" w:lineRule="auto"/>
              <w:ind w:left="567" w:right="-3" w:hanging="567"/>
              <w:jc w:val="left"/>
              <w:rPr>
                <w:rFonts w:ascii="Garamond" w:hAnsi="Garamond"/>
                <w:sz w:val="24"/>
                <w:szCs w:val="24"/>
              </w:rPr>
            </w:pPr>
            <w:r>
              <w:rPr>
                <w:rFonts w:ascii="Garamond" w:hAnsi="Garamond"/>
                <w:sz w:val="24"/>
                <w:szCs w:val="24"/>
              </w:rPr>
              <w:t>F</w:t>
            </w:r>
            <w:r w:rsidR="00A938A5" w:rsidRPr="00AE3F1B">
              <w:rPr>
                <w:rFonts w:ascii="Garamond" w:hAnsi="Garamond"/>
                <w:sz w:val="24"/>
                <w:szCs w:val="24"/>
              </w:rPr>
              <w:t>MB</w:t>
            </w:r>
          </w:p>
        </w:tc>
        <w:tc>
          <w:tcPr>
            <w:tcW w:w="8395" w:type="dxa"/>
            <w:tcBorders>
              <w:top w:val="single" w:sz="2" w:space="0" w:color="000000"/>
              <w:left w:val="single" w:sz="2" w:space="0" w:color="000000"/>
              <w:bottom w:val="single" w:sz="2" w:space="0" w:color="000000"/>
              <w:right w:val="single" w:sz="2" w:space="0" w:color="000000"/>
            </w:tcBorders>
          </w:tcPr>
          <w:p w14:paraId="0E209064"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Fizyczne Miejsce Dostarczania Energii Elektrycznej Rynku Bilansującego.</w:t>
            </w:r>
          </w:p>
        </w:tc>
      </w:tr>
      <w:tr w:rsidR="00A938A5" w:rsidRPr="00AE3F1B" w14:paraId="1A8A6906" w14:textId="77777777" w:rsidTr="00257369">
        <w:trPr>
          <w:gridAfter w:val="2"/>
          <w:wAfter w:w="24" w:type="dxa"/>
          <w:trHeight w:val="407"/>
        </w:trPr>
        <w:tc>
          <w:tcPr>
            <w:tcW w:w="1337" w:type="dxa"/>
            <w:tcBorders>
              <w:top w:val="single" w:sz="2" w:space="0" w:color="000000"/>
              <w:left w:val="single" w:sz="2" w:space="0" w:color="000000"/>
              <w:bottom w:val="single" w:sz="2" w:space="0" w:color="000000"/>
              <w:right w:val="single" w:sz="2" w:space="0" w:color="000000"/>
            </w:tcBorders>
            <w:vAlign w:val="center"/>
          </w:tcPr>
          <w:p w14:paraId="22E16A54"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MD</w:t>
            </w:r>
          </w:p>
        </w:tc>
        <w:tc>
          <w:tcPr>
            <w:tcW w:w="8395" w:type="dxa"/>
            <w:tcBorders>
              <w:top w:val="single" w:sz="2" w:space="0" w:color="000000"/>
              <w:left w:val="single" w:sz="2" w:space="0" w:color="000000"/>
              <w:bottom w:val="single" w:sz="2" w:space="0" w:color="000000"/>
              <w:right w:val="single" w:sz="2" w:space="0" w:color="000000"/>
            </w:tcBorders>
          </w:tcPr>
          <w:p w14:paraId="3CB8D9DB"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Miejsce Dostarczania Energii Elektrycznej.</w:t>
            </w:r>
          </w:p>
        </w:tc>
      </w:tr>
      <w:tr w:rsidR="00A938A5" w:rsidRPr="00AE3F1B" w14:paraId="2641AE55" w14:textId="77777777" w:rsidTr="00257369">
        <w:trPr>
          <w:gridAfter w:val="2"/>
          <w:wAfter w:w="24" w:type="dxa"/>
          <w:trHeight w:val="571"/>
        </w:trPr>
        <w:tc>
          <w:tcPr>
            <w:tcW w:w="1337" w:type="dxa"/>
            <w:tcBorders>
              <w:top w:val="single" w:sz="2" w:space="0" w:color="000000"/>
              <w:left w:val="single" w:sz="2" w:space="0" w:color="000000"/>
              <w:bottom w:val="single" w:sz="2" w:space="0" w:color="000000"/>
              <w:right w:val="single" w:sz="2" w:space="0" w:color="000000"/>
            </w:tcBorders>
            <w:vAlign w:val="center"/>
          </w:tcPr>
          <w:p w14:paraId="4AEBC313" w14:textId="6875EACB" w:rsidR="00A938A5" w:rsidRPr="00AE3F1B" w:rsidRDefault="00D356CE" w:rsidP="00175586">
            <w:pPr>
              <w:spacing w:line="259" w:lineRule="auto"/>
              <w:ind w:left="567" w:right="-3" w:hanging="567"/>
              <w:jc w:val="left"/>
              <w:rPr>
                <w:rFonts w:ascii="Garamond" w:hAnsi="Garamond"/>
                <w:sz w:val="24"/>
                <w:szCs w:val="24"/>
              </w:rPr>
            </w:pPr>
            <w:r>
              <w:rPr>
                <w:rFonts w:ascii="Garamond" w:hAnsi="Garamond"/>
                <w:sz w:val="24"/>
                <w:szCs w:val="24"/>
              </w:rPr>
              <w:t>W</w:t>
            </w:r>
            <w:r w:rsidR="00A938A5" w:rsidRPr="00AE3F1B">
              <w:rPr>
                <w:rFonts w:ascii="Garamond" w:hAnsi="Garamond"/>
                <w:sz w:val="24"/>
                <w:szCs w:val="24"/>
              </w:rPr>
              <w:t>MB</w:t>
            </w:r>
          </w:p>
        </w:tc>
        <w:tc>
          <w:tcPr>
            <w:tcW w:w="8395" w:type="dxa"/>
            <w:tcBorders>
              <w:top w:val="single" w:sz="2" w:space="0" w:color="000000"/>
              <w:left w:val="single" w:sz="2" w:space="0" w:color="000000"/>
              <w:bottom w:val="single" w:sz="2" w:space="0" w:color="000000"/>
              <w:right w:val="single" w:sz="2" w:space="0" w:color="000000"/>
            </w:tcBorders>
            <w:vAlign w:val="center"/>
          </w:tcPr>
          <w:p w14:paraId="51A79D12" w14:textId="510C2B48" w:rsidR="00A938A5" w:rsidRPr="00AE3F1B" w:rsidRDefault="00A938A5" w:rsidP="00F5565C">
            <w:pPr>
              <w:spacing w:line="259" w:lineRule="auto"/>
              <w:ind w:left="41" w:right="-3"/>
              <w:jc w:val="left"/>
              <w:rPr>
                <w:rFonts w:ascii="Garamond" w:hAnsi="Garamond"/>
                <w:sz w:val="24"/>
                <w:szCs w:val="24"/>
              </w:rPr>
            </w:pPr>
            <w:r w:rsidRPr="00AE3F1B">
              <w:rPr>
                <w:rFonts w:ascii="Garamond" w:hAnsi="Garamond"/>
                <w:sz w:val="24"/>
                <w:szCs w:val="24"/>
              </w:rPr>
              <w:t>Ponad</w:t>
            </w:r>
            <w:r w:rsidR="006316A5">
              <w:rPr>
                <w:rFonts w:ascii="Garamond" w:hAnsi="Garamond"/>
                <w:sz w:val="24"/>
                <w:szCs w:val="24"/>
              </w:rPr>
              <w:t xml:space="preserve"> </w:t>
            </w:r>
            <w:r w:rsidRPr="00AE3F1B">
              <w:rPr>
                <w:rFonts w:ascii="Garamond" w:hAnsi="Garamond"/>
                <w:sz w:val="24"/>
                <w:szCs w:val="24"/>
              </w:rPr>
              <w:t>sieciowe (wirtualne) Miejsce Dostarczania Energii Elektrycznej Rynku Bilansującego.</w:t>
            </w:r>
          </w:p>
        </w:tc>
      </w:tr>
      <w:tr w:rsidR="00A938A5" w:rsidRPr="00AE3F1B" w14:paraId="47604204" w14:textId="77777777" w:rsidTr="00257369">
        <w:tblPrEx>
          <w:tblCellMar>
            <w:top w:w="50" w:type="dxa"/>
            <w:left w:w="39" w:type="dxa"/>
            <w:right w:w="58" w:type="dxa"/>
          </w:tblCellMar>
        </w:tblPrEx>
        <w:trPr>
          <w:trHeight w:val="424"/>
        </w:trPr>
        <w:tc>
          <w:tcPr>
            <w:tcW w:w="1337" w:type="dxa"/>
            <w:tcBorders>
              <w:top w:val="nil"/>
              <w:left w:val="single" w:sz="2" w:space="0" w:color="000000"/>
              <w:bottom w:val="single" w:sz="2" w:space="0" w:color="000000"/>
              <w:right w:val="single" w:sz="2" w:space="0" w:color="000000"/>
            </w:tcBorders>
            <w:vAlign w:val="center"/>
          </w:tcPr>
          <w:p w14:paraId="40C9B0D8"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MD</w:t>
            </w:r>
          </w:p>
        </w:tc>
        <w:tc>
          <w:tcPr>
            <w:tcW w:w="8419" w:type="dxa"/>
            <w:gridSpan w:val="3"/>
            <w:tcBorders>
              <w:top w:val="nil"/>
              <w:left w:val="single" w:sz="2" w:space="0" w:color="000000"/>
              <w:bottom w:val="single" w:sz="2" w:space="0" w:color="000000"/>
              <w:right w:val="single" w:sz="2" w:space="0" w:color="000000"/>
            </w:tcBorders>
          </w:tcPr>
          <w:p w14:paraId="149230A1"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Miejsce Dostarczania Energii Elektrycznej.</w:t>
            </w:r>
          </w:p>
        </w:tc>
      </w:tr>
      <w:tr w:rsidR="00A938A5" w:rsidRPr="00AE3F1B" w14:paraId="32FC6227" w14:textId="77777777" w:rsidTr="00257369">
        <w:tblPrEx>
          <w:tblCellMar>
            <w:top w:w="50" w:type="dxa"/>
            <w:left w:w="39" w:type="dxa"/>
            <w:right w:w="58" w:type="dxa"/>
          </w:tblCellMar>
        </w:tblPrEx>
        <w:trPr>
          <w:trHeight w:val="410"/>
        </w:trPr>
        <w:tc>
          <w:tcPr>
            <w:tcW w:w="1337" w:type="dxa"/>
            <w:tcBorders>
              <w:top w:val="single" w:sz="2" w:space="0" w:color="000000"/>
              <w:left w:val="single" w:sz="2" w:space="0" w:color="000000"/>
              <w:bottom w:val="single" w:sz="2" w:space="0" w:color="000000"/>
              <w:right w:val="single" w:sz="2" w:space="0" w:color="000000"/>
            </w:tcBorders>
            <w:vAlign w:val="center"/>
          </w:tcPr>
          <w:p w14:paraId="52D16FC4"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MDD</w:t>
            </w:r>
          </w:p>
        </w:tc>
        <w:tc>
          <w:tcPr>
            <w:tcW w:w="8419" w:type="dxa"/>
            <w:gridSpan w:val="3"/>
            <w:tcBorders>
              <w:top w:val="single" w:sz="2" w:space="0" w:color="000000"/>
              <w:left w:val="single" w:sz="2" w:space="0" w:color="000000"/>
              <w:bottom w:val="single" w:sz="2" w:space="0" w:color="000000"/>
              <w:right w:val="single" w:sz="2" w:space="0" w:color="000000"/>
            </w:tcBorders>
          </w:tcPr>
          <w:p w14:paraId="47B983A6"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Miejsce Dostarczania Energii Rynku Detalicznego.</w:t>
            </w:r>
          </w:p>
        </w:tc>
      </w:tr>
      <w:tr w:rsidR="00A938A5" w:rsidRPr="00AE3F1B" w14:paraId="7EA9D759" w14:textId="77777777" w:rsidTr="00257369">
        <w:tblPrEx>
          <w:tblCellMar>
            <w:top w:w="50" w:type="dxa"/>
            <w:left w:w="39" w:type="dxa"/>
            <w:right w:w="58" w:type="dxa"/>
          </w:tblCellMar>
        </w:tblPrEx>
        <w:trPr>
          <w:trHeight w:val="407"/>
        </w:trPr>
        <w:tc>
          <w:tcPr>
            <w:tcW w:w="1337" w:type="dxa"/>
            <w:tcBorders>
              <w:top w:val="single" w:sz="2" w:space="0" w:color="000000"/>
              <w:left w:val="single" w:sz="2" w:space="0" w:color="000000"/>
              <w:bottom w:val="single" w:sz="2" w:space="0" w:color="000000"/>
              <w:right w:val="single" w:sz="2" w:space="0" w:color="000000"/>
            </w:tcBorders>
            <w:vAlign w:val="center"/>
          </w:tcPr>
          <w:p w14:paraId="174E4CC2" w14:textId="7E42878E" w:rsidR="00A938A5" w:rsidRPr="00AE3F1B" w:rsidRDefault="00D356CE" w:rsidP="00175586">
            <w:pPr>
              <w:spacing w:line="259" w:lineRule="auto"/>
              <w:ind w:left="567" w:right="-3" w:hanging="567"/>
              <w:jc w:val="left"/>
              <w:rPr>
                <w:rFonts w:ascii="Garamond" w:hAnsi="Garamond"/>
                <w:sz w:val="24"/>
                <w:szCs w:val="24"/>
              </w:rPr>
            </w:pPr>
            <w:r>
              <w:rPr>
                <w:rFonts w:ascii="Garamond" w:hAnsi="Garamond"/>
                <w:sz w:val="24"/>
                <w:szCs w:val="24"/>
              </w:rPr>
              <w:t>F</w:t>
            </w:r>
            <w:r w:rsidR="00A938A5" w:rsidRPr="00AE3F1B">
              <w:rPr>
                <w:rFonts w:ascii="Garamond" w:hAnsi="Garamond"/>
                <w:sz w:val="24"/>
                <w:szCs w:val="24"/>
              </w:rPr>
              <w:t>MDD</w:t>
            </w:r>
          </w:p>
        </w:tc>
        <w:tc>
          <w:tcPr>
            <w:tcW w:w="8419" w:type="dxa"/>
            <w:gridSpan w:val="3"/>
            <w:tcBorders>
              <w:top w:val="single" w:sz="2" w:space="0" w:color="000000"/>
              <w:left w:val="single" w:sz="2" w:space="0" w:color="000000"/>
              <w:bottom w:val="single" w:sz="2" w:space="0" w:color="000000"/>
              <w:right w:val="single" w:sz="2" w:space="0" w:color="000000"/>
            </w:tcBorders>
          </w:tcPr>
          <w:p w14:paraId="31E3791B"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Fizyczne Grafikowe Miejsce Dostarczania Energii Rynku Detalicznego.</w:t>
            </w:r>
          </w:p>
        </w:tc>
      </w:tr>
      <w:tr w:rsidR="00A938A5" w:rsidRPr="00AE3F1B" w14:paraId="700A27A9" w14:textId="77777777" w:rsidTr="00257369">
        <w:tblPrEx>
          <w:tblCellMar>
            <w:top w:w="50" w:type="dxa"/>
            <w:left w:w="39" w:type="dxa"/>
            <w:right w:w="58" w:type="dxa"/>
          </w:tblCellMar>
        </w:tblPrEx>
        <w:trPr>
          <w:trHeight w:val="406"/>
        </w:trPr>
        <w:tc>
          <w:tcPr>
            <w:tcW w:w="1337" w:type="dxa"/>
            <w:tcBorders>
              <w:top w:val="single" w:sz="2" w:space="0" w:color="000000"/>
              <w:left w:val="single" w:sz="2" w:space="0" w:color="000000"/>
              <w:bottom w:val="single" w:sz="2" w:space="0" w:color="000000"/>
              <w:right w:val="single" w:sz="2" w:space="0" w:color="000000"/>
            </w:tcBorders>
            <w:vAlign w:val="center"/>
          </w:tcPr>
          <w:p w14:paraId="54B769AA" w14:textId="03807E9F" w:rsidR="00A938A5" w:rsidRPr="00AE3F1B" w:rsidRDefault="00D356CE" w:rsidP="00175586">
            <w:pPr>
              <w:spacing w:line="259" w:lineRule="auto"/>
              <w:ind w:left="567" w:right="-3" w:hanging="567"/>
              <w:jc w:val="left"/>
              <w:rPr>
                <w:rFonts w:ascii="Garamond" w:hAnsi="Garamond"/>
                <w:sz w:val="24"/>
                <w:szCs w:val="24"/>
              </w:rPr>
            </w:pPr>
            <w:r>
              <w:rPr>
                <w:rFonts w:ascii="Garamond" w:hAnsi="Garamond"/>
                <w:sz w:val="24"/>
                <w:szCs w:val="24"/>
              </w:rPr>
              <w:t>P</w:t>
            </w:r>
            <w:r w:rsidR="00A938A5" w:rsidRPr="00AE3F1B">
              <w:rPr>
                <w:rFonts w:ascii="Garamond" w:hAnsi="Garamond"/>
                <w:sz w:val="24"/>
                <w:szCs w:val="24"/>
              </w:rPr>
              <w:t>MDD</w:t>
            </w:r>
          </w:p>
        </w:tc>
        <w:tc>
          <w:tcPr>
            <w:tcW w:w="8419" w:type="dxa"/>
            <w:gridSpan w:val="3"/>
            <w:tcBorders>
              <w:top w:val="single" w:sz="2" w:space="0" w:color="000000"/>
              <w:left w:val="single" w:sz="2" w:space="0" w:color="000000"/>
              <w:bottom w:val="single" w:sz="2" w:space="0" w:color="000000"/>
              <w:right w:val="single" w:sz="2" w:space="0" w:color="000000"/>
            </w:tcBorders>
          </w:tcPr>
          <w:p w14:paraId="1B5D942C" w14:textId="075DE11D"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 xml:space="preserve">Fizyczne Profilowe Miejsce Dostarczania Energii Rynku </w:t>
            </w:r>
            <w:r w:rsidR="00257369" w:rsidRPr="00AE3F1B">
              <w:rPr>
                <w:rFonts w:ascii="Garamond" w:hAnsi="Garamond"/>
                <w:sz w:val="24"/>
                <w:szCs w:val="24"/>
              </w:rPr>
              <w:t>Detalicznego.</w:t>
            </w:r>
          </w:p>
        </w:tc>
      </w:tr>
      <w:tr w:rsidR="00A938A5" w:rsidRPr="00AE3F1B" w14:paraId="5201CA45" w14:textId="77777777" w:rsidTr="00257369">
        <w:tblPrEx>
          <w:tblCellMar>
            <w:top w:w="50" w:type="dxa"/>
            <w:left w:w="39" w:type="dxa"/>
            <w:right w:w="58" w:type="dxa"/>
          </w:tblCellMar>
        </w:tblPrEx>
        <w:trPr>
          <w:trHeight w:val="576"/>
        </w:trPr>
        <w:tc>
          <w:tcPr>
            <w:tcW w:w="1337" w:type="dxa"/>
            <w:tcBorders>
              <w:top w:val="single" w:sz="2" w:space="0" w:color="000000"/>
              <w:left w:val="single" w:sz="2" w:space="0" w:color="000000"/>
              <w:bottom w:val="single" w:sz="2" w:space="0" w:color="000000"/>
              <w:right w:val="single" w:sz="2" w:space="0" w:color="000000"/>
            </w:tcBorders>
            <w:vAlign w:val="center"/>
          </w:tcPr>
          <w:p w14:paraId="50A069C4" w14:textId="77777777" w:rsidR="00A938A5" w:rsidRPr="00AE3F1B" w:rsidRDefault="00A938A5" w:rsidP="00175586">
            <w:pPr>
              <w:spacing w:line="259" w:lineRule="auto"/>
              <w:ind w:left="567" w:right="-3" w:hanging="567"/>
              <w:jc w:val="left"/>
              <w:rPr>
                <w:rFonts w:ascii="Garamond" w:hAnsi="Garamond"/>
                <w:sz w:val="24"/>
                <w:szCs w:val="24"/>
              </w:rPr>
            </w:pPr>
            <w:proofErr w:type="spellStart"/>
            <w:r w:rsidRPr="00AE3F1B">
              <w:rPr>
                <w:rFonts w:ascii="Garamond" w:hAnsi="Garamond"/>
                <w:sz w:val="24"/>
                <w:szCs w:val="24"/>
              </w:rPr>
              <w:t>nJWCD</w:t>
            </w:r>
            <w:proofErr w:type="spellEnd"/>
          </w:p>
        </w:tc>
        <w:tc>
          <w:tcPr>
            <w:tcW w:w="8419" w:type="dxa"/>
            <w:gridSpan w:val="3"/>
            <w:tcBorders>
              <w:top w:val="single" w:sz="2" w:space="0" w:color="000000"/>
              <w:left w:val="single" w:sz="2" w:space="0" w:color="000000"/>
              <w:bottom w:val="single" w:sz="2" w:space="0" w:color="000000"/>
              <w:right w:val="single" w:sz="2" w:space="0" w:color="000000"/>
            </w:tcBorders>
          </w:tcPr>
          <w:p w14:paraId="35066948" w14:textId="77777777" w:rsidR="00A938A5" w:rsidRPr="00AE3F1B" w:rsidRDefault="00A938A5" w:rsidP="006316A5">
            <w:pPr>
              <w:spacing w:line="259" w:lineRule="auto"/>
              <w:ind w:right="-3"/>
              <w:jc w:val="left"/>
              <w:rPr>
                <w:rFonts w:ascii="Garamond" w:hAnsi="Garamond"/>
                <w:sz w:val="24"/>
                <w:szCs w:val="24"/>
              </w:rPr>
            </w:pPr>
            <w:r w:rsidRPr="00AE3F1B">
              <w:rPr>
                <w:rFonts w:ascii="Garamond" w:hAnsi="Garamond"/>
                <w:sz w:val="24"/>
                <w:szCs w:val="24"/>
              </w:rPr>
              <w:t>Jednostka wytwórcza przyłączona do koordynowanej sieci 110kV podlegająca centralnemu dysponowaniu przez OSP.</w:t>
            </w:r>
          </w:p>
        </w:tc>
      </w:tr>
      <w:tr w:rsidR="00A938A5" w:rsidRPr="00AE3F1B" w14:paraId="2B7BB407" w14:textId="77777777" w:rsidTr="00257369">
        <w:tblPrEx>
          <w:tblCellMar>
            <w:top w:w="50" w:type="dxa"/>
            <w:left w:w="39" w:type="dxa"/>
            <w:right w:w="58" w:type="dxa"/>
          </w:tblCellMar>
        </w:tblPrEx>
        <w:trPr>
          <w:trHeight w:val="410"/>
        </w:trPr>
        <w:tc>
          <w:tcPr>
            <w:tcW w:w="1337" w:type="dxa"/>
            <w:tcBorders>
              <w:top w:val="single" w:sz="2" w:space="0" w:color="000000"/>
              <w:left w:val="single" w:sz="2" w:space="0" w:color="000000"/>
              <w:bottom w:val="single" w:sz="2" w:space="0" w:color="000000"/>
              <w:right w:val="single" w:sz="2" w:space="0" w:color="000000"/>
            </w:tcBorders>
            <w:vAlign w:val="center"/>
          </w:tcPr>
          <w:p w14:paraId="29B98E1D"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nN</w:t>
            </w:r>
          </w:p>
        </w:tc>
        <w:tc>
          <w:tcPr>
            <w:tcW w:w="8419" w:type="dxa"/>
            <w:gridSpan w:val="3"/>
            <w:tcBorders>
              <w:top w:val="single" w:sz="2" w:space="0" w:color="000000"/>
              <w:left w:val="single" w:sz="2" w:space="0" w:color="000000"/>
              <w:bottom w:val="single" w:sz="2" w:space="0" w:color="000000"/>
              <w:right w:val="single" w:sz="2" w:space="0" w:color="000000"/>
            </w:tcBorders>
          </w:tcPr>
          <w:p w14:paraId="4E8DA83B"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Niskie napięcie.</w:t>
            </w:r>
          </w:p>
        </w:tc>
      </w:tr>
      <w:tr w:rsidR="00A938A5" w:rsidRPr="00AE3F1B" w14:paraId="6E2A9BC5" w14:textId="77777777" w:rsidTr="00257369">
        <w:tblPrEx>
          <w:tblCellMar>
            <w:top w:w="50" w:type="dxa"/>
            <w:left w:w="39" w:type="dxa"/>
            <w:right w:w="58" w:type="dxa"/>
          </w:tblCellMar>
        </w:tblPrEx>
        <w:trPr>
          <w:trHeight w:val="410"/>
        </w:trPr>
        <w:tc>
          <w:tcPr>
            <w:tcW w:w="1337" w:type="dxa"/>
            <w:tcBorders>
              <w:top w:val="single" w:sz="2" w:space="0" w:color="000000"/>
              <w:left w:val="single" w:sz="2" w:space="0" w:color="000000"/>
              <w:bottom w:val="single" w:sz="2" w:space="0" w:color="000000"/>
              <w:right w:val="single" w:sz="2" w:space="0" w:color="000000"/>
            </w:tcBorders>
            <w:vAlign w:val="center"/>
          </w:tcPr>
          <w:p w14:paraId="43B64D28"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OH</w:t>
            </w:r>
          </w:p>
        </w:tc>
        <w:tc>
          <w:tcPr>
            <w:tcW w:w="8419" w:type="dxa"/>
            <w:gridSpan w:val="3"/>
            <w:tcBorders>
              <w:top w:val="single" w:sz="2" w:space="0" w:color="000000"/>
              <w:left w:val="single" w:sz="2" w:space="0" w:color="000000"/>
              <w:bottom w:val="single" w:sz="2" w:space="0" w:color="000000"/>
              <w:right w:val="single" w:sz="2" w:space="0" w:color="000000"/>
            </w:tcBorders>
          </w:tcPr>
          <w:p w14:paraId="43BABE7D"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Operator handlowy.</w:t>
            </w:r>
          </w:p>
        </w:tc>
      </w:tr>
      <w:tr w:rsidR="00A938A5" w:rsidRPr="00AE3F1B" w14:paraId="53255537" w14:textId="77777777" w:rsidTr="00257369">
        <w:tblPrEx>
          <w:tblCellMar>
            <w:top w:w="50" w:type="dxa"/>
            <w:left w:w="39" w:type="dxa"/>
            <w:right w:w="58" w:type="dxa"/>
          </w:tblCellMar>
        </w:tblPrEx>
        <w:trPr>
          <w:trHeight w:val="403"/>
        </w:trPr>
        <w:tc>
          <w:tcPr>
            <w:tcW w:w="1337" w:type="dxa"/>
            <w:tcBorders>
              <w:top w:val="single" w:sz="2" w:space="0" w:color="000000"/>
              <w:left w:val="single" w:sz="2" w:space="0" w:color="000000"/>
              <w:bottom w:val="single" w:sz="2" w:space="0" w:color="000000"/>
              <w:right w:val="single" w:sz="2" w:space="0" w:color="000000"/>
            </w:tcBorders>
            <w:vAlign w:val="center"/>
          </w:tcPr>
          <w:p w14:paraId="73A6D704"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OHT</w:t>
            </w:r>
          </w:p>
        </w:tc>
        <w:tc>
          <w:tcPr>
            <w:tcW w:w="8419" w:type="dxa"/>
            <w:gridSpan w:val="3"/>
            <w:tcBorders>
              <w:top w:val="single" w:sz="2" w:space="0" w:color="000000"/>
              <w:left w:val="single" w:sz="2" w:space="0" w:color="000000"/>
              <w:bottom w:val="single" w:sz="2" w:space="0" w:color="000000"/>
              <w:right w:val="single" w:sz="2" w:space="0" w:color="000000"/>
            </w:tcBorders>
          </w:tcPr>
          <w:p w14:paraId="6293976E"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Operator handlowo-techniczny.</w:t>
            </w:r>
          </w:p>
        </w:tc>
      </w:tr>
      <w:tr w:rsidR="00A938A5" w:rsidRPr="00AE3F1B" w14:paraId="1BDE9A27" w14:textId="77777777" w:rsidTr="00257369">
        <w:tblPrEx>
          <w:tblCellMar>
            <w:top w:w="50" w:type="dxa"/>
            <w:left w:w="39" w:type="dxa"/>
            <w:right w:w="58" w:type="dxa"/>
          </w:tblCellMar>
        </w:tblPrEx>
        <w:trPr>
          <w:trHeight w:val="410"/>
        </w:trPr>
        <w:tc>
          <w:tcPr>
            <w:tcW w:w="1337" w:type="dxa"/>
            <w:tcBorders>
              <w:top w:val="single" w:sz="2" w:space="0" w:color="000000"/>
              <w:left w:val="single" w:sz="2" w:space="0" w:color="000000"/>
              <w:bottom w:val="single" w:sz="2" w:space="0" w:color="000000"/>
              <w:right w:val="single" w:sz="2" w:space="0" w:color="000000"/>
            </w:tcBorders>
            <w:vAlign w:val="center"/>
          </w:tcPr>
          <w:p w14:paraId="5A42FB4A"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OOSŁ</w:t>
            </w:r>
          </w:p>
        </w:tc>
        <w:tc>
          <w:tcPr>
            <w:tcW w:w="8419" w:type="dxa"/>
            <w:gridSpan w:val="3"/>
            <w:tcBorders>
              <w:top w:val="single" w:sz="2" w:space="0" w:color="000000"/>
              <w:left w:val="single" w:sz="2" w:space="0" w:color="000000"/>
              <w:bottom w:val="single" w:sz="2" w:space="0" w:color="000000"/>
              <w:right w:val="single" w:sz="2" w:space="0" w:color="000000"/>
            </w:tcBorders>
          </w:tcPr>
          <w:p w14:paraId="56AF3DB1"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Operator ogólnodostępnej stacji ładowania.</w:t>
            </w:r>
          </w:p>
        </w:tc>
      </w:tr>
      <w:tr w:rsidR="00A938A5" w:rsidRPr="00AE3F1B" w14:paraId="62012754" w14:textId="77777777" w:rsidTr="00257369">
        <w:tblPrEx>
          <w:tblCellMar>
            <w:top w:w="50" w:type="dxa"/>
            <w:left w:w="39" w:type="dxa"/>
            <w:right w:w="58" w:type="dxa"/>
          </w:tblCellMar>
        </w:tblPrEx>
        <w:trPr>
          <w:trHeight w:val="547"/>
        </w:trPr>
        <w:tc>
          <w:tcPr>
            <w:tcW w:w="1337" w:type="dxa"/>
            <w:tcBorders>
              <w:top w:val="single" w:sz="2" w:space="0" w:color="000000"/>
              <w:left w:val="single" w:sz="2" w:space="0" w:color="000000"/>
              <w:bottom w:val="single" w:sz="2" w:space="0" w:color="000000"/>
              <w:right w:val="single" w:sz="2" w:space="0" w:color="000000"/>
            </w:tcBorders>
            <w:vAlign w:val="center"/>
          </w:tcPr>
          <w:p w14:paraId="45CC7E65" w14:textId="77777777" w:rsidR="00A938A5" w:rsidRPr="00AE3F1B" w:rsidRDefault="00A938A5" w:rsidP="00175586">
            <w:pPr>
              <w:spacing w:line="259" w:lineRule="auto"/>
              <w:ind w:left="567" w:right="-3" w:hanging="567"/>
              <w:jc w:val="left"/>
              <w:rPr>
                <w:rFonts w:ascii="Garamond" w:hAnsi="Garamond"/>
                <w:sz w:val="24"/>
                <w:szCs w:val="24"/>
              </w:rPr>
            </w:pPr>
            <w:proofErr w:type="spellStart"/>
            <w:r w:rsidRPr="00AE3F1B">
              <w:rPr>
                <w:rFonts w:ascii="Garamond" w:hAnsi="Garamond"/>
                <w:sz w:val="24"/>
                <w:szCs w:val="24"/>
              </w:rPr>
              <w:t>ORed</w:t>
            </w:r>
            <w:proofErr w:type="spellEnd"/>
          </w:p>
        </w:tc>
        <w:tc>
          <w:tcPr>
            <w:tcW w:w="8419" w:type="dxa"/>
            <w:gridSpan w:val="3"/>
            <w:tcBorders>
              <w:top w:val="single" w:sz="2" w:space="0" w:color="000000"/>
              <w:left w:val="single" w:sz="2" w:space="0" w:color="000000"/>
              <w:bottom w:val="single" w:sz="2" w:space="0" w:color="000000"/>
              <w:right w:val="single" w:sz="2" w:space="0" w:color="000000"/>
            </w:tcBorders>
          </w:tcPr>
          <w:p w14:paraId="5119B352" w14:textId="77777777" w:rsidR="00A938A5" w:rsidRPr="00AE3F1B" w:rsidRDefault="00A938A5" w:rsidP="006316A5">
            <w:pPr>
              <w:spacing w:line="259" w:lineRule="auto"/>
              <w:ind w:right="-3"/>
              <w:jc w:val="left"/>
              <w:rPr>
                <w:rFonts w:ascii="Garamond" w:hAnsi="Garamond"/>
                <w:sz w:val="24"/>
                <w:szCs w:val="24"/>
              </w:rPr>
            </w:pPr>
            <w:r w:rsidRPr="00AE3F1B">
              <w:rPr>
                <w:rFonts w:ascii="Garamond" w:hAnsi="Garamond"/>
                <w:sz w:val="24"/>
                <w:szCs w:val="24"/>
              </w:rPr>
              <w:t>Certyfikowany Obiekt Redukcji uczestniczący w świadczeniu usługi redukcji zapotrzebowania na polecenie OSP.</w:t>
            </w:r>
          </w:p>
        </w:tc>
      </w:tr>
      <w:tr w:rsidR="00A938A5" w:rsidRPr="00AE3F1B" w14:paraId="47160FD3" w14:textId="77777777" w:rsidTr="00257369">
        <w:tblPrEx>
          <w:tblCellMar>
            <w:top w:w="50" w:type="dxa"/>
            <w:left w:w="39" w:type="dxa"/>
            <w:right w:w="58" w:type="dxa"/>
          </w:tblCellMar>
        </w:tblPrEx>
        <w:trPr>
          <w:trHeight w:val="407"/>
        </w:trPr>
        <w:tc>
          <w:tcPr>
            <w:tcW w:w="1337" w:type="dxa"/>
            <w:tcBorders>
              <w:top w:val="single" w:sz="2" w:space="0" w:color="000000"/>
              <w:left w:val="single" w:sz="2" w:space="0" w:color="000000"/>
              <w:bottom w:val="single" w:sz="2" w:space="0" w:color="000000"/>
              <w:right w:val="single" w:sz="2" w:space="0" w:color="000000"/>
            </w:tcBorders>
            <w:vAlign w:val="center"/>
          </w:tcPr>
          <w:p w14:paraId="614EB9D9"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OSD</w:t>
            </w:r>
          </w:p>
        </w:tc>
        <w:tc>
          <w:tcPr>
            <w:tcW w:w="8419" w:type="dxa"/>
            <w:gridSpan w:val="3"/>
            <w:tcBorders>
              <w:top w:val="single" w:sz="2" w:space="0" w:color="000000"/>
              <w:left w:val="single" w:sz="2" w:space="0" w:color="000000"/>
              <w:bottom w:val="single" w:sz="2" w:space="0" w:color="000000"/>
              <w:right w:val="single" w:sz="2" w:space="0" w:color="000000"/>
            </w:tcBorders>
          </w:tcPr>
          <w:p w14:paraId="243CAF19"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Operator systemu dystrybucyjnego.</w:t>
            </w:r>
          </w:p>
        </w:tc>
      </w:tr>
      <w:tr w:rsidR="00A938A5" w:rsidRPr="00AE3F1B" w14:paraId="7AA6FB2B" w14:textId="77777777" w:rsidTr="00257369">
        <w:tblPrEx>
          <w:tblCellMar>
            <w:top w:w="50" w:type="dxa"/>
            <w:left w:w="39" w:type="dxa"/>
            <w:right w:w="58" w:type="dxa"/>
          </w:tblCellMar>
        </w:tblPrEx>
        <w:trPr>
          <w:trHeight w:val="578"/>
        </w:trPr>
        <w:tc>
          <w:tcPr>
            <w:tcW w:w="1337" w:type="dxa"/>
            <w:tcBorders>
              <w:top w:val="single" w:sz="2" w:space="0" w:color="000000"/>
              <w:left w:val="single" w:sz="2" w:space="0" w:color="000000"/>
              <w:bottom w:val="single" w:sz="2" w:space="0" w:color="000000"/>
              <w:right w:val="single" w:sz="2" w:space="0" w:color="000000"/>
            </w:tcBorders>
            <w:vAlign w:val="center"/>
          </w:tcPr>
          <w:p w14:paraId="3469DEE8"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OSDp</w:t>
            </w:r>
          </w:p>
        </w:tc>
        <w:tc>
          <w:tcPr>
            <w:tcW w:w="8419" w:type="dxa"/>
            <w:gridSpan w:val="3"/>
            <w:tcBorders>
              <w:top w:val="single" w:sz="2" w:space="0" w:color="000000"/>
              <w:left w:val="single" w:sz="2" w:space="0" w:color="000000"/>
              <w:bottom w:val="single" w:sz="2" w:space="0" w:color="000000"/>
              <w:right w:val="single" w:sz="2" w:space="0" w:color="000000"/>
            </w:tcBorders>
          </w:tcPr>
          <w:p w14:paraId="5C99282C" w14:textId="77777777" w:rsidR="00A938A5" w:rsidRPr="00AE3F1B" w:rsidRDefault="00A938A5" w:rsidP="006316A5">
            <w:pPr>
              <w:spacing w:line="259" w:lineRule="auto"/>
              <w:ind w:left="59" w:right="-3" w:hanging="59"/>
              <w:jc w:val="left"/>
              <w:rPr>
                <w:rFonts w:ascii="Garamond" w:hAnsi="Garamond"/>
                <w:sz w:val="24"/>
                <w:szCs w:val="24"/>
              </w:rPr>
            </w:pPr>
            <w:r w:rsidRPr="00AE3F1B">
              <w:rPr>
                <w:rFonts w:ascii="Garamond" w:hAnsi="Garamond"/>
                <w:sz w:val="24"/>
                <w:szCs w:val="24"/>
              </w:rPr>
              <w:t>Operator systemu dystrybucyjnego którego sieć dystrybucyjna posiada bezpośrednie połączenie z siecią przesyłową.</w:t>
            </w:r>
          </w:p>
        </w:tc>
      </w:tr>
      <w:tr w:rsidR="00A938A5" w:rsidRPr="00AE3F1B" w14:paraId="36E39872" w14:textId="77777777" w:rsidTr="00257369">
        <w:tblPrEx>
          <w:tblCellMar>
            <w:top w:w="50" w:type="dxa"/>
            <w:left w:w="39" w:type="dxa"/>
            <w:right w:w="58" w:type="dxa"/>
          </w:tblCellMar>
        </w:tblPrEx>
        <w:trPr>
          <w:trHeight w:val="576"/>
        </w:trPr>
        <w:tc>
          <w:tcPr>
            <w:tcW w:w="1337" w:type="dxa"/>
            <w:tcBorders>
              <w:top w:val="single" w:sz="2" w:space="0" w:color="000000"/>
              <w:left w:val="single" w:sz="2" w:space="0" w:color="000000"/>
              <w:bottom w:val="single" w:sz="2" w:space="0" w:color="000000"/>
              <w:right w:val="single" w:sz="2" w:space="0" w:color="000000"/>
            </w:tcBorders>
            <w:vAlign w:val="center"/>
          </w:tcPr>
          <w:p w14:paraId="72FEA2FE"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OSDn</w:t>
            </w:r>
          </w:p>
        </w:tc>
        <w:tc>
          <w:tcPr>
            <w:tcW w:w="8419" w:type="dxa"/>
            <w:gridSpan w:val="3"/>
            <w:tcBorders>
              <w:top w:val="single" w:sz="2" w:space="0" w:color="000000"/>
              <w:left w:val="single" w:sz="2" w:space="0" w:color="000000"/>
              <w:bottom w:val="single" w:sz="2" w:space="0" w:color="000000"/>
              <w:right w:val="single" w:sz="2" w:space="0" w:color="000000"/>
            </w:tcBorders>
          </w:tcPr>
          <w:p w14:paraId="2DBFEC93" w14:textId="77777777" w:rsidR="00A938A5" w:rsidRPr="00AE3F1B" w:rsidRDefault="00A938A5" w:rsidP="006316A5">
            <w:pPr>
              <w:spacing w:line="259" w:lineRule="auto"/>
              <w:ind w:right="-3"/>
              <w:jc w:val="left"/>
              <w:rPr>
                <w:rFonts w:ascii="Garamond" w:hAnsi="Garamond"/>
                <w:sz w:val="24"/>
                <w:szCs w:val="24"/>
              </w:rPr>
            </w:pPr>
            <w:r w:rsidRPr="00AE3F1B">
              <w:rPr>
                <w:rFonts w:ascii="Garamond" w:hAnsi="Garamond"/>
                <w:sz w:val="24"/>
                <w:szCs w:val="24"/>
              </w:rPr>
              <w:t>Operator systemu dystrybucyjnego</w:t>
            </w:r>
            <w:r w:rsidR="007C22B1" w:rsidRPr="00AE3F1B">
              <w:rPr>
                <w:rFonts w:ascii="Garamond" w:hAnsi="Garamond"/>
                <w:sz w:val="24"/>
                <w:szCs w:val="24"/>
              </w:rPr>
              <w:t>,</w:t>
            </w:r>
            <w:r w:rsidRPr="00AE3F1B">
              <w:rPr>
                <w:rFonts w:ascii="Garamond" w:hAnsi="Garamond"/>
                <w:sz w:val="24"/>
                <w:szCs w:val="24"/>
              </w:rPr>
              <w:t xml:space="preserve"> którego sieć dystrybucyjna nie posiada bezpośredniego połączenia z siecią przesyłową w tym ID Sp. z o.o.</w:t>
            </w:r>
          </w:p>
        </w:tc>
      </w:tr>
      <w:tr w:rsidR="00A938A5" w:rsidRPr="00AE3F1B" w14:paraId="6A7DB0D5" w14:textId="77777777" w:rsidTr="00257369">
        <w:tblPrEx>
          <w:tblCellMar>
            <w:top w:w="50" w:type="dxa"/>
            <w:left w:w="39" w:type="dxa"/>
            <w:right w:w="58" w:type="dxa"/>
          </w:tblCellMar>
        </w:tblPrEx>
        <w:trPr>
          <w:trHeight w:val="403"/>
        </w:trPr>
        <w:tc>
          <w:tcPr>
            <w:tcW w:w="1337" w:type="dxa"/>
            <w:tcBorders>
              <w:top w:val="single" w:sz="2" w:space="0" w:color="000000"/>
              <w:left w:val="single" w:sz="2" w:space="0" w:color="000000"/>
              <w:bottom w:val="single" w:sz="2" w:space="0" w:color="000000"/>
              <w:right w:val="single" w:sz="2" w:space="0" w:color="000000"/>
            </w:tcBorders>
            <w:vAlign w:val="center"/>
          </w:tcPr>
          <w:p w14:paraId="545C2D79"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OSP</w:t>
            </w:r>
          </w:p>
        </w:tc>
        <w:tc>
          <w:tcPr>
            <w:tcW w:w="8419" w:type="dxa"/>
            <w:gridSpan w:val="3"/>
            <w:tcBorders>
              <w:top w:val="single" w:sz="2" w:space="0" w:color="000000"/>
              <w:left w:val="single" w:sz="2" w:space="0" w:color="000000"/>
              <w:bottom w:val="single" w:sz="2" w:space="0" w:color="000000"/>
              <w:right w:val="single" w:sz="2" w:space="0" w:color="000000"/>
            </w:tcBorders>
          </w:tcPr>
          <w:p w14:paraId="6F494F8C"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Operator systemu przesyłowego.</w:t>
            </w:r>
          </w:p>
        </w:tc>
      </w:tr>
      <w:tr w:rsidR="00A938A5" w:rsidRPr="00AE3F1B" w14:paraId="4BD5B991" w14:textId="77777777" w:rsidTr="00257369">
        <w:tblPrEx>
          <w:tblCellMar>
            <w:top w:w="50" w:type="dxa"/>
            <w:left w:w="39" w:type="dxa"/>
            <w:right w:w="58" w:type="dxa"/>
          </w:tblCellMar>
        </w:tblPrEx>
        <w:trPr>
          <w:trHeight w:val="410"/>
        </w:trPr>
        <w:tc>
          <w:tcPr>
            <w:tcW w:w="1337" w:type="dxa"/>
            <w:tcBorders>
              <w:top w:val="single" w:sz="2" w:space="0" w:color="000000"/>
              <w:left w:val="single" w:sz="2" w:space="0" w:color="000000"/>
              <w:bottom w:val="single" w:sz="2" w:space="0" w:color="000000"/>
              <w:right w:val="single" w:sz="2" w:space="0" w:color="000000"/>
            </w:tcBorders>
            <w:vAlign w:val="center"/>
          </w:tcPr>
          <w:p w14:paraId="72F5C8B2"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PCC</w:t>
            </w:r>
          </w:p>
        </w:tc>
        <w:tc>
          <w:tcPr>
            <w:tcW w:w="8419" w:type="dxa"/>
            <w:gridSpan w:val="3"/>
            <w:tcBorders>
              <w:top w:val="single" w:sz="2" w:space="0" w:color="000000"/>
              <w:left w:val="single" w:sz="2" w:space="0" w:color="000000"/>
              <w:bottom w:val="single" w:sz="2" w:space="0" w:color="000000"/>
              <w:right w:val="single" w:sz="2" w:space="0" w:color="000000"/>
            </w:tcBorders>
          </w:tcPr>
          <w:p w14:paraId="5A215564"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Punkt przyłączenia źródła energii elektrycznej.</w:t>
            </w:r>
          </w:p>
        </w:tc>
      </w:tr>
      <w:tr w:rsidR="00A938A5" w:rsidRPr="00AE3F1B" w14:paraId="2E6E6DEE" w14:textId="77777777" w:rsidTr="00257369">
        <w:tblPrEx>
          <w:tblCellMar>
            <w:top w:w="50" w:type="dxa"/>
            <w:left w:w="39" w:type="dxa"/>
            <w:right w:w="58" w:type="dxa"/>
          </w:tblCellMar>
        </w:tblPrEx>
        <w:trPr>
          <w:trHeight w:val="403"/>
        </w:trPr>
        <w:tc>
          <w:tcPr>
            <w:tcW w:w="1337" w:type="dxa"/>
            <w:tcBorders>
              <w:top w:val="single" w:sz="2" w:space="0" w:color="000000"/>
              <w:left w:val="single" w:sz="2" w:space="0" w:color="000000"/>
              <w:bottom w:val="single" w:sz="2" w:space="0" w:color="000000"/>
              <w:right w:val="single" w:sz="2" w:space="0" w:color="000000"/>
            </w:tcBorders>
            <w:vAlign w:val="center"/>
          </w:tcPr>
          <w:p w14:paraId="613CBA27"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PDE</w:t>
            </w:r>
          </w:p>
        </w:tc>
        <w:tc>
          <w:tcPr>
            <w:tcW w:w="8419" w:type="dxa"/>
            <w:gridSpan w:val="3"/>
            <w:tcBorders>
              <w:top w:val="single" w:sz="2" w:space="0" w:color="000000"/>
              <w:left w:val="single" w:sz="2" w:space="0" w:color="000000"/>
              <w:bottom w:val="single" w:sz="2" w:space="0" w:color="000000"/>
              <w:right w:val="single" w:sz="2" w:space="0" w:color="000000"/>
            </w:tcBorders>
          </w:tcPr>
          <w:p w14:paraId="71BE5922"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Punkt Dostarczania Energii.</w:t>
            </w:r>
          </w:p>
        </w:tc>
      </w:tr>
      <w:tr w:rsidR="00A938A5" w:rsidRPr="00AE3F1B" w14:paraId="0873E064" w14:textId="77777777" w:rsidTr="00257369">
        <w:tblPrEx>
          <w:tblCellMar>
            <w:top w:w="50" w:type="dxa"/>
            <w:left w:w="39" w:type="dxa"/>
            <w:right w:w="58" w:type="dxa"/>
          </w:tblCellMar>
        </w:tblPrEx>
        <w:trPr>
          <w:trHeight w:val="407"/>
        </w:trPr>
        <w:tc>
          <w:tcPr>
            <w:tcW w:w="1337" w:type="dxa"/>
            <w:tcBorders>
              <w:top w:val="single" w:sz="2" w:space="0" w:color="000000"/>
              <w:left w:val="single" w:sz="2" w:space="0" w:color="000000"/>
              <w:bottom w:val="single" w:sz="2" w:space="0" w:color="000000"/>
              <w:right w:val="single" w:sz="2" w:space="0" w:color="000000"/>
            </w:tcBorders>
            <w:vAlign w:val="center"/>
          </w:tcPr>
          <w:p w14:paraId="5D7C119C"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PKD</w:t>
            </w:r>
          </w:p>
        </w:tc>
        <w:tc>
          <w:tcPr>
            <w:tcW w:w="8419" w:type="dxa"/>
            <w:gridSpan w:val="3"/>
            <w:tcBorders>
              <w:top w:val="single" w:sz="2" w:space="0" w:color="000000"/>
              <w:left w:val="single" w:sz="2" w:space="0" w:color="000000"/>
              <w:bottom w:val="single" w:sz="2" w:space="0" w:color="000000"/>
              <w:right w:val="single" w:sz="2" w:space="0" w:color="000000"/>
            </w:tcBorders>
          </w:tcPr>
          <w:p w14:paraId="7BBC78D1"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Plan koordynacyjny dobowy.</w:t>
            </w:r>
          </w:p>
        </w:tc>
      </w:tr>
      <w:tr w:rsidR="00A938A5" w:rsidRPr="00AE3F1B" w14:paraId="561345C6" w14:textId="77777777" w:rsidTr="00257369">
        <w:tblPrEx>
          <w:tblCellMar>
            <w:top w:w="50" w:type="dxa"/>
            <w:left w:w="39" w:type="dxa"/>
            <w:right w:w="58" w:type="dxa"/>
          </w:tblCellMar>
        </w:tblPrEx>
        <w:trPr>
          <w:trHeight w:val="406"/>
        </w:trPr>
        <w:tc>
          <w:tcPr>
            <w:tcW w:w="1337" w:type="dxa"/>
            <w:tcBorders>
              <w:top w:val="single" w:sz="2" w:space="0" w:color="000000"/>
              <w:left w:val="single" w:sz="2" w:space="0" w:color="000000"/>
              <w:bottom w:val="single" w:sz="2" w:space="0" w:color="000000"/>
              <w:right w:val="single" w:sz="2" w:space="0" w:color="000000"/>
            </w:tcBorders>
            <w:vAlign w:val="center"/>
          </w:tcPr>
          <w:p w14:paraId="6074168C"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PKM</w:t>
            </w:r>
          </w:p>
        </w:tc>
        <w:tc>
          <w:tcPr>
            <w:tcW w:w="8419" w:type="dxa"/>
            <w:gridSpan w:val="3"/>
            <w:tcBorders>
              <w:top w:val="single" w:sz="2" w:space="0" w:color="000000"/>
              <w:left w:val="single" w:sz="2" w:space="0" w:color="000000"/>
              <w:bottom w:val="single" w:sz="2" w:space="0" w:color="000000"/>
              <w:right w:val="single" w:sz="2" w:space="0" w:color="000000"/>
            </w:tcBorders>
          </w:tcPr>
          <w:p w14:paraId="6091D7DE"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Plan koordynacyjny miesięczny.</w:t>
            </w:r>
          </w:p>
        </w:tc>
      </w:tr>
      <w:tr w:rsidR="00A938A5" w:rsidRPr="00AE3F1B" w14:paraId="6461644B" w14:textId="77777777" w:rsidTr="00257369">
        <w:tblPrEx>
          <w:tblCellMar>
            <w:top w:w="50" w:type="dxa"/>
            <w:left w:w="39" w:type="dxa"/>
            <w:right w:w="58" w:type="dxa"/>
          </w:tblCellMar>
        </w:tblPrEx>
        <w:trPr>
          <w:trHeight w:val="410"/>
        </w:trPr>
        <w:tc>
          <w:tcPr>
            <w:tcW w:w="1337" w:type="dxa"/>
            <w:tcBorders>
              <w:top w:val="single" w:sz="2" w:space="0" w:color="000000"/>
              <w:left w:val="single" w:sz="2" w:space="0" w:color="000000"/>
              <w:bottom w:val="single" w:sz="2" w:space="0" w:color="000000"/>
              <w:right w:val="single" w:sz="2" w:space="0" w:color="000000"/>
            </w:tcBorders>
            <w:vAlign w:val="center"/>
          </w:tcPr>
          <w:p w14:paraId="3C68ACE0"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PKR</w:t>
            </w:r>
          </w:p>
        </w:tc>
        <w:tc>
          <w:tcPr>
            <w:tcW w:w="8419" w:type="dxa"/>
            <w:gridSpan w:val="3"/>
            <w:tcBorders>
              <w:top w:val="single" w:sz="2" w:space="0" w:color="000000"/>
              <w:left w:val="single" w:sz="2" w:space="0" w:color="000000"/>
              <w:bottom w:val="single" w:sz="2" w:space="0" w:color="000000"/>
              <w:right w:val="single" w:sz="2" w:space="0" w:color="000000"/>
            </w:tcBorders>
          </w:tcPr>
          <w:p w14:paraId="16BCCF17"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Plan koordynacyjny roczny.</w:t>
            </w:r>
          </w:p>
        </w:tc>
      </w:tr>
      <w:tr w:rsidR="00A938A5" w:rsidRPr="00AE3F1B" w14:paraId="05A54ECA" w14:textId="77777777" w:rsidTr="00257369">
        <w:tblPrEx>
          <w:tblCellMar>
            <w:top w:w="50" w:type="dxa"/>
            <w:left w:w="39" w:type="dxa"/>
            <w:right w:w="58" w:type="dxa"/>
          </w:tblCellMar>
        </w:tblPrEx>
        <w:trPr>
          <w:trHeight w:val="403"/>
        </w:trPr>
        <w:tc>
          <w:tcPr>
            <w:tcW w:w="1337" w:type="dxa"/>
            <w:tcBorders>
              <w:top w:val="single" w:sz="2" w:space="0" w:color="000000"/>
              <w:left w:val="single" w:sz="2" w:space="0" w:color="000000"/>
              <w:bottom w:val="single" w:sz="2" w:space="0" w:color="000000"/>
              <w:right w:val="single" w:sz="2" w:space="0" w:color="000000"/>
            </w:tcBorders>
            <w:vAlign w:val="center"/>
          </w:tcPr>
          <w:p w14:paraId="07518145"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lastRenderedPageBreak/>
              <w:t>POB</w:t>
            </w:r>
          </w:p>
        </w:tc>
        <w:tc>
          <w:tcPr>
            <w:tcW w:w="8419" w:type="dxa"/>
            <w:gridSpan w:val="3"/>
            <w:tcBorders>
              <w:top w:val="single" w:sz="2" w:space="0" w:color="000000"/>
              <w:left w:val="single" w:sz="2" w:space="0" w:color="000000"/>
              <w:bottom w:val="single" w:sz="2" w:space="0" w:color="000000"/>
              <w:right w:val="single" w:sz="2" w:space="0" w:color="000000"/>
            </w:tcBorders>
            <w:vAlign w:val="center"/>
          </w:tcPr>
          <w:p w14:paraId="5CD8D662"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Podmiot odpowiedzialny za bilansowanie handlowe.</w:t>
            </w:r>
          </w:p>
        </w:tc>
      </w:tr>
      <w:tr w:rsidR="00A938A5" w:rsidRPr="00AE3F1B" w14:paraId="03919CAF" w14:textId="77777777" w:rsidTr="00257369">
        <w:tblPrEx>
          <w:tblCellMar>
            <w:top w:w="50" w:type="dxa"/>
            <w:left w:w="39" w:type="dxa"/>
            <w:right w:w="58" w:type="dxa"/>
          </w:tblCellMar>
        </w:tblPrEx>
        <w:trPr>
          <w:trHeight w:val="407"/>
        </w:trPr>
        <w:tc>
          <w:tcPr>
            <w:tcW w:w="1337" w:type="dxa"/>
            <w:tcBorders>
              <w:top w:val="single" w:sz="2" w:space="0" w:color="000000"/>
              <w:left w:val="single" w:sz="2" w:space="0" w:color="000000"/>
              <w:bottom w:val="single" w:sz="2" w:space="0" w:color="000000"/>
              <w:right w:val="single" w:sz="2" w:space="0" w:color="000000"/>
            </w:tcBorders>
          </w:tcPr>
          <w:p w14:paraId="31CC3F0D"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PPE</w:t>
            </w:r>
          </w:p>
        </w:tc>
        <w:tc>
          <w:tcPr>
            <w:tcW w:w="8419" w:type="dxa"/>
            <w:gridSpan w:val="3"/>
            <w:tcBorders>
              <w:top w:val="single" w:sz="2" w:space="0" w:color="000000"/>
              <w:left w:val="single" w:sz="2" w:space="0" w:color="000000"/>
              <w:bottom w:val="single" w:sz="2" w:space="0" w:color="000000"/>
              <w:right w:val="single" w:sz="2" w:space="0" w:color="000000"/>
            </w:tcBorders>
            <w:vAlign w:val="center"/>
          </w:tcPr>
          <w:p w14:paraId="039B9AE3"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Punkt Poboru Energii.</w:t>
            </w:r>
          </w:p>
        </w:tc>
      </w:tr>
      <w:tr w:rsidR="00A938A5" w:rsidRPr="00AE3F1B" w14:paraId="4AA9616B" w14:textId="77777777" w:rsidTr="00257369">
        <w:tblPrEx>
          <w:tblCellMar>
            <w:top w:w="50" w:type="dxa"/>
            <w:left w:w="39" w:type="dxa"/>
            <w:right w:w="58" w:type="dxa"/>
          </w:tblCellMar>
        </w:tblPrEx>
        <w:trPr>
          <w:trHeight w:val="406"/>
        </w:trPr>
        <w:tc>
          <w:tcPr>
            <w:tcW w:w="1337" w:type="dxa"/>
            <w:tcBorders>
              <w:top w:val="single" w:sz="2" w:space="0" w:color="000000"/>
              <w:left w:val="single" w:sz="2" w:space="0" w:color="000000"/>
              <w:bottom w:val="single" w:sz="2" w:space="0" w:color="000000"/>
              <w:right w:val="single" w:sz="2" w:space="0" w:color="000000"/>
            </w:tcBorders>
            <w:vAlign w:val="center"/>
          </w:tcPr>
          <w:p w14:paraId="04348B1E"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Prosument</w:t>
            </w:r>
          </w:p>
        </w:tc>
        <w:tc>
          <w:tcPr>
            <w:tcW w:w="8419" w:type="dxa"/>
            <w:gridSpan w:val="3"/>
            <w:tcBorders>
              <w:top w:val="single" w:sz="2" w:space="0" w:color="000000"/>
              <w:left w:val="single" w:sz="2" w:space="0" w:color="000000"/>
              <w:bottom w:val="single" w:sz="2" w:space="0" w:color="000000"/>
              <w:right w:val="single" w:sz="2" w:space="0" w:color="000000"/>
            </w:tcBorders>
          </w:tcPr>
          <w:p w14:paraId="6EC9B172"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Prosument energii odnawialnej.</w:t>
            </w:r>
          </w:p>
        </w:tc>
      </w:tr>
      <w:tr w:rsidR="00A938A5" w:rsidRPr="00AE3F1B" w14:paraId="474A3DFD" w14:textId="77777777" w:rsidTr="00257369">
        <w:tblPrEx>
          <w:tblCellMar>
            <w:top w:w="50" w:type="dxa"/>
            <w:left w:w="39" w:type="dxa"/>
            <w:right w:w="58" w:type="dxa"/>
          </w:tblCellMar>
        </w:tblPrEx>
        <w:trPr>
          <w:trHeight w:val="576"/>
        </w:trPr>
        <w:tc>
          <w:tcPr>
            <w:tcW w:w="1337" w:type="dxa"/>
            <w:tcBorders>
              <w:top w:val="single" w:sz="2" w:space="0" w:color="000000"/>
              <w:left w:val="single" w:sz="2" w:space="0" w:color="000000"/>
              <w:bottom w:val="single" w:sz="2" w:space="0" w:color="000000"/>
              <w:right w:val="single" w:sz="2" w:space="0" w:color="000000"/>
            </w:tcBorders>
            <w:vAlign w:val="center"/>
          </w:tcPr>
          <w:p w14:paraId="5F0B1B36" w14:textId="6A8B21F5" w:rsidR="00A938A5" w:rsidRPr="00AE3F1B" w:rsidRDefault="0039268C" w:rsidP="00175586">
            <w:pPr>
              <w:spacing w:line="259" w:lineRule="auto"/>
              <w:ind w:left="567" w:right="-3" w:hanging="567"/>
              <w:jc w:val="left"/>
              <w:rPr>
                <w:rFonts w:ascii="Garamond" w:hAnsi="Garamond"/>
                <w:sz w:val="24"/>
                <w:szCs w:val="24"/>
              </w:rPr>
            </w:pPr>
            <w:proofErr w:type="spellStart"/>
            <w:r>
              <w:rPr>
                <w:rFonts w:ascii="Garamond" w:hAnsi="Garamond"/>
                <w:sz w:val="24"/>
                <w:szCs w:val="24"/>
              </w:rPr>
              <w:t>Plt</w:t>
            </w:r>
            <w:proofErr w:type="spellEnd"/>
          </w:p>
        </w:tc>
        <w:tc>
          <w:tcPr>
            <w:tcW w:w="8419" w:type="dxa"/>
            <w:gridSpan w:val="3"/>
            <w:tcBorders>
              <w:top w:val="single" w:sz="2" w:space="0" w:color="000000"/>
              <w:left w:val="single" w:sz="2" w:space="0" w:color="000000"/>
              <w:bottom w:val="single" w:sz="2" w:space="0" w:color="000000"/>
              <w:right w:val="single" w:sz="2" w:space="0" w:color="000000"/>
            </w:tcBorders>
          </w:tcPr>
          <w:p w14:paraId="481FE28C" w14:textId="76A298C8"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 xml:space="preserve">Wskaźnik długookresowego migotania światła, obliczany zgodnie </w:t>
            </w:r>
            <w:r w:rsidR="0039268C">
              <w:rPr>
                <w:rFonts w:ascii="Garamond" w:hAnsi="Garamond"/>
                <w:sz w:val="24"/>
                <w:szCs w:val="24"/>
              </w:rPr>
              <w:t>§ 46</w:t>
            </w:r>
            <w:r w:rsidRPr="00AE3F1B">
              <w:rPr>
                <w:rFonts w:ascii="Garamond" w:hAnsi="Garamond"/>
                <w:sz w:val="24"/>
                <w:szCs w:val="24"/>
              </w:rPr>
              <w:t xml:space="preserve"> ust.2</w:t>
            </w:r>
          </w:p>
          <w:p w14:paraId="0A42FF56" w14:textId="1894B74E" w:rsidR="00A938A5" w:rsidRPr="00AE3F1B" w:rsidRDefault="00A938A5" w:rsidP="006316A5">
            <w:pPr>
              <w:spacing w:line="259" w:lineRule="auto"/>
              <w:ind w:left="59" w:right="-3" w:hanging="59"/>
              <w:jc w:val="left"/>
              <w:rPr>
                <w:rFonts w:ascii="Garamond" w:hAnsi="Garamond"/>
                <w:sz w:val="24"/>
                <w:szCs w:val="24"/>
              </w:rPr>
            </w:pPr>
            <w:r w:rsidRPr="00AE3F1B">
              <w:rPr>
                <w:rFonts w:ascii="Garamond" w:hAnsi="Garamond"/>
                <w:sz w:val="24"/>
                <w:szCs w:val="24"/>
              </w:rPr>
              <w:t xml:space="preserve">Rozporządzenia Ministra </w:t>
            </w:r>
            <w:r w:rsidR="0039268C">
              <w:rPr>
                <w:rFonts w:ascii="Garamond" w:hAnsi="Garamond"/>
                <w:sz w:val="24"/>
                <w:szCs w:val="24"/>
              </w:rPr>
              <w:t>Klimatu i Środowiska</w:t>
            </w:r>
            <w:r w:rsidR="0039268C" w:rsidRPr="00AE3F1B">
              <w:rPr>
                <w:rFonts w:ascii="Garamond" w:hAnsi="Garamond"/>
                <w:sz w:val="24"/>
                <w:szCs w:val="24"/>
              </w:rPr>
              <w:t xml:space="preserve"> </w:t>
            </w:r>
            <w:r w:rsidRPr="00AE3F1B">
              <w:rPr>
                <w:rFonts w:ascii="Garamond" w:hAnsi="Garamond"/>
                <w:sz w:val="24"/>
                <w:szCs w:val="24"/>
              </w:rPr>
              <w:t xml:space="preserve">z dnia </w:t>
            </w:r>
            <w:r w:rsidR="0039268C">
              <w:rPr>
                <w:rFonts w:ascii="Garamond" w:hAnsi="Garamond"/>
                <w:sz w:val="24"/>
                <w:szCs w:val="24"/>
              </w:rPr>
              <w:t>22</w:t>
            </w:r>
            <w:r w:rsidRPr="00AE3F1B">
              <w:rPr>
                <w:rFonts w:ascii="Garamond" w:hAnsi="Garamond"/>
                <w:sz w:val="24"/>
                <w:szCs w:val="24"/>
              </w:rPr>
              <w:t>.</w:t>
            </w:r>
            <w:r w:rsidR="0039268C">
              <w:rPr>
                <w:rFonts w:ascii="Garamond" w:hAnsi="Garamond"/>
                <w:sz w:val="24"/>
                <w:szCs w:val="24"/>
              </w:rPr>
              <w:t>05</w:t>
            </w:r>
            <w:r w:rsidRPr="00AE3F1B">
              <w:rPr>
                <w:rFonts w:ascii="Garamond" w:hAnsi="Garamond"/>
                <w:sz w:val="24"/>
                <w:szCs w:val="24"/>
              </w:rPr>
              <w:t>.</w:t>
            </w:r>
            <w:r w:rsidR="0039268C">
              <w:rPr>
                <w:rFonts w:ascii="Garamond" w:hAnsi="Garamond"/>
                <w:sz w:val="24"/>
                <w:szCs w:val="24"/>
              </w:rPr>
              <w:t xml:space="preserve">2023 </w:t>
            </w:r>
            <w:r w:rsidR="0039268C" w:rsidRPr="00AE3F1B">
              <w:rPr>
                <w:rFonts w:ascii="Garamond" w:hAnsi="Garamond"/>
                <w:sz w:val="24"/>
                <w:szCs w:val="24"/>
              </w:rPr>
              <w:t>r</w:t>
            </w:r>
            <w:r w:rsidRPr="00AE3F1B">
              <w:rPr>
                <w:rFonts w:ascii="Garamond" w:hAnsi="Garamond"/>
                <w:sz w:val="24"/>
                <w:szCs w:val="24"/>
              </w:rPr>
              <w:t>.</w:t>
            </w:r>
            <w:r w:rsidR="007C22B1" w:rsidRPr="00AE3F1B">
              <w:rPr>
                <w:rFonts w:ascii="Garamond" w:hAnsi="Garamond"/>
                <w:sz w:val="24"/>
                <w:szCs w:val="24"/>
              </w:rPr>
              <w:t xml:space="preserve"> (</w:t>
            </w:r>
            <w:r w:rsidRPr="00AE3F1B">
              <w:rPr>
                <w:rFonts w:ascii="Garamond" w:hAnsi="Garamond"/>
                <w:sz w:val="24"/>
                <w:szCs w:val="24"/>
              </w:rPr>
              <w:t xml:space="preserve">Dz.U. </w:t>
            </w:r>
            <w:r w:rsidR="0039268C">
              <w:rPr>
                <w:rFonts w:ascii="Garamond" w:hAnsi="Garamond"/>
                <w:sz w:val="24"/>
                <w:szCs w:val="24"/>
              </w:rPr>
              <w:t>z 2023 r.</w:t>
            </w:r>
            <w:r w:rsidRPr="00AE3F1B">
              <w:rPr>
                <w:rFonts w:ascii="Garamond" w:hAnsi="Garamond"/>
                <w:sz w:val="24"/>
                <w:szCs w:val="24"/>
              </w:rPr>
              <w:t>, poz.</w:t>
            </w:r>
            <w:r w:rsidR="0039268C">
              <w:rPr>
                <w:rFonts w:ascii="Garamond" w:hAnsi="Garamond"/>
                <w:sz w:val="24"/>
                <w:szCs w:val="24"/>
              </w:rPr>
              <w:t>819</w:t>
            </w:r>
            <w:r w:rsidR="007C22B1" w:rsidRPr="00AE3F1B">
              <w:rPr>
                <w:rFonts w:ascii="Garamond" w:hAnsi="Garamond"/>
                <w:sz w:val="24"/>
                <w:szCs w:val="24"/>
              </w:rPr>
              <w:t>)</w:t>
            </w:r>
          </w:p>
        </w:tc>
      </w:tr>
      <w:tr w:rsidR="00A938A5" w:rsidRPr="00AE3F1B" w14:paraId="265DF7C1" w14:textId="77777777" w:rsidTr="00257369">
        <w:tblPrEx>
          <w:tblCellMar>
            <w:top w:w="50" w:type="dxa"/>
            <w:left w:w="39" w:type="dxa"/>
            <w:right w:w="58" w:type="dxa"/>
          </w:tblCellMar>
        </w:tblPrEx>
        <w:trPr>
          <w:trHeight w:val="403"/>
        </w:trPr>
        <w:tc>
          <w:tcPr>
            <w:tcW w:w="1337" w:type="dxa"/>
            <w:tcBorders>
              <w:top w:val="single" w:sz="2" w:space="0" w:color="000000"/>
              <w:left w:val="single" w:sz="2" w:space="0" w:color="000000"/>
              <w:bottom w:val="single" w:sz="2" w:space="0" w:color="000000"/>
              <w:right w:val="single" w:sz="2" w:space="0" w:color="000000"/>
            </w:tcBorders>
            <w:vAlign w:val="center"/>
          </w:tcPr>
          <w:p w14:paraId="0638F226"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Pst</w:t>
            </w:r>
          </w:p>
        </w:tc>
        <w:tc>
          <w:tcPr>
            <w:tcW w:w="8419" w:type="dxa"/>
            <w:gridSpan w:val="3"/>
            <w:tcBorders>
              <w:top w:val="single" w:sz="2" w:space="0" w:color="000000"/>
              <w:left w:val="single" w:sz="2" w:space="0" w:color="000000"/>
              <w:bottom w:val="single" w:sz="2" w:space="0" w:color="000000"/>
              <w:right w:val="single" w:sz="2" w:space="0" w:color="000000"/>
            </w:tcBorders>
          </w:tcPr>
          <w:p w14:paraId="51AE4A1C"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Wskaźnik krótkookresowego migotania światła, mierzony przez 10 minut.</w:t>
            </w:r>
          </w:p>
        </w:tc>
      </w:tr>
      <w:tr w:rsidR="00A938A5" w:rsidRPr="00AE3F1B" w14:paraId="752EF417" w14:textId="77777777" w:rsidTr="00257369">
        <w:tblPrEx>
          <w:tblCellMar>
            <w:top w:w="50" w:type="dxa"/>
            <w:left w:w="39" w:type="dxa"/>
            <w:right w:w="58" w:type="dxa"/>
          </w:tblCellMar>
        </w:tblPrEx>
        <w:trPr>
          <w:trHeight w:val="403"/>
        </w:trPr>
        <w:tc>
          <w:tcPr>
            <w:tcW w:w="1337" w:type="dxa"/>
            <w:tcBorders>
              <w:top w:val="single" w:sz="2" w:space="0" w:color="000000"/>
              <w:left w:val="single" w:sz="2" w:space="0" w:color="000000"/>
              <w:bottom w:val="single" w:sz="2" w:space="0" w:color="000000"/>
              <w:right w:val="single" w:sz="2" w:space="0" w:color="000000"/>
            </w:tcBorders>
            <w:vAlign w:val="center"/>
          </w:tcPr>
          <w:p w14:paraId="7DF669F2"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RB</w:t>
            </w:r>
          </w:p>
        </w:tc>
        <w:tc>
          <w:tcPr>
            <w:tcW w:w="8419" w:type="dxa"/>
            <w:gridSpan w:val="3"/>
            <w:tcBorders>
              <w:top w:val="single" w:sz="2" w:space="0" w:color="000000"/>
              <w:left w:val="single" w:sz="2" w:space="0" w:color="000000"/>
              <w:bottom w:val="single" w:sz="2" w:space="0" w:color="000000"/>
              <w:right w:val="single" w:sz="2" w:space="0" w:color="000000"/>
            </w:tcBorders>
          </w:tcPr>
          <w:p w14:paraId="714B6A03"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Rynek Bilansujący.</w:t>
            </w:r>
          </w:p>
        </w:tc>
      </w:tr>
      <w:tr w:rsidR="00A938A5" w:rsidRPr="00AE3F1B" w14:paraId="3A0FE495" w14:textId="77777777" w:rsidTr="00257369">
        <w:tblPrEx>
          <w:tblCellMar>
            <w:top w:w="50" w:type="dxa"/>
            <w:left w:w="39" w:type="dxa"/>
            <w:right w:w="58" w:type="dxa"/>
          </w:tblCellMar>
        </w:tblPrEx>
        <w:trPr>
          <w:trHeight w:val="407"/>
        </w:trPr>
        <w:tc>
          <w:tcPr>
            <w:tcW w:w="1337" w:type="dxa"/>
            <w:tcBorders>
              <w:top w:val="single" w:sz="2" w:space="0" w:color="000000"/>
              <w:left w:val="single" w:sz="2" w:space="0" w:color="000000"/>
              <w:bottom w:val="single" w:sz="2" w:space="0" w:color="000000"/>
              <w:right w:val="single" w:sz="2" w:space="0" w:color="000000"/>
            </w:tcBorders>
            <w:vAlign w:val="center"/>
          </w:tcPr>
          <w:p w14:paraId="25571210"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RRM</w:t>
            </w:r>
          </w:p>
        </w:tc>
        <w:tc>
          <w:tcPr>
            <w:tcW w:w="8419" w:type="dxa"/>
            <w:gridSpan w:val="3"/>
            <w:tcBorders>
              <w:top w:val="single" w:sz="2" w:space="0" w:color="000000"/>
              <w:left w:val="single" w:sz="2" w:space="0" w:color="000000"/>
              <w:bottom w:val="single" w:sz="2" w:space="0" w:color="000000"/>
              <w:right w:val="single" w:sz="2" w:space="0" w:color="000000"/>
            </w:tcBorders>
          </w:tcPr>
          <w:p w14:paraId="185CC575"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Regulamin rynku mocy.</w:t>
            </w:r>
          </w:p>
        </w:tc>
      </w:tr>
      <w:tr w:rsidR="00A938A5" w:rsidRPr="00AE3F1B" w14:paraId="16680460" w14:textId="77777777" w:rsidTr="00257369">
        <w:tblPrEx>
          <w:tblCellMar>
            <w:top w:w="50" w:type="dxa"/>
            <w:left w:w="39" w:type="dxa"/>
            <w:right w:w="58" w:type="dxa"/>
          </w:tblCellMar>
        </w:tblPrEx>
        <w:trPr>
          <w:trHeight w:val="406"/>
        </w:trPr>
        <w:tc>
          <w:tcPr>
            <w:tcW w:w="1337" w:type="dxa"/>
            <w:tcBorders>
              <w:top w:val="single" w:sz="2" w:space="0" w:color="000000"/>
              <w:left w:val="single" w:sz="2" w:space="0" w:color="000000"/>
              <w:bottom w:val="single" w:sz="2" w:space="0" w:color="000000"/>
              <w:right w:val="single" w:sz="2" w:space="0" w:color="000000"/>
            </w:tcBorders>
            <w:vAlign w:val="center"/>
          </w:tcPr>
          <w:p w14:paraId="0EC1021F" w14:textId="77777777" w:rsidR="00A938A5" w:rsidRPr="00AE3F1B" w:rsidRDefault="007C22B1" w:rsidP="00175586">
            <w:pPr>
              <w:spacing w:line="259" w:lineRule="auto"/>
              <w:ind w:left="567" w:right="-3" w:hanging="567"/>
              <w:jc w:val="left"/>
              <w:rPr>
                <w:rFonts w:ascii="Garamond" w:hAnsi="Garamond"/>
                <w:sz w:val="24"/>
                <w:szCs w:val="24"/>
              </w:rPr>
            </w:pPr>
            <w:r w:rsidRPr="00AE3F1B">
              <w:rPr>
                <w:rFonts w:ascii="Garamond" w:hAnsi="Garamond"/>
                <w:sz w:val="24"/>
                <w:szCs w:val="24"/>
              </w:rPr>
              <w:t>SCO</w:t>
            </w:r>
          </w:p>
        </w:tc>
        <w:tc>
          <w:tcPr>
            <w:tcW w:w="8419" w:type="dxa"/>
            <w:gridSpan w:val="3"/>
            <w:tcBorders>
              <w:top w:val="single" w:sz="2" w:space="0" w:color="000000"/>
              <w:left w:val="single" w:sz="2" w:space="0" w:color="000000"/>
              <w:bottom w:val="single" w:sz="2" w:space="0" w:color="000000"/>
              <w:right w:val="single" w:sz="2" w:space="0" w:color="000000"/>
            </w:tcBorders>
          </w:tcPr>
          <w:p w14:paraId="1D7B1882"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Samoczynne częstotliwościowe odciążanie.</w:t>
            </w:r>
          </w:p>
        </w:tc>
      </w:tr>
      <w:tr w:rsidR="00A938A5" w:rsidRPr="00AE3F1B" w14:paraId="22D96D6A" w14:textId="77777777" w:rsidTr="00257369">
        <w:tblPrEx>
          <w:tblCellMar>
            <w:top w:w="50" w:type="dxa"/>
            <w:left w:w="39" w:type="dxa"/>
            <w:right w:w="58" w:type="dxa"/>
          </w:tblCellMar>
        </w:tblPrEx>
        <w:trPr>
          <w:trHeight w:val="410"/>
        </w:trPr>
        <w:tc>
          <w:tcPr>
            <w:tcW w:w="1337" w:type="dxa"/>
            <w:tcBorders>
              <w:top w:val="single" w:sz="2" w:space="0" w:color="000000"/>
              <w:left w:val="single" w:sz="2" w:space="0" w:color="000000"/>
              <w:bottom w:val="single" w:sz="2" w:space="0" w:color="000000"/>
              <w:right w:val="single" w:sz="2" w:space="0" w:color="000000"/>
            </w:tcBorders>
            <w:vAlign w:val="center"/>
          </w:tcPr>
          <w:p w14:paraId="2F7CA5DA" w14:textId="77777777" w:rsidR="00A938A5" w:rsidRPr="00AE3F1B" w:rsidRDefault="007C22B1" w:rsidP="00175586">
            <w:pPr>
              <w:spacing w:line="259" w:lineRule="auto"/>
              <w:ind w:left="567" w:right="-3" w:hanging="567"/>
              <w:jc w:val="left"/>
              <w:rPr>
                <w:rFonts w:ascii="Garamond" w:hAnsi="Garamond"/>
                <w:sz w:val="24"/>
                <w:szCs w:val="24"/>
              </w:rPr>
            </w:pPr>
            <w:r w:rsidRPr="00AE3F1B">
              <w:rPr>
                <w:rFonts w:ascii="Garamond" w:hAnsi="Garamond"/>
                <w:sz w:val="24"/>
                <w:szCs w:val="24"/>
                <w:vertAlign w:val="subscript"/>
              </w:rPr>
              <w:t>SM</w:t>
            </w:r>
            <w:r w:rsidR="00A938A5" w:rsidRPr="00AE3F1B">
              <w:rPr>
                <w:rFonts w:ascii="Garamond" w:hAnsi="Garamond"/>
                <w:sz w:val="24"/>
                <w:szCs w:val="24"/>
              </w:rPr>
              <w:t>MDD</w:t>
            </w:r>
          </w:p>
        </w:tc>
        <w:tc>
          <w:tcPr>
            <w:tcW w:w="8419" w:type="dxa"/>
            <w:gridSpan w:val="3"/>
            <w:tcBorders>
              <w:top w:val="single" w:sz="2" w:space="0" w:color="000000"/>
              <w:left w:val="single" w:sz="2" w:space="0" w:color="000000"/>
              <w:bottom w:val="single" w:sz="2" w:space="0" w:color="000000"/>
              <w:right w:val="single" w:sz="2" w:space="0" w:color="000000"/>
            </w:tcBorders>
          </w:tcPr>
          <w:p w14:paraId="5BF360E7"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Miejsce Dostarczania Energii Rynku Detalicznego dla Sprzedawcy Macierzystego.</w:t>
            </w:r>
          </w:p>
        </w:tc>
      </w:tr>
      <w:tr w:rsidR="00A938A5" w:rsidRPr="00AE3F1B" w14:paraId="77080CFC" w14:textId="77777777" w:rsidTr="00257369">
        <w:tblPrEx>
          <w:tblCellMar>
            <w:top w:w="50" w:type="dxa"/>
            <w:left w:w="39" w:type="dxa"/>
            <w:right w:w="58" w:type="dxa"/>
          </w:tblCellMar>
        </w:tblPrEx>
        <w:trPr>
          <w:trHeight w:val="403"/>
        </w:trPr>
        <w:tc>
          <w:tcPr>
            <w:tcW w:w="1337" w:type="dxa"/>
            <w:tcBorders>
              <w:top w:val="single" w:sz="2" w:space="0" w:color="000000"/>
              <w:left w:val="single" w:sz="2" w:space="0" w:color="000000"/>
              <w:bottom w:val="single" w:sz="2" w:space="0" w:color="000000"/>
              <w:right w:val="single" w:sz="2" w:space="0" w:color="000000"/>
            </w:tcBorders>
            <w:vAlign w:val="center"/>
          </w:tcPr>
          <w:p w14:paraId="0A4739C7"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SN</w:t>
            </w:r>
          </w:p>
        </w:tc>
        <w:tc>
          <w:tcPr>
            <w:tcW w:w="8419" w:type="dxa"/>
            <w:gridSpan w:val="3"/>
            <w:tcBorders>
              <w:top w:val="single" w:sz="2" w:space="0" w:color="000000"/>
              <w:left w:val="single" w:sz="2" w:space="0" w:color="000000"/>
              <w:bottom w:val="single" w:sz="2" w:space="0" w:color="000000"/>
              <w:right w:val="single" w:sz="2" w:space="0" w:color="000000"/>
            </w:tcBorders>
          </w:tcPr>
          <w:p w14:paraId="69803898"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Średnie napięcie.</w:t>
            </w:r>
          </w:p>
        </w:tc>
      </w:tr>
      <w:tr w:rsidR="00A938A5" w:rsidRPr="00AE3F1B" w14:paraId="4C9126D4" w14:textId="77777777" w:rsidTr="00257369">
        <w:tblPrEx>
          <w:tblCellMar>
            <w:top w:w="50" w:type="dxa"/>
            <w:left w:w="39" w:type="dxa"/>
            <w:right w:w="58" w:type="dxa"/>
          </w:tblCellMar>
        </w:tblPrEx>
        <w:trPr>
          <w:trHeight w:val="1137"/>
        </w:trPr>
        <w:tc>
          <w:tcPr>
            <w:tcW w:w="1337" w:type="dxa"/>
            <w:tcBorders>
              <w:top w:val="single" w:sz="2" w:space="0" w:color="000000"/>
              <w:left w:val="single" w:sz="2" w:space="0" w:color="000000"/>
              <w:bottom w:val="single" w:sz="2" w:space="0" w:color="000000"/>
              <w:right w:val="single" w:sz="2" w:space="0" w:color="000000"/>
            </w:tcBorders>
            <w:vAlign w:val="center"/>
          </w:tcPr>
          <w:p w14:paraId="0AE723B9"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SPZ</w:t>
            </w:r>
          </w:p>
        </w:tc>
        <w:tc>
          <w:tcPr>
            <w:tcW w:w="8419" w:type="dxa"/>
            <w:gridSpan w:val="3"/>
            <w:tcBorders>
              <w:top w:val="single" w:sz="2" w:space="0" w:color="000000"/>
              <w:left w:val="single" w:sz="2" w:space="0" w:color="000000"/>
              <w:bottom w:val="single" w:sz="2" w:space="0" w:color="000000"/>
              <w:right w:val="single" w:sz="2" w:space="0" w:color="000000"/>
            </w:tcBorders>
          </w:tcPr>
          <w:p w14:paraId="60523391" w14:textId="77777777" w:rsidR="00A938A5" w:rsidRPr="00AE3F1B" w:rsidRDefault="00A938A5" w:rsidP="006316A5">
            <w:pPr>
              <w:spacing w:line="259" w:lineRule="auto"/>
              <w:ind w:left="59" w:right="-3" w:hanging="59"/>
              <w:jc w:val="left"/>
              <w:rPr>
                <w:rFonts w:ascii="Garamond" w:hAnsi="Garamond"/>
                <w:sz w:val="24"/>
                <w:szCs w:val="24"/>
              </w:rPr>
            </w:pPr>
            <w:r w:rsidRPr="00AE3F1B">
              <w:rPr>
                <w:rFonts w:ascii="Garamond" w:hAnsi="Garamond"/>
                <w:sz w:val="24"/>
                <w:szCs w:val="24"/>
              </w:rPr>
              <w:t>Samoczynne ponowne załączanie - automatyka elektroenergetyczna, której działanie polega na samoczynnym podaniu impulsu załączającego wyłącznik liniowy bezzwłocznie lub po upływie odpowiednio dobranego czasu, po przejściu tego wyłącznika w stan otwarcia.</w:t>
            </w:r>
          </w:p>
        </w:tc>
      </w:tr>
      <w:tr w:rsidR="00A938A5" w:rsidRPr="00AE3F1B" w14:paraId="025133CD" w14:textId="77777777" w:rsidTr="00257369">
        <w:tblPrEx>
          <w:tblCellMar>
            <w:top w:w="50" w:type="dxa"/>
            <w:left w:w="39" w:type="dxa"/>
            <w:right w:w="58" w:type="dxa"/>
          </w:tblCellMar>
        </w:tblPrEx>
        <w:trPr>
          <w:gridAfter w:val="1"/>
          <w:wAfter w:w="8" w:type="dxa"/>
          <w:trHeight w:val="1165"/>
        </w:trPr>
        <w:tc>
          <w:tcPr>
            <w:tcW w:w="1337" w:type="dxa"/>
            <w:tcBorders>
              <w:top w:val="nil"/>
              <w:left w:val="single" w:sz="2" w:space="0" w:color="000000"/>
              <w:bottom w:val="single" w:sz="2" w:space="0" w:color="000000"/>
              <w:right w:val="single" w:sz="2" w:space="0" w:color="000000"/>
            </w:tcBorders>
            <w:vAlign w:val="center"/>
          </w:tcPr>
          <w:p w14:paraId="778B7518"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SZR</w:t>
            </w:r>
          </w:p>
        </w:tc>
        <w:tc>
          <w:tcPr>
            <w:tcW w:w="8411" w:type="dxa"/>
            <w:gridSpan w:val="2"/>
            <w:tcBorders>
              <w:top w:val="nil"/>
              <w:left w:val="single" w:sz="2" w:space="0" w:color="000000"/>
              <w:bottom w:val="single" w:sz="2" w:space="0" w:color="000000"/>
              <w:right w:val="single" w:sz="2" w:space="0" w:color="000000"/>
            </w:tcBorders>
          </w:tcPr>
          <w:p w14:paraId="3C181101" w14:textId="77777777" w:rsidR="00A938A5" w:rsidRPr="00AE3F1B" w:rsidRDefault="00A938A5" w:rsidP="006316A5">
            <w:pPr>
              <w:spacing w:line="259" w:lineRule="auto"/>
              <w:ind w:left="68" w:right="-3" w:hanging="68"/>
              <w:jc w:val="left"/>
              <w:rPr>
                <w:rFonts w:ascii="Garamond" w:hAnsi="Garamond"/>
                <w:sz w:val="24"/>
                <w:szCs w:val="24"/>
              </w:rPr>
            </w:pPr>
            <w:r w:rsidRPr="00AE3F1B">
              <w:rPr>
                <w:rFonts w:ascii="Garamond" w:hAnsi="Garamond"/>
                <w:sz w:val="24"/>
                <w:szCs w:val="24"/>
              </w:rPr>
              <w:t>Samoczynne załączanie rezerwy - automatyka elektroenergetyczna, której działanie polega na samoczynnym przełączeniu odbiorców z zasilania ze źródła podstawowego na zasilanie ze źródła rezerwowego, w przypadku nadmiernego obniżenia się napięcia lub zaniku napięcia.</w:t>
            </w:r>
          </w:p>
        </w:tc>
      </w:tr>
      <w:tr w:rsidR="00A938A5" w:rsidRPr="00AE3F1B" w14:paraId="212B6675" w14:textId="77777777" w:rsidTr="00257369">
        <w:tblPrEx>
          <w:tblCellMar>
            <w:top w:w="50" w:type="dxa"/>
            <w:left w:w="39" w:type="dxa"/>
            <w:right w:w="58" w:type="dxa"/>
          </w:tblCellMar>
        </w:tblPrEx>
        <w:trPr>
          <w:gridAfter w:val="1"/>
          <w:wAfter w:w="8" w:type="dxa"/>
          <w:trHeight w:val="580"/>
        </w:trPr>
        <w:tc>
          <w:tcPr>
            <w:tcW w:w="1337" w:type="dxa"/>
            <w:tcBorders>
              <w:top w:val="single" w:sz="2" w:space="0" w:color="000000"/>
              <w:left w:val="single" w:sz="2" w:space="0" w:color="000000"/>
              <w:bottom w:val="single" w:sz="2" w:space="0" w:color="000000"/>
              <w:right w:val="single" w:sz="2" w:space="0" w:color="000000"/>
            </w:tcBorders>
            <w:vAlign w:val="center"/>
          </w:tcPr>
          <w:p w14:paraId="003CEA30"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THD</w:t>
            </w:r>
          </w:p>
        </w:tc>
        <w:tc>
          <w:tcPr>
            <w:tcW w:w="8411" w:type="dxa"/>
            <w:gridSpan w:val="2"/>
            <w:tcBorders>
              <w:top w:val="single" w:sz="2" w:space="0" w:color="000000"/>
              <w:left w:val="single" w:sz="2" w:space="0" w:color="000000"/>
              <w:bottom w:val="single" w:sz="2" w:space="0" w:color="000000"/>
              <w:right w:val="single" w:sz="2" w:space="0" w:color="000000"/>
            </w:tcBorders>
          </w:tcPr>
          <w:p w14:paraId="3BF0D515" w14:textId="300D9201" w:rsidR="00A938A5" w:rsidRPr="00AE3F1B" w:rsidRDefault="00A938A5" w:rsidP="006316A5">
            <w:pPr>
              <w:spacing w:line="259" w:lineRule="auto"/>
              <w:ind w:left="68" w:right="-3" w:hanging="68"/>
              <w:jc w:val="left"/>
              <w:rPr>
                <w:rFonts w:ascii="Garamond" w:hAnsi="Garamond"/>
                <w:sz w:val="24"/>
                <w:szCs w:val="24"/>
              </w:rPr>
            </w:pPr>
            <w:r w:rsidRPr="00AE3F1B">
              <w:rPr>
                <w:rFonts w:ascii="Garamond" w:hAnsi="Garamond"/>
                <w:sz w:val="24"/>
                <w:szCs w:val="24"/>
              </w:rPr>
              <w:t xml:space="preserve">Współczynnik odkształcenia napięcia harmonicznymi, obliczony zgodnie z </w:t>
            </w:r>
            <w:r w:rsidR="0039268C">
              <w:rPr>
                <w:rFonts w:ascii="Garamond" w:hAnsi="Garamond"/>
                <w:sz w:val="24"/>
                <w:szCs w:val="24"/>
              </w:rPr>
              <w:t>§ 46</w:t>
            </w:r>
            <w:r w:rsidRPr="00AE3F1B">
              <w:rPr>
                <w:rFonts w:ascii="Garamond" w:hAnsi="Garamond"/>
                <w:sz w:val="24"/>
                <w:szCs w:val="24"/>
              </w:rPr>
              <w:t xml:space="preserve"> </w:t>
            </w:r>
            <w:proofErr w:type="spellStart"/>
            <w:r w:rsidRPr="00AE3F1B">
              <w:rPr>
                <w:rFonts w:ascii="Garamond" w:hAnsi="Garamond"/>
                <w:sz w:val="24"/>
                <w:szCs w:val="24"/>
              </w:rPr>
              <w:t>ust.l</w:t>
            </w:r>
            <w:proofErr w:type="spellEnd"/>
            <w:r w:rsidRPr="00AE3F1B">
              <w:rPr>
                <w:rFonts w:ascii="Garamond" w:hAnsi="Garamond"/>
                <w:sz w:val="24"/>
                <w:szCs w:val="24"/>
              </w:rPr>
              <w:t xml:space="preserve"> </w:t>
            </w:r>
            <w:r w:rsidR="0039268C">
              <w:rPr>
                <w:rFonts w:ascii="Garamond" w:hAnsi="Garamond"/>
                <w:sz w:val="24"/>
                <w:szCs w:val="24"/>
              </w:rPr>
              <w:t xml:space="preserve"> </w:t>
            </w:r>
            <w:r w:rsidRPr="00AE3F1B">
              <w:rPr>
                <w:rFonts w:ascii="Garamond" w:hAnsi="Garamond"/>
                <w:sz w:val="24"/>
                <w:szCs w:val="24"/>
              </w:rPr>
              <w:t xml:space="preserve">Rozporządzenia Ministra </w:t>
            </w:r>
            <w:r w:rsidR="0039268C">
              <w:rPr>
                <w:rFonts w:ascii="Garamond" w:hAnsi="Garamond"/>
                <w:sz w:val="24"/>
                <w:szCs w:val="24"/>
              </w:rPr>
              <w:t>Klimatu i Środowiska</w:t>
            </w:r>
            <w:r w:rsidR="0039268C" w:rsidRPr="00AE3F1B">
              <w:rPr>
                <w:rFonts w:ascii="Garamond" w:hAnsi="Garamond"/>
                <w:sz w:val="24"/>
                <w:szCs w:val="24"/>
              </w:rPr>
              <w:t xml:space="preserve"> </w:t>
            </w:r>
            <w:r w:rsidRPr="00AE3F1B">
              <w:rPr>
                <w:rFonts w:ascii="Garamond" w:hAnsi="Garamond"/>
                <w:sz w:val="24"/>
                <w:szCs w:val="24"/>
              </w:rPr>
              <w:t xml:space="preserve">z dnia </w:t>
            </w:r>
            <w:r w:rsidR="0039268C">
              <w:rPr>
                <w:rFonts w:ascii="Garamond" w:hAnsi="Garamond"/>
                <w:sz w:val="24"/>
                <w:szCs w:val="24"/>
              </w:rPr>
              <w:t xml:space="preserve">22.05.2023 </w:t>
            </w:r>
            <w:r w:rsidRPr="00AE3F1B">
              <w:rPr>
                <w:rFonts w:ascii="Garamond" w:hAnsi="Garamond"/>
                <w:sz w:val="24"/>
                <w:szCs w:val="24"/>
              </w:rPr>
              <w:t xml:space="preserve">r. Dz.U. </w:t>
            </w:r>
            <w:r w:rsidR="0039268C">
              <w:rPr>
                <w:rFonts w:ascii="Garamond" w:hAnsi="Garamond"/>
                <w:sz w:val="24"/>
                <w:szCs w:val="24"/>
              </w:rPr>
              <w:t>z 2023 r.</w:t>
            </w:r>
            <w:r w:rsidRPr="00AE3F1B">
              <w:rPr>
                <w:rFonts w:ascii="Garamond" w:hAnsi="Garamond"/>
                <w:sz w:val="24"/>
                <w:szCs w:val="24"/>
              </w:rPr>
              <w:t>, poz.</w:t>
            </w:r>
            <w:r w:rsidR="0039268C">
              <w:rPr>
                <w:rFonts w:ascii="Garamond" w:hAnsi="Garamond"/>
                <w:sz w:val="24"/>
                <w:szCs w:val="24"/>
              </w:rPr>
              <w:t>819</w:t>
            </w:r>
            <w:r w:rsidRPr="00AE3F1B">
              <w:rPr>
                <w:rFonts w:ascii="Garamond" w:hAnsi="Garamond"/>
                <w:sz w:val="24"/>
                <w:szCs w:val="24"/>
              </w:rPr>
              <w:t>.</w:t>
            </w:r>
          </w:p>
        </w:tc>
      </w:tr>
      <w:tr w:rsidR="00A938A5" w:rsidRPr="00AE3F1B" w14:paraId="03A163E0" w14:textId="77777777" w:rsidTr="00257369">
        <w:tblPrEx>
          <w:tblCellMar>
            <w:top w:w="50" w:type="dxa"/>
            <w:left w:w="39" w:type="dxa"/>
            <w:right w:w="58" w:type="dxa"/>
          </w:tblCellMar>
        </w:tblPrEx>
        <w:trPr>
          <w:gridAfter w:val="1"/>
          <w:wAfter w:w="8" w:type="dxa"/>
          <w:trHeight w:val="410"/>
        </w:trPr>
        <w:tc>
          <w:tcPr>
            <w:tcW w:w="1337" w:type="dxa"/>
            <w:tcBorders>
              <w:top w:val="single" w:sz="2" w:space="0" w:color="000000"/>
              <w:left w:val="single" w:sz="2" w:space="0" w:color="000000"/>
              <w:bottom w:val="single" w:sz="2" w:space="0" w:color="000000"/>
              <w:right w:val="single" w:sz="2" w:space="0" w:color="000000"/>
            </w:tcBorders>
            <w:vAlign w:val="center"/>
          </w:tcPr>
          <w:p w14:paraId="19066C4D"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URB</w:t>
            </w:r>
          </w:p>
        </w:tc>
        <w:tc>
          <w:tcPr>
            <w:tcW w:w="8411" w:type="dxa"/>
            <w:gridSpan w:val="2"/>
            <w:tcBorders>
              <w:top w:val="single" w:sz="2" w:space="0" w:color="000000"/>
              <w:left w:val="single" w:sz="2" w:space="0" w:color="000000"/>
              <w:bottom w:val="single" w:sz="2" w:space="0" w:color="000000"/>
              <w:right w:val="single" w:sz="2" w:space="0" w:color="000000"/>
            </w:tcBorders>
          </w:tcPr>
          <w:p w14:paraId="267578A0"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Uczestnik Rynku Bilansującego</w:t>
            </w:r>
          </w:p>
        </w:tc>
      </w:tr>
      <w:tr w:rsidR="00A938A5" w:rsidRPr="00AE3F1B" w14:paraId="31107987" w14:textId="77777777" w:rsidTr="00257369">
        <w:tblPrEx>
          <w:tblCellMar>
            <w:top w:w="50" w:type="dxa"/>
            <w:left w:w="39" w:type="dxa"/>
            <w:right w:w="58" w:type="dxa"/>
          </w:tblCellMar>
        </w:tblPrEx>
        <w:trPr>
          <w:gridAfter w:val="1"/>
          <w:wAfter w:w="8" w:type="dxa"/>
          <w:trHeight w:val="578"/>
        </w:trPr>
        <w:tc>
          <w:tcPr>
            <w:tcW w:w="1337" w:type="dxa"/>
            <w:tcBorders>
              <w:top w:val="single" w:sz="2" w:space="0" w:color="000000"/>
              <w:left w:val="single" w:sz="2" w:space="0" w:color="000000"/>
              <w:bottom w:val="single" w:sz="2" w:space="0" w:color="000000"/>
              <w:right w:val="single" w:sz="2" w:space="0" w:color="000000"/>
            </w:tcBorders>
            <w:vAlign w:val="center"/>
          </w:tcPr>
          <w:p w14:paraId="6181425E"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URB</w:t>
            </w:r>
            <w:r w:rsidRPr="00AE3F1B">
              <w:rPr>
                <w:rFonts w:ascii="Garamond" w:hAnsi="Garamond"/>
                <w:sz w:val="24"/>
                <w:szCs w:val="24"/>
                <w:vertAlign w:val="subscript"/>
              </w:rPr>
              <w:t>BIL</w:t>
            </w:r>
          </w:p>
        </w:tc>
        <w:tc>
          <w:tcPr>
            <w:tcW w:w="8411" w:type="dxa"/>
            <w:gridSpan w:val="2"/>
            <w:tcBorders>
              <w:top w:val="single" w:sz="2" w:space="0" w:color="000000"/>
              <w:left w:val="single" w:sz="2" w:space="0" w:color="000000"/>
              <w:bottom w:val="single" w:sz="2" w:space="0" w:color="000000"/>
              <w:right w:val="single" w:sz="2" w:space="0" w:color="000000"/>
            </w:tcBorders>
          </w:tcPr>
          <w:p w14:paraId="36DC009E" w14:textId="77777777" w:rsidR="00A938A5" w:rsidRPr="00AE3F1B" w:rsidRDefault="00A938A5" w:rsidP="006316A5">
            <w:pPr>
              <w:spacing w:line="259" w:lineRule="auto"/>
              <w:ind w:left="68" w:right="-3" w:hanging="68"/>
              <w:jc w:val="left"/>
              <w:rPr>
                <w:rFonts w:ascii="Garamond" w:hAnsi="Garamond"/>
                <w:sz w:val="24"/>
                <w:szCs w:val="24"/>
              </w:rPr>
            </w:pPr>
            <w:r w:rsidRPr="00AE3F1B">
              <w:rPr>
                <w:rFonts w:ascii="Garamond" w:hAnsi="Garamond"/>
                <w:sz w:val="24"/>
                <w:szCs w:val="24"/>
              </w:rPr>
              <w:t>Operator Systemu Przesyłowego jako Uczestnik Rynku Bilansującego typu Przedsiębiorstwo Bilansujące.</w:t>
            </w:r>
          </w:p>
        </w:tc>
      </w:tr>
      <w:tr w:rsidR="00A938A5" w:rsidRPr="00AE3F1B" w14:paraId="2CE132B0" w14:textId="77777777" w:rsidTr="00257369">
        <w:tblPrEx>
          <w:tblCellMar>
            <w:top w:w="50" w:type="dxa"/>
            <w:left w:w="39" w:type="dxa"/>
            <w:right w:w="58" w:type="dxa"/>
          </w:tblCellMar>
        </w:tblPrEx>
        <w:trPr>
          <w:gridAfter w:val="1"/>
          <w:wAfter w:w="8" w:type="dxa"/>
          <w:trHeight w:val="403"/>
        </w:trPr>
        <w:tc>
          <w:tcPr>
            <w:tcW w:w="1337" w:type="dxa"/>
            <w:tcBorders>
              <w:top w:val="single" w:sz="2" w:space="0" w:color="000000"/>
              <w:left w:val="single" w:sz="2" w:space="0" w:color="000000"/>
              <w:bottom w:val="single" w:sz="2" w:space="0" w:color="000000"/>
              <w:right w:val="single" w:sz="2" w:space="0" w:color="000000"/>
            </w:tcBorders>
            <w:vAlign w:val="center"/>
          </w:tcPr>
          <w:p w14:paraId="6012F87F"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URB</w:t>
            </w:r>
            <w:r w:rsidRPr="00AE3F1B">
              <w:rPr>
                <w:rFonts w:ascii="Garamond" w:hAnsi="Garamond"/>
                <w:sz w:val="24"/>
                <w:szCs w:val="24"/>
                <w:vertAlign w:val="subscript"/>
              </w:rPr>
              <w:t>GE</w:t>
            </w:r>
          </w:p>
        </w:tc>
        <w:tc>
          <w:tcPr>
            <w:tcW w:w="8411" w:type="dxa"/>
            <w:gridSpan w:val="2"/>
            <w:tcBorders>
              <w:top w:val="single" w:sz="2" w:space="0" w:color="000000"/>
              <w:left w:val="single" w:sz="2" w:space="0" w:color="000000"/>
              <w:bottom w:val="single" w:sz="2" w:space="0" w:color="000000"/>
              <w:right w:val="single" w:sz="2" w:space="0" w:color="000000"/>
            </w:tcBorders>
          </w:tcPr>
          <w:p w14:paraId="52D412C7"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Uczestnik Rynku Bilansującego typu Giełda Energii.</w:t>
            </w:r>
          </w:p>
        </w:tc>
      </w:tr>
      <w:tr w:rsidR="00A938A5" w:rsidRPr="00AE3F1B" w14:paraId="472D70F0" w14:textId="77777777" w:rsidTr="00257369">
        <w:tblPrEx>
          <w:tblCellMar>
            <w:top w:w="50" w:type="dxa"/>
            <w:left w:w="39" w:type="dxa"/>
            <w:right w:w="58" w:type="dxa"/>
          </w:tblCellMar>
        </w:tblPrEx>
        <w:trPr>
          <w:gridAfter w:val="1"/>
          <w:wAfter w:w="8" w:type="dxa"/>
          <w:trHeight w:val="410"/>
        </w:trPr>
        <w:tc>
          <w:tcPr>
            <w:tcW w:w="1337" w:type="dxa"/>
            <w:tcBorders>
              <w:top w:val="single" w:sz="2" w:space="0" w:color="000000"/>
              <w:left w:val="single" w:sz="2" w:space="0" w:color="000000"/>
              <w:bottom w:val="single" w:sz="2" w:space="0" w:color="000000"/>
              <w:right w:val="single" w:sz="2" w:space="0" w:color="000000"/>
            </w:tcBorders>
            <w:vAlign w:val="center"/>
          </w:tcPr>
          <w:p w14:paraId="56624DF9"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URB</w:t>
            </w:r>
            <w:r w:rsidR="007C22B1" w:rsidRPr="00AE3F1B">
              <w:rPr>
                <w:rFonts w:ascii="Garamond" w:hAnsi="Garamond"/>
                <w:sz w:val="24"/>
                <w:szCs w:val="24"/>
                <w:vertAlign w:val="subscript"/>
              </w:rPr>
              <w:t>W</w:t>
            </w:r>
          </w:p>
        </w:tc>
        <w:tc>
          <w:tcPr>
            <w:tcW w:w="8411" w:type="dxa"/>
            <w:gridSpan w:val="2"/>
            <w:tcBorders>
              <w:top w:val="single" w:sz="2" w:space="0" w:color="000000"/>
              <w:left w:val="single" w:sz="2" w:space="0" w:color="000000"/>
              <w:bottom w:val="single" w:sz="2" w:space="0" w:color="000000"/>
              <w:right w:val="single" w:sz="2" w:space="0" w:color="000000"/>
            </w:tcBorders>
          </w:tcPr>
          <w:p w14:paraId="1456209A"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Uczestnik Rynku Bilansującego typu Wytwórca energii.</w:t>
            </w:r>
          </w:p>
        </w:tc>
      </w:tr>
      <w:tr w:rsidR="00A938A5" w:rsidRPr="00AE3F1B" w14:paraId="23BC6A77" w14:textId="77777777" w:rsidTr="00257369">
        <w:tblPrEx>
          <w:tblCellMar>
            <w:top w:w="50" w:type="dxa"/>
            <w:left w:w="39" w:type="dxa"/>
            <w:right w:w="58" w:type="dxa"/>
          </w:tblCellMar>
        </w:tblPrEx>
        <w:trPr>
          <w:gridAfter w:val="1"/>
          <w:wAfter w:w="8" w:type="dxa"/>
          <w:trHeight w:val="407"/>
        </w:trPr>
        <w:tc>
          <w:tcPr>
            <w:tcW w:w="1337" w:type="dxa"/>
            <w:tcBorders>
              <w:top w:val="single" w:sz="2" w:space="0" w:color="000000"/>
              <w:left w:val="single" w:sz="2" w:space="0" w:color="000000"/>
              <w:bottom w:val="single" w:sz="2" w:space="0" w:color="000000"/>
              <w:right w:val="single" w:sz="2" w:space="0" w:color="000000"/>
            </w:tcBorders>
            <w:vAlign w:val="center"/>
          </w:tcPr>
          <w:p w14:paraId="35527B7C"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URB</w:t>
            </w:r>
            <w:r w:rsidR="007C22B1" w:rsidRPr="00AE3F1B">
              <w:rPr>
                <w:rFonts w:ascii="Garamond" w:hAnsi="Garamond"/>
                <w:sz w:val="24"/>
                <w:szCs w:val="24"/>
                <w:vertAlign w:val="subscript"/>
              </w:rPr>
              <w:t>O</w:t>
            </w:r>
          </w:p>
        </w:tc>
        <w:tc>
          <w:tcPr>
            <w:tcW w:w="8411" w:type="dxa"/>
            <w:gridSpan w:val="2"/>
            <w:tcBorders>
              <w:top w:val="single" w:sz="2" w:space="0" w:color="000000"/>
              <w:left w:val="single" w:sz="2" w:space="0" w:color="000000"/>
              <w:bottom w:val="single" w:sz="2" w:space="0" w:color="000000"/>
              <w:right w:val="single" w:sz="2" w:space="0" w:color="000000"/>
            </w:tcBorders>
          </w:tcPr>
          <w:p w14:paraId="385804C9"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Uczestnik Rynku Bilansującego typu Odbiorca energii.</w:t>
            </w:r>
          </w:p>
        </w:tc>
      </w:tr>
      <w:tr w:rsidR="00A938A5" w:rsidRPr="00AE3F1B" w14:paraId="5DB13568" w14:textId="77777777" w:rsidTr="00257369">
        <w:tblPrEx>
          <w:tblCellMar>
            <w:top w:w="50" w:type="dxa"/>
            <w:left w:w="39" w:type="dxa"/>
            <w:right w:w="58" w:type="dxa"/>
          </w:tblCellMar>
        </w:tblPrEx>
        <w:trPr>
          <w:gridAfter w:val="1"/>
          <w:wAfter w:w="8" w:type="dxa"/>
          <w:trHeight w:val="406"/>
        </w:trPr>
        <w:tc>
          <w:tcPr>
            <w:tcW w:w="1337" w:type="dxa"/>
            <w:tcBorders>
              <w:top w:val="single" w:sz="2" w:space="0" w:color="000000"/>
              <w:left w:val="single" w:sz="2" w:space="0" w:color="000000"/>
              <w:bottom w:val="single" w:sz="2" w:space="0" w:color="000000"/>
              <w:right w:val="single" w:sz="2" w:space="0" w:color="000000"/>
            </w:tcBorders>
            <w:vAlign w:val="center"/>
          </w:tcPr>
          <w:p w14:paraId="0E4D09BC"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URB</w:t>
            </w:r>
            <w:r w:rsidR="007C22B1" w:rsidRPr="00AE3F1B">
              <w:rPr>
                <w:rFonts w:ascii="Garamond" w:hAnsi="Garamond"/>
                <w:sz w:val="24"/>
                <w:szCs w:val="24"/>
                <w:vertAlign w:val="subscript"/>
              </w:rPr>
              <w:t>S</w:t>
            </w:r>
            <w:r w:rsidRPr="00AE3F1B">
              <w:rPr>
                <w:rFonts w:ascii="Garamond" w:hAnsi="Garamond"/>
                <w:sz w:val="24"/>
                <w:szCs w:val="24"/>
                <w:vertAlign w:val="subscript"/>
              </w:rPr>
              <w:t>D</w:t>
            </w:r>
          </w:p>
        </w:tc>
        <w:tc>
          <w:tcPr>
            <w:tcW w:w="8411" w:type="dxa"/>
            <w:gridSpan w:val="2"/>
            <w:tcBorders>
              <w:top w:val="single" w:sz="2" w:space="0" w:color="000000"/>
              <w:left w:val="single" w:sz="2" w:space="0" w:color="000000"/>
              <w:bottom w:val="single" w:sz="2" w:space="0" w:color="000000"/>
              <w:right w:val="single" w:sz="2" w:space="0" w:color="000000"/>
            </w:tcBorders>
          </w:tcPr>
          <w:p w14:paraId="3C7B351C"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Odbiorca sieciowy.</w:t>
            </w:r>
          </w:p>
        </w:tc>
      </w:tr>
      <w:tr w:rsidR="00A938A5" w:rsidRPr="00AE3F1B" w14:paraId="3D6064F0" w14:textId="77777777" w:rsidTr="00257369">
        <w:tblPrEx>
          <w:tblCellMar>
            <w:top w:w="50" w:type="dxa"/>
            <w:left w:w="39" w:type="dxa"/>
            <w:right w:w="58" w:type="dxa"/>
          </w:tblCellMar>
        </w:tblPrEx>
        <w:trPr>
          <w:gridAfter w:val="1"/>
          <w:wAfter w:w="8" w:type="dxa"/>
          <w:trHeight w:val="410"/>
        </w:trPr>
        <w:tc>
          <w:tcPr>
            <w:tcW w:w="1337" w:type="dxa"/>
            <w:tcBorders>
              <w:top w:val="single" w:sz="2" w:space="0" w:color="000000"/>
              <w:left w:val="single" w:sz="2" w:space="0" w:color="000000"/>
              <w:bottom w:val="single" w:sz="2" w:space="0" w:color="000000"/>
              <w:right w:val="single" w:sz="2" w:space="0" w:color="000000"/>
            </w:tcBorders>
            <w:vAlign w:val="center"/>
          </w:tcPr>
          <w:p w14:paraId="725AC67F"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URB</w:t>
            </w:r>
            <w:r w:rsidR="007C22B1" w:rsidRPr="00AE3F1B">
              <w:rPr>
                <w:rFonts w:ascii="Garamond" w:hAnsi="Garamond"/>
                <w:sz w:val="24"/>
                <w:szCs w:val="24"/>
                <w:vertAlign w:val="subscript"/>
              </w:rPr>
              <w:t>O</w:t>
            </w:r>
            <w:r w:rsidRPr="00AE3F1B">
              <w:rPr>
                <w:rFonts w:ascii="Garamond" w:hAnsi="Garamond"/>
                <w:sz w:val="24"/>
                <w:szCs w:val="24"/>
                <w:vertAlign w:val="subscript"/>
              </w:rPr>
              <w:t>K</w:t>
            </w:r>
          </w:p>
        </w:tc>
        <w:tc>
          <w:tcPr>
            <w:tcW w:w="8411" w:type="dxa"/>
            <w:gridSpan w:val="2"/>
            <w:tcBorders>
              <w:top w:val="single" w:sz="2" w:space="0" w:color="000000"/>
              <w:left w:val="single" w:sz="2" w:space="0" w:color="000000"/>
              <w:bottom w:val="single" w:sz="2" w:space="0" w:color="000000"/>
              <w:right w:val="single" w:sz="2" w:space="0" w:color="000000"/>
            </w:tcBorders>
          </w:tcPr>
          <w:p w14:paraId="1F7DEFAC"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Odbiorca końcowy.</w:t>
            </w:r>
          </w:p>
        </w:tc>
      </w:tr>
      <w:tr w:rsidR="00A938A5" w:rsidRPr="00AE3F1B" w14:paraId="5B552D4A" w14:textId="77777777" w:rsidTr="00257369">
        <w:tblPrEx>
          <w:tblCellMar>
            <w:top w:w="50" w:type="dxa"/>
            <w:left w:w="39" w:type="dxa"/>
            <w:right w:w="58" w:type="dxa"/>
          </w:tblCellMar>
        </w:tblPrEx>
        <w:trPr>
          <w:gridAfter w:val="1"/>
          <w:wAfter w:w="8" w:type="dxa"/>
          <w:trHeight w:val="407"/>
        </w:trPr>
        <w:tc>
          <w:tcPr>
            <w:tcW w:w="1337" w:type="dxa"/>
            <w:tcBorders>
              <w:top w:val="single" w:sz="2" w:space="0" w:color="000000"/>
              <w:left w:val="single" w:sz="2" w:space="0" w:color="000000"/>
              <w:bottom w:val="single" w:sz="2" w:space="0" w:color="000000"/>
              <w:right w:val="single" w:sz="2" w:space="0" w:color="000000"/>
            </w:tcBorders>
            <w:vAlign w:val="center"/>
          </w:tcPr>
          <w:p w14:paraId="360D21A8"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URB</w:t>
            </w:r>
            <w:r w:rsidR="007C22B1" w:rsidRPr="00AE3F1B">
              <w:rPr>
                <w:rFonts w:ascii="Garamond" w:hAnsi="Garamond"/>
                <w:sz w:val="24"/>
                <w:szCs w:val="24"/>
                <w:vertAlign w:val="subscript"/>
              </w:rPr>
              <w:t>PO</w:t>
            </w:r>
          </w:p>
        </w:tc>
        <w:tc>
          <w:tcPr>
            <w:tcW w:w="8411" w:type="dxa"/>
            <w:gridSpan w:val="2"/>
            <w:tcBorders>
              <w:top w:val="single" w:sz="2" w:space="0" w:color="000000"/>
              <w:left w:val="single" w:sz="2" w:space="0" w:color="000000"/>
              <w:bottom w:val="single" w:sz="2" w:space="0" w:color="000000"/>
              <w:right w:val="single" w:sz="2" w:space="0" w:color="000000"/>
            </w:tcBorders>
          </w:tcPr>
          <w:p w14:paraId="30D0F509"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Uczestnik Rynku Bilansującego typu Przedsiębiorstwo obrotu energią elektryczną.</w:t>
            </w:r>
          </w:p>
        </w:tc>
      </w:tr>
      <w:tr w:rsidR="00A938A5" w:rsidRPr="00AE3F1B" w14:paraId="46809DD8" w14:textId="77777777" w:rsidTr="00257369">
        <w:tblPrEx>
          <w:tblCellMar>
            <w:top w:w="50" w:type="dxa"/>
            <w:left w:w="39" w:type="dxa"/>
            <w:right w:w="58" w:type="dxa"/>
          </w:tblCellMar>
        </w:tblPrEx>
        <w:trPr>
          <w:gridAfter w:val="1"/>
          <w:wAfter w:w="8" w:type="dxa"/>
          <w:trHeight w:val="406"/>
        </w:trPr>
        <w:tc>
          <w:tcPr>
            <w:tcW w:w="1337" w:type="dxa"/>
            <w:tcBorders>
              <w:top w:val="single" w:sz="2" w:space="0" w:color="000000"/>
              <w:left w:val="single" w:sz="2" w:space="0" w:color="000000"/>
              <w:bottom w:val="single" w:sz="2" w:space="0" w:color="000000"/>
              <w:right w:val="single" w:sz="2" w:space="0" w:color="000000"/>
            </w:tcBorders>
            <w:vAlign w:val="center"/>
          </w:tcPr>
          <w:p w14:paraId="6DB7539C"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URD</w:t>
            </w:r>
          </w:p>
        </w:tc>
        <w:tc>
          <w:tcPr>
            <w:tcW w:w="8411" w:type="dxa"/>
            <w:gridSpan w:val="2"/>
            <w:tcBorders>
              <w:top w:val="single" w:sz="2" w:space="0" w:color="000000"/>
              <w:left w:val="single" w:sz="2" w:space="0" w:color="000000"/>
              <w:bottom w:val="single" w:sz="2" w:space="0" w:color="000000"/>
              <w:right w:val="single" w:sz="2" w:space="0" w:color="000000"/>
            </w:tcBorders>
          </w:tcPr>
          <w:p w14:paraId="2D0F7ECF"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Uczestnik Rynku Detalicznego.</w:t>
            </w:r>
          </w:p>
        </w:tc>
      </w:tr>
      <w:tr w:rsidR="00A938A5" w:rsidRPr="00AE3F1B" w14:paraId="7A403154" w14:textId="77777777" w:rsidTr="00257369">
        <w:tblPrEx>
          <w:tblCellMar>
            <w:top w:w="50" w:type="dxa"/>
            <w:left w:w="39" w:type="dxa"/>
            <w:right w:w="58" w:type="dxa"/>
          </w:tblCellMar>
        </w:tblPrEx>
        <w:trPr>
          <w:gridAfter w:val="1"/>
          <w:wAfter w:w="8" w:type="dxa"/>
          <w:trHeight w:val="547"/>
        </w:trPr>
        <w:tc>
          <w:tcPr>
            <w:tcW w:w="1337" w:type="dxa"/>
            <w:tcBorders>
              <w:top w:val="single" w:sz="2" w:space="0" w:color="000000"/>
              <w:left w:val="single" w:sz="2" w:space="0" w:color="000000"/>
              <w:bottom w:val="single" w:sz="2" w:space="0" w:color="000000"/>
              <w:right w:val="single" w:sz="2" w:space="0" w:color="000000"/>
            </w:tcBorders>
            <w:vAlign w:val="center"/>
          </w:tcPr>
          <w:p w14:paraId="4F344EB8"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lastRenderedPageBreak/>
              <w:t>URD</w:t>
            </w:r>
            <w:r w:rsidRPr="00AE3F1B">
              <w:rPr>
                <w:rFonts w:ascii="Garamond" w:hAnsi="Garamond"/>
                <w:sz w:val="24"/>
                <w:szCs w:val="24"/>
                <w:vertAlign w:val="subscript"/>
              </w:rPr>
              <w:t>ME</w:t>
            </w:r>
          </w:p>
        </w:tc>
        <w:tc>
          <w:tcPr>
            <w:tcW w:w="8411" w:type="dxa"/>
            <w:gridSpan w:val="2"/>
            <w:tcBorders>
              <w:top w:val="single" w:sz="2" w:space="0" w:color="000000"/>
              <w:left w:val="single" w:sz="2" w:space="0" w:color="000000"/>
              <w:bottom w:val="single" w:sz="2" w:space="0" w:color="000000"/>
              <w:right w:val="single" w:sz="2" w:space="0" w:color="000000"/>
            </w:tcBorders>
          </w:tcPr>
          <w:p w14:paraId="24BCCE39" w14:textId="77777777" w:rsidR="00A938A5" w:rsidRPr="00AE3F1B" w:rsidRDefault="00A938A5" w:rsidP="006316A5">
            <w:pPr>
              <w:spacing w:line="259" w:lineRule="auto"/>
              <w:ind w:right="-3"/>
              <w:jc w:val="left"/>
              <w:rPr>
                <w:rFonts w:ascii="Garamond" w:hAnsi="Garamond"/>
                <w:sz w:val="24"/>
                <w:szCs w:val="24"/>
              </w:rPr>
            </w:pPr>
            <w:r w:rsidRPr="00AE3F1B">
              <w:rPr>
                <w:rFonts w:ascii="Garamond" w:hAnsi="Garamond"/>
                <w:sz w:val="24"/>
                <w:szCs w:val="24"/>
              </w:rPr>
              <w:t>Uczestnik Rynku Detalicznego typu posiadacz magazynu energii elektrycznej o łącznej mocy zainstalowanej magazynu energii elektrycznej większej niż 50kW.</w:t>
            </w:r>
          </w:p>
        </w:tc>
      </w:tr>
      <w:tr w:rsidR="00A938A5" w:rsidRPr="00AE3F1B" w14:paraId="22E81744" w14:textId="77777777" w:rsidTr="00257369">
        <w:tblPrEx>
          <w:tblCellMar>
            <w:top w:w="50" w:type="dxa"/>
            <w:left w:w="39" w:type="dxa"/>
            <w:right w:w="58" w:type="dxa"/>
          </w:tblCellMar>
        </w:tblPrEx>
        <w:trPr>
          <w:gridAfter w:val="1"/>
          <w:wAfter w:w="8" w:type="dxa"/>
          <w:trHeight w:val="403"/>
        </w:trPr>
        <w:tc>
          <w:tcPr>
            <w:tcW w:w="1337" w:type="dxa"/>
            <w:tcBorders>
              <w:top w:val="single" w:sz="2" w:space="0" w:color="000000"/>
              <w:left w:val="single" w:sz="2" w:space="0" w:color="000000"/>
              <w:bottom w:val="single" w:sz="2" w:space="0" w:color="000000"/>
              <w:right w:val="single" w:sz="2" w:space="0" w:color="000000"/>
            </w:tcBorders>
            <w:vAlign w:val="center"/>
          </w:tcPr>
          <w:p w14:paraId="0BB14E71" w14:textId="77777777" w:rsidR="00A938A5" w:rsidRPr="00AE3F1B" w:rsidRDefault="00A938A5" w:rsidP="00175586">
            <w:pPr>
              <w:spacing w:line="259" w:lineRule="auto"/>
              <w:ind w:left="567" w:right="-3" w:hanging="567"/>
              <w:jc w:val="left"/>
              <w:rPr>
                <w:rFonts w:ascii="Garamond" w:hAnsi="Garamond"/>
                <w:sz w:val="24"/>
                <w:szCs w:val="24"/>
              </w:rPr>
            </w:pPr>
            <w:proofErr w:type="spellStart"/>
            <w:r w:rsidRPr="00AE3F1B">
              <w:rPr>
                <w:rFonts w:ascii="Garamond" w:hAnsi="Garamond"/>
                <w:sz w:val="24"/>
                <w:szCs w:val="24"/>
              </w:rPr>
              <w:t>URDn</w:t>
            </w:r>
            <w:proofErr w:type="spellEnd"/>
          </w:p>
        </w:tc>
        <w:tc>
          <w:tcPr>
            <w:tcW w:w="8411" w:type="dxa"/>
            <w:gridSpan w:val="2"/>
            <w:tcBorders>
              <w:top w:val="single" w:sz="2" w:space="0" w:color="000000"/>
              <w:left w:val="single" w:sz="2" w:space="0" w:color="000000"/>
              <w:bottom w:val="single" w:sz="2" w:space="0" w:color="000000"/>
              <w:right w:val="single" w:sz="2" w:space="0" w:color="000000"/>
            </w:tcBorders>
          </w:tcPr>
          <w:p w14:paraId="2C1B0052" w14:textId="77777777" w:rsidR="00A938A5" w:rsidRPr="00AE3F1B" w:rsidRDefault="00A938A5" w:rsidP="006316A5">
            <w:pPr>
              <w:spacing w:line="259" w:lineRule="auto"/>
              <w:ind w:left="68" w:right="-3" w:hanging="68"/>
              <w:jc w:val="left"/>
              <w:rPr>
                <w:rFonts w:ascii="Garamond" w:hAnsi="Garamond"/>
                <w:sz w:val="24"/>
                <w:szCs w:val="24"/>
              </w:rPr>
            </w:pPr>
            <w:r w:rsidRPr="00AE3F1B">
              <w:rPr>
                <w:rFonts w:ascii="Garamond" w:hAnsi="Garamond"/>
                <w:sz w:val="24"/>
                <w:szCs w:val="24"/>
              </w:rPr>
              <w:t>Uczestnik Rynku Detalicznego, którego sieci i urządzenia są przyłączone do sieci OSDn.</w:t>
            </w:r>
          </w:p>
        </w:tc>
      </w:tr>
      <w:tr w:rsidR="00A938A5" w:rsidRPr="00AE3F1B" w14:paraId="2A0F044A" w14:textId="77777777" w:rsidTr="00257369">
        <w:tblPrEx>
          <w:tblCellMar>
            <w:top w:w="50" w:type="dxa"/>
            <w:left w:w="39" w:type="dxa"/>
            <w:right w:w="58" w:type="dxa"/>
          </w:tblCellMar>
        </w:tblPrEx>
        <w:trPr>
          <w:gridAfter w:val="1"/>
          <w:wAfter w:w="8" w:type="dxa"/>
          <w:trHeight w:val="410"/>
        </w:trPr>
        <w:tc>
          <w:tcPr>
            <w:tcW w:w="1337" w:type="dxa"/>
            <w:tcBorders>
              <w:top w:val="single" w:sz="2" w:space="0" w:color="000000"/>
              <w:left w:val="single" w:sz="2" w:space="0" w:color="000000"/>
              <w:bottom w:val="single" w:sz="2" w:space="0" w:color="000000"/>
              <w:right w:val="single" w:sz="2" w:space="0" w:color="000000"/>
            </w:tcBorders>
            <w:vAlign w:val="center"/>
          </w:tcPr>
          <w:p w14:paraId="3CD15E80" w14:textId="77777777" w:rsidR="00A938A5" w:rsidRPr="00AE3F1B" w:rsidRDefault="00A938A5" w:rsidP="00175586">
            <w:pPr>
              <w:spacing w:line="259" w:lineRule="auto"/>
              <w:ind w:left="567" w:right="-3" w:hanging="567"/>
              <w:jc w:val="left"/>
              <w:rPr>
                <w:rFonts w:ascii="Garamond" w:hAnsi="Garamond"/>
                <w:sz w:val="24"/>
                <w:szCs w:val="24"/>
              </w:rPr>
            </w:pPr>
            <w:proofErr w:type="spellStart"/>
            <w:r w:rsidRPr="00AE3F1B">
              <w:rPr>
                <w:rFonts w:ascii="Garamond" w:hAnsi="Garamond"/>
                <w:sz w:val="24"/>
                <w:szCs w:val="24"/>
              </w:rPr>
              <w:t>URDo</w:t>
            </w:r>
            <w:proofErr w:type="spellEnd"/>
          </w:p>
        </w:tc>
        <w:tc>
          <w:tcPr>
            <w:tcW w:w="8411" w:type="dxa"/>
            <w:gridSpan w:val="2"/>
            <w:tcBorders>
              <w:top w:val="single" w:sz="2" w:space="0" w:color="000000"/>
              <w:left w:val="single" w:sz="2" w:space="0" w:color="000000"/>
              <w:bottom w:val="single" w:sz="2" w:space="0" w:color="000000"/>
              <w:right w:val="single" w:sz="2" w:space="0" w:color="000000"/>
            </w:tcBorders>
          </w:tcPr>
          <w:p w14:paraId="47232353"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Uczestnik Rynku Detalicznego typu odbiorca.</w:t>
            </w:r>
          </w:p>
        </w:tc>
      </w:tr>
      <w:tr w:rsidR="00A938A5" w:rsidRPr="00AE3F1B" w14:paraId="2BB6797C" w14:textId="77777777" w:rsidTr="00257369">
        <w:tblPrEx>
          <w:tblCellMar>
            <w:top w:w="50" w:type="dxa"/>
            <w:left w:w="39" w:type="dxa"/>
            <w:right w:w="58" w:type="dxa"/>
          </w:tblCellMar>
        </w:tblPrEx>
        <w:trPr>
          <w:gridAfter w:val="1"/>
          <w:wAfter w:w="8" w:type="dxa"/>
          <w:trHeight w:val="403"/>
        </w:trPr>
        <w:tc>
          <w:tcPr>
            <w:tcW w:w="1337" w:type="dxa"/>
            <w:tcBorders>
              <w:top w:val="single" w:sz="2" w:space="0" w:color="000000"/>
              <w:left w:val="single" w:sz="2" w:space="0" w:color="000000"/>
              <w:bottom w:val="single" w:sz="2" w:space="0" w:color="000000"/>
              <w:right w:val="single" w:sz="2" w:space="0" w:color="000000"/>
            </w:tcBorders>
            <w:vAlign w:val="center"/>
          </w:tcPr>
          <w:p w14:paraId="1D245C42"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URD</w:t>
            </w:r>
            <w:r w:rsidR="007C22B1" w:rsidRPr="00AE3F1B">
              <w:rPr>
                <w:rFonts w:ascii="Garamond" w:hAnsi="Garamond"/>
                <w:sz w:val="24"/>
                <w:szCs w:val="24"/>
                <w:vertAlign w:val="subscript"/>
              </w:rPr>
              <w:t>W</w:t>
            </w:r>
          </w:p>
        </w:tc>
        <w:tc>
          <w:tcPr>
            <w:tcW w:w="8411" w:type="dxa"/>
            <w:gridSpan w:val="2"/>
            <w:tcBorders>
              <w:top w:val="single" w:sz="2" w:space="0" w:color="000000"/>
              <w:left w:val="single" w:sz="2" w:space="0" w:color="000000"/>
              <w:bottom w:val="single" w:sz="2" w:space="0" w:color="000000"/>
              <w:right w:val="single" w:sz="2" w:space="0" w:color="000000"/>
            </w:tcBorders>
          </w:tcPr>
          <w:p w14:paraId="16F40D7F"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Uczestnik Rynku Detalicznego typu wytwórca.</w:t>
            </w:r>
          </w:p>
        </w:tc>
      </w:tr>
      <w:tr w:rsidR="00A938A5" w:rsidRPr="00AE3F1B" w14:paraId="0B9F87DA" w14:textId="77777777" w:rsidTr="00257369">
        <w:tblPrEx>
          <w:tblCellMar>
            <w:top w:w="50" w:type="dxa"/>
            <w:left w:w="39" w:type="dxa"/>
            <w:right w:w="58" w:type="dxa"/>
          </w:tblCellMar>
        </w:tblPrEx>
        <w:trPr>
          <w:gridAfter w:val="1"/>
          <w:wAfter w:w="8" w:type="dxa"/>
          <w:trHeight w:val="410"/>
        </w:trPr>
        <w:tc>
          <w:tcPr>
            <w:tcW w:w="1337" w:type="dxa"/>
            <w:tcBorders>
              <w:top w:val="single" w:sz="2" w:space="0" w:color="000000"/>
              <w:left w:val="single" w:sz="2" w:space="0" w:color="000000"/>
              <w:bottom w:val="single" w:sz="2" w:space="0" w:color="000000"/>
              <w:right w:val="single" w:sz="2" w:space="0" w:color="000000"/>
            </w:tcBorders>
            <w:vAlign w:val="center"/>
          </w:tcPr>
          <w:p w14:paraId="125F544E"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URE</w:t>
            </w:r>
          </w:p>
        </w:tc>
        <w:tc>
          <w:tcPr>
            <w:tcW w:w="8411" w:type="dxa"/>
            <w:gridSpan w:val="2"/>
            <w:tcBorders>
              <w:top w:val="single" w:sz="2" w:space="0" w:color="000000"/>
              <w:left w:val="single" w:sz="2" w:space="0" w:color="000000"/>
              <w:bottom w:val="single" w:sz="2" w:space="0" w:color="000000"/>
              <w:right w:val="single" w:sz="2" w:space="0" w:color="000000"/>
            </w:tcBorders>
          </w:tcPr>
          <w:p w14:paraId="6E31E809"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Urząd Regulacji Energii.</w:t>
            </w:r>
          </w:p>
        </w:tc>
      </w:tr>
      <w:tr w:rsidR="00A938A5" w:rsidRPr="00AE3F1B" w14:paraId="0F802F83" w14:textId="77777777" w:rsidTr="00257369">
        <w:tblPrEx>
          <w:tblCellMar>
            <w:top w:w="50" w:type="dxa"/>
            <w:left w:w="39" w:type="dxa"/>
            <w:right w:w="58" w:type="dxa"/>
          </w:tblCellMar>
        </w:tblPrEx>
        <w:trPr>
          <w:gridAfter w:val="1"/>
          <w:wAfter w:w="8" w:type="dxa"/>
          <w:trHeight w:val="410"/>
        </w:trPr>
        <w:tc>
          <w:tcPr>
            <w:tcW w:w="1337" w:type="dxa"/>
            <w:tcBorders>
              <w:top w:val="single" w:sz="2" w:space="0" w:color="000000"/>
              <w:left w:val="single" w:sz="2" w:space="0" w:color="000000"/>
              <w:bottom w:val="single" w:sz="2" w:space="0" w:color="000000"/>
              <w:right w:val="single" w:sz="2" w:space="0" w:color="000000"/>
            </w:tcBorders>
            <w:vAlign w:val="center"/>
          </w:tcPr>
          <w:p w14:paraId="022B5CF0" w14:textId="06DB31CE"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W</w:t>
            </w:r>
            <w:r w:rsidR="006E34EA">
              <w:rPr>
                <w:rFonts w:ascii="Garamond" w:hAnsi="Garamond"/>
                <w:sz w:val="24"/>
                <w:szCs w:val="24"/>
              </w:rPr>
              <w:t>DB</w:t>
            </w:r>
          </w:p>
        </w:tc>
        <w:tc>
          <w:tcPr>
            <w:tcW w:w="8411" w:type="dxa"/>
            <w:gridSpan w:val="2"/>
            <w:tcBorders>
              <w:top w:val="single" w:sz="2" w:space="0" w:color="000000"/>
              <w:left w:val="single" w:sz="2" w:space="0" w:color="000000"/>
              <w:bottom w:val="single" w:sz="2" w:space="0" w:color="000000"/>
              <w:right w:val="single" w:sz="2" w:space="0" w:color="000000"/>
            </w:tcBorders>
            <w:vAlign w:val="center"/>
          </w:tcPr>
          <w:p w14:paraId="54991324"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Warunki dotyczące bilansowania.</w:t>
            </w:r>
          </w:p>
        </w:tc>
      </w:tr>
      <w:tr w:rsidR="00A938A5" w:rsidRPr="00AE3F1B" w14:paraId="6A97A793" w14:textId="77777777" w:rsidTr="00257369">
        <w:tblPrEx>
          <w:tblCellMar>
            <w:top w:w="50" w:type="dxa"/>
            <w:left w:w="39" w:type="dxa"/>
            <w:right w:w="58" w:type="dxa"/>
          </w:tblCellMar>
        </w:tblPrEx>
        <w:trPr>
          <w:gridAfter w:val="1"/>
          <w:wAfter w:w="8" w:type="dxa"/>
          <w:trHeight w:val="403"/>
        </w:trPr>
        <w:tc>
          <w:tcPr>
            <w:tcW w:w="1337" w:type="dxa"/>
            <w:tcBorders>
              <w:top w:val="single" w:sz="2" w:space="0" w:color="000000"/>
              <w:left w:val="single" w:sz="2" w:space="0" w:color="000000"/>
              <w:bottom w:val="single" w:sz="2" w:space="0" w:color="000000"/>
              <w:right w:val="single" w:sz="2" w:space="0" w:color="000000"/>
            </w:tcBorders>
            <w:vAlign w:val="center"/>
          </w:tcPr>
          <w:p w14:paraId="43AB807E"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WIRE</w:t>
            </w:r>
          </w:p>
        </w:tc>
        <w:tc>
          <w:tcPr>
            <w:tcW w:w="8411" w:type="dxa"/>
            <w:gridSpan w:val="2"/>
            <w:tcBorders>
              <w:top w:val="single" w:sz="2" w:space="0" w:color="000000"/>
              <w:left w:val="single" w:sz="2" w:space="0" w:color="000000"/>
              <w:bottom w:val="single" w:sz="2" w:space="0" w:color="000000"/>
              <w:right w:val="single" w:sz="2" w:space="0" w:color="000000"/>
            </w:tcBorders>
          </w:tcPr>
          <w:p w14:paraId="256D3BB0"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System wymiany informacji o rynku energii.</w:t>
            </w:r>
          </w:p>
        </w:tc>
      </w:tr>
      <w:tr w:rsidR="00A938A5" w:rsidRPr="00AE3F1B" w14:paraId="223EFC3F" w14:textId="77777777" w:rsidTr="00257369">
        <w:tblPrEx>
          <w:tblCellMar>
            <w:top w:w="50" w:type="dxa"/>
            <w:left w:w="39" w:type="dxa"/>
            <w:right w:w="58" w:type="dxa"/>
          </w:tblCellMar>
        </w:tblPrEx>
        <w:trPr>
          <w:gridAfter w:val="1"/>
          <w:wAfter w:w="8" w:type="dxa"/>
          <w:trHeight w:val="410"/>
        </w:trPr>
        <w:tc>
          <w:tcPr>
            <w:tcW w:w="1337" w:type="dxa"/>
            <w:tcBorders>
              <w:top w:val="single" w:sz="2" w:space="0" w:color="000000"/>
              <w:left w:val="single" w:sz="2" w:space="0" w:color="000000"/>
              <w:bottom w:val="single" w:sz="2" w:space="0" w:color="000000"/>
              <w:right w:val="single" w:sz="2" w:space="0" w:color="000000"/>
            </w:tcBorders>
            <w:vAlign w:val="center"/>
          </w:tcPr>
          <w:p w14:paraId="5704AE08"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WPKD</w:t>
            </w:r>
          </w:p>
        </w:tc>
        <w:tc>
          <w:tcPr>
            <w:tcW w:w="8411" w:type="dxa"/>
            <w:gridSpan w:val="2"/>
            <w:tcBorders>
              <w:top w:val="single" w:sz="2" w:space="0" w:color="000000"/>
              <w:left w:val="single" w:sz="2" w:space="0" w:color="000000"/>
              <w:bottom w:val="single" w:sz="2" w:space="0" w:color="000000"/>
              <w:right w:val="single" w:sz="2" w:space="0" w:color="000000"/>
            </w:tcBorders>
          </w:tcPr>
          <w:p w14:paraId="69955DDE"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Wstępny plan koordynacyjny dobowy.</w:t>
            </w:r>
          </w:p>
        </w:tc>
      </w:tr>
      <w:tr w:rsidR="00A938A5" w:rsidRPr="00AE3F1B" w14:paraId="5FDB3135" w14:textId="77777777" w:rsidTr="00257369">
        <w:tblPrEx>
          <w:tblCellMar>
            <w:top w:w="50" w:type="dxa"/>
            <w:left w:w="39" w:type="dxa"/>
            <w:right w:w="58" w:type="dxa"/>
          </w:tblCellMar>
        </w:tblPrEx>
        <w:trPr>
          <w:gridAfter w:val="1"/>
          <w:wAfter w:w="8" w:type="dxa"/>
          <w:trHeight w:val="403"/>
        </w:trPr>
        <w:tc>
          <w:tcPr>
            <w:tcW w:w="1337" w:type="dxa"/>
            <w:tcBorders>
              <w:top w:val="single" w:sz="2" w:space="0" w:color="000000"/>
              <w:left w:val="single" w:sz="2" w:space="0" w:color="000000"/>
              <w:bottom w:val="single" w:sz="2" w:space="0" w:color="000000"/>
              <w:right w:val="single" w:sz="2" w:space="0" w:color="000000"/>
            </w:tcBorders>
            <w:vAlign w:val="center"/>
          </w:tcPr>
          <w:p w14:paraId="655FB442"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ZUSE</w:t>
            </w:r>
          </w:p>
        </w:tc>
        <w:tc>
          <w:tcPr>
            <w:tcW w:w="8411" w:type="dxa"/>
            <w:gridSpan w:val="2"/>
            <w:tcBorders>
              <w:top w:val="single" w:sz="2" w:space="0" w:color="000000"/>
              <w:left w:val="single" w:sz="2" w:space="0" w:color="000000"/>
              <w:bottom w:val="single" w:sz="2" w:space="0" w:color="000000"/>
              <w:right w:val="single" w:sz="2" w:space="0" w:color="000000"/>
            </w:tcBorders>
          </w:tcPr>
          <w:p w14:paraId="23932ABC" w14:textId="77777777" w:rsidR="00A938A5" w:rsidRPr="00AE3F1B" w:rsidRDefault="00A938A5" w:rsidP="00175586">
            <w:pPr>
              <w:spacing w:line="259" w:lineRule="auto"/>
              <w:ind w:left="567" w:right="-3" w:hanging="567"/>
              <w:jc w:val="left"/>
              <w:rPr>
                <w:rFonts w:ascii="Garamond" w:hAnsi="Garamond"/>
                <w:sz w:val="24"/>
                <w:szCs w:val="24"/>
              </w:rPr>
            </w:pPr>
            <w:r w:rsidRPr="00AE3F1B">
              <w:rPr>
                <w:rFonts w:ascii="Garamond" w:hAnsi="Garamond"/>
                <w:sz w:val="24"/>
                <w:szCs w:val="24"/>
              </w:rPr>
              <w:t>Zgłoszenie Umowy Sprzedaży Energii.</w:t>
            </w:r>
          </w:p>
        </w:tc>
      </w:tr>
      <w:tr w:rsidR="00F17929" w:rsidRPr="00AE3F1B" w14:paraId="3F7DAD74" w14:textId="77777777" w:rsidTr="00257369">
        <w:tblPrEx>
          <w:tblCellMar>
            <w:top w:w="50" w:type="dxa"/>
            <w:left w:w="39" w:type="dxa"/>
            <w:right w:w="58" w:type="dxa"/>
          </w:tblCellMar>
        </w:tblPrEx>
        <w:trPr>
          <w:gridAfter w:val="1"/>
          <w:wAfter w:w="8" w:type="dxa"/>
          <w:trHeight w:val="403"/>
        </w:trPr>
        <w:tc>
          <w:tcPr>
            <w:tcW w:w="1337" w:type="dxa"/>
            <w:tcBorders>
              <w:top w:val="single" w:sz="2" w:space="0" w:color="000000"/>
              <w:left w:val="single" w:sz="2" w:space="0" w:color="000000"/>
              <w:bottom w:val="single" w:sz="2" w:space="0" w:color="000000"/>
              <w:right w:val="single" w:sz="2" w:space="0" w:color="000000"/>
            </w:tcBorders>
            <w:vAlign w:val="center"/>
          </w:tcPr>
          <w:p w14:paraId="4FB93902" w14:textId="277DF10C" w:rsidR="00F17929" w:rsidRPr="00F17929" w:rsidRDefault="00F17929" w:rsidP="00175586">
            <w:pPr>
              <w:spacing w:line="259" w:lineRule="auto"/>
              <w:ind w:left="567" w:right="-3" w:hanging="567"/>
              <w:jc w:val="left"/>
              <w:rPr>
                <w:rFonts w:ascii="Garamond" w:hAnsi="Garamond"/>
                <w:color w:val="0070C0"/>
                <w:sz w:val="24"/>
                <w:szCs w:val="24"/>
              </w:rPr>
            </w:pPr>
            <w:r w:rsidRPr="00F17929">
              <w:rPr>
                <w:color w:val="0070C0"/>
                <w:sz w:val="24"/>
                <w:szCs w:val="24"/>
              </w:rPr>
              <w:t>CSIRE </w:t>
            </w:r>
          </w:p>
        </w:tc>
        <w:tc>
          <w:tcPr>
            <w:tcW w:w="8411" w:type="dxa"/>
            <w:gridSpan w:val="2"/>
            <w:tcBorders>
              <w:top w:val="single" w:sz="2" w:space="0" w:color="000000"/>
              <w:left w:val="single" w:sz="2" w:space="0" w:color="000000"/>
              <w:bottom w:val="single" w:sz="2" w:space="0" w:color="000000"/>
              <w:right w:val="single" w:sz="2" w:space="0" w:color="000000"/>
            </w:tcBorders>
          </w:tcPr>
          <w:p w14:paraId="0FCCD114" w14:textId="000EA6D8" w:rsidR="00F17929" w:rsidRPr="00F17929" w:rsidRDefault="00F17929" w:rsidP="00F17929">
            <w:pPr>
              <w:spacing w:line="259" w:lineRule="auto"/>
              <w:ind w:right="-3"/>
              <w:jc w:val="left"/>
              <w:rPr>
                <w:rFonts w:ascii="Garamond" w:hAnsi="Garamond"/>
                <w:color w:val="0070C0"/>
                <w:sz w:val="24"/>
                <w:szCs w:val="24"/>
              </w:rPr>
            </w:pPr>
            <w:r w:rsidRPr="00F17929">
              <w:rPr>
                <w:color w:val="0070C0"/>
                <w:sz w:val="24"/>
                <w:szCs w:val="24"/>
              </w:rPr>
              <w:t>Centralny System Informacji Rynku Energii, system teleinformatyczny służący do wymiany informacji rynku energii, zarządzany przez OIRE.</w:t>
            </w:r>
          </w:p>
        </w:tc>
      </w:tr>
      <w:tr w:rsidR="00F17929" w:rsidRPr="00AE3F1B" w14:paraId="2B4AE8A5" w14:textId="77777777" w:rsidTr="00257369">
        <w:tblPrEx>
          <w:tblCellMar>
            <w:top w:w="50" w:type="dxa"/>
            <w:left w:w="39" w:type="dxa"/>
            <w:right w:w="58" w:type="dxa"/>
          </w:tblCellMar>
        </w:tblPrEx>
        <w:trPr>
          <w:gridAfter w:val="1"/>
          <w:wAfter w:w="8" w:type="dxa"/>
          <w:trHeight w:val="403"/>
        </w:trPr>
        <w:tc>
          <w:tcPr>
            <w:tcW w:w="1337" w:type="dxa"/>
            <w:tcBorders>
              <w:top w:val="single" w:sz="2" w:space="0" w:color="000000"/>
              <w:left w:val="single" w:sz="2" w:space="0" w:color="000000"/>
              <w:bottom w:val="single" w:sz="2" w:space="0" w:color="000000"/>
              <w:right w:val="single" w:sz="2" w:space="0" w:color="000000"/>
            </w:tcBorders>
            <w:vAlign w:val="center"/>
          </w:tcPr>
          <w:p w14:paraId="341AFB37" w14:textId="669E9D31" w:rsidR="00F17929" w:rsidRPr="00F17929" w:rsidRDefault="00F17929" w:rsidP="00175586">
            <w:pPr>
              <w:spacing w:line="259" w:lineRule="auto"/>
              <w:ind w:left="567" w:right="-3" w:hanging="567"/>
              <w:jc w:val="left"/>
              <w:rPr>
                <w:color w:val="0070C0"/>
                <w:sz w:val="24"/>
                <w:szCs w:val="24"/>
              </w:rPr>
            </w:pPr>
            <w:r w:rsidRPr="00F17929">
              <w:rPr>
                <w:color w:val="0070C0"/>
                <w:sz w:val="24"/>
                <w:szCs w:val="24"/>
              </w:rPr>
              <w:t>OIRE </w:t>
            </w:r>
          </w:p>
        </w:tc>
        <w:tc>
          <w:tcPr>
            <w:tcW w:w="8411" w:type="dxa"/>
            <w:gridSpan w:val="2"/>
            <w:tcBorders>
              <w:top w:val="single" w:sz="2" w:space="0" w:color="000000"/>
              <w:left w:val="single" w:sz="2" w:space="0" w:color="000000"/>
              <w:bottom w:val="single" w:sz="2" w:space="0" w:color="000000"/>
              <w:right w:val="single" w:sz="2" w:space="0" w:color="000000"/>
            </w:tcBorders>
          </w:tcPr>
          <w:p w14:paraId="0A243D28" w14:textId="05E8F198" w:rsidR="00F17929" w:rsidRPr="00F17929" w:rsidRDefault="00F17929" w:rsidP="00F17929">
            <w:pPr>
              <w:spacing w:line="259" w:lineRule="auto"/>
              <w:ind w:right="-3"/>
              <w:jc w:val="left"/>
              <w:rPr>
                <w:color w:val="0070C0"/>
                <w:sz w:val="24"/>
                <w:szCs w:val="24"/>
              </w:rPr>
            </w:pPr>
            <w:r w:rsidRPr="00F17929">
              <w:rPr>
                <w:color w:val="0070C0"/>
                <w:sz w:val="24"/>
                <w:szCs w:val="24"/>
              </w:rPr>
              <w:t>Operator Informacji Rynku Energii (funkcję tę pełnią Polskie Sieci Elektroenergetyczne S.A.).</w:t>
            </w:r>
          </w:p>
        </w:tc>
      </w:tr>
      <w:tr w:rsidR="00F17929" w:rsidRPr="00AE3F1B" w14:paraId="09360703" w14:textId="77777777" w:rsidTr="00257369">
        <w:tblPrEx>
          <w:tblCellMar>
            <w:top w:w="50" w:type="dxa"/>
            <w:left w:w="39" w:type="dxa"/>
            <w:right w:w="58" w:type="dxa"/>
          </w:tblCellMar>
        </w:tblPrEx>
        <w:trPr>
          <w:gridAfter w:val="1"/>
          <w:wAfter w:w="8" w:type="dxa"/>
          <w:trHeight w:val="403"/>
        </w:trPr>
        <w:tc>
          <w:tcPr>
            <w:tcW w:w="1337" w:type="dxa"/>
            <w:tcBorders>
              <w:top w:val="single" w:sz="2" w:space="0" w:color="000000"/>
              <w:left w:val="single" w:sz="2" w:space="0" w:color="000000"/>
              <w:bottom w:val="single" w:sz="2" w:space="0" w:color="000000"/>
              <w:right w:val="single" w:sz="2" w:space="0" w:color="000000"/>
            </w:tcBorders>
            <w:vAlign w:val="center"/>
          </w:tcPr>
          <w:p w14:paraId="72D6BF15" w14:textId="5A904455" w:rsidR="00F17929" w:rsidRPr="00F17929" w:rsidRDefault="00F17929" w:rsidP="00F17929">
            <w:pPr>
              <w:spacing w:line="259" w:lineRule="auto"/>
              <w:ind w:right="-3"/>
              <w:jc w:val="left"/>
              <w:rPr>
                <w:color w:val="0070C0"/>
                <w:sz w:val="24"/>
                <w:szCs w:val="24"/>
              </w:rPr>
            </w:pPr>
            <w:r w:rsidRPr="00F17929">
              <w:rPr>
                <w:color w:val="0070C0"/>
                <w:sz w:val="24"/>
                <w:szCs w:val="24"/>
              </w:rPr>
              <w:t>Magazyn energii elektrycznej </w:t>
            </w:r>
          </w:p>
        </w:tc>
        <w:tc>
          <w:tcPr>
            <w:tcW w:w="8411" w:type="dxa"/>
            <w:gridSpan w:val="2"/>
            <w:tcBorders>
              <w:top w:val="single" w:sz="2" w:space="0" w:color="000000"/>
              <w:left w:val="single" w:sz="2" w:space="0" w:color="000000"/>
              <w:bottom w:val="single" w:sz="2" w:space="0" w:color="000000"/>
              <w:right w:val="single" w:sz="2" w:space="0" w:color="000000"/>
            </w:tcBorders>
          </w:tcPr>
          <w:p w14:paraId="336D7533" w14:textId="0B7FD2D6" w:rsidR="00F17929" w:rsidRPr="00F17929" w:rsidRDefault="00F17929" w:rsidP="00F17929">
            <w:pPr>
              <w:spacing w:line="259" w:lineRule="auto"/>
              <w:ind w:right="-3"/>
              <w:jc w:val="left"/>
              <w:rPr>
                <w:color w:val="0070C0"/>
                <w:sz w:val="24"/>
                <w:szCs w:val="24"/>
              </w:rPr>
            </w:pPr>
            <w:r w:rsidRPr="00F17929">
              <w:rPr>
                <w:color w:val="0070C0"/>
                <w:sz w:val="24"/>
                <w:szCs w:val="24"/>
              </w:rPr>
              <w:t>instalacja umożliwiająca magazynowanie energii elektrycznej i wprowadzenie jej do sieci elektroenergetycznej.</w:t>
            </w:r>
          </w:p>
        </w:tc>
      </w:tr>
      <w:tr w:rsidR="00F17929" w:rsidRPr="00AE3F1B" w14:paraId="480FB8DA" w14:textId="77777777" w:rsidTr="00257369">
        <w:tblPrEx>
          <w:tblCellMar>
            <w:top w:w="50" w:type="dxa"/>
            <w:left w:w="39" w:type="dxa"/>
            <w:right w:w="58" w:type="dxa"/>
          </w:tblCellMar>
        </w:tblPrEx>
        <w:trPr>
          <w:gridAfter w:val="1"/>
          <w:wAfter w:w="8" w:type="dxa"/>
          <w:trHeight w:val="403"/>
        </w:trPr>
        <w:tc>
          <w:tcPr>
            <w:tcW w:w="1337" w:type="dxa"/>
            <w:tcBorders>
              <w:top w:val="single" w:sz="2" w:space="0" w:color="000000"/>
              <w:left w:val="single" w:sz="2" w:space="0" w:color="000000"/>
              <w:bottom w:val="single" w:sz="2" w:space="0" w:color="000000"/>
              <w:right w:val="single" w:sz="2" w:space="0" w:color="000000"/>
            </w:tcBorders>
            <w:vAlign w:val="center"/>
          </w:tcPr>
          <w:p w14:paraId="53ACAA29" w14:textId="171B58BE" w:rsidR="00F17929" w:rsidRPr="00F17929" w:rsidRDefault="00F17929" w:rsidP="00F17929">
            <w:pPr>
              <w:spacing w:line="259" w:lineRule="auto"/>
              <w:ind w:right="-3"/>
              <w:jc w:val="left"/>
              <w:rPr>
                <w:color w:val="0070C0"/>
                <w:sz w:val="24"/>
                <w:szCs w:val="24"/>
              </w:rPr>
            </w:pPr>
            <w:r w:rsidRPr="00F17929">
              <w:rPr>
                <w:color w:val="0070C0"/>
                <w:sz w:val="24"/>
                <w:szCs w:val="24"/>
              </w:rPr>
              <w:t>Prosument wirtualny </w:t>
            </w:r>
          </w:p>
        </w:tc>
        <w:tc>
          <w:tcPr>
            <w:tcW w:w="8411" w:type="dxa"/>
            <w:gridSpan w:val="2"/>
            <w:tcBorders>
              <w:top w:val="single" w:sz="2" w:space="0" w:color="000000"/>
              <w:left w:val="single" w:sz="2" w:space="0" w:color="000000"/>
              <w:bottom w:val="single" w:sz="2" w:space="0" w:color="000000"/>
              <w:right w:val="single" w:sz="2" w:space="0" w:color="000000"/>
            </w:tcBorders>
          </w:tcPr>
          <w:p w14:paraId="2208D63D" w14:textId="456C0138" w:rsidR="00F17929" w:rsidRPr="00F17929" w:rsidRDefault="00F17929" w:rsidP="00F17929">
            <w:pPr>
              <w:spacing w:line="259" w:lineRule="auto"/>
              <w:ind w:right="-3"/>
              <w:jc w:val="left"/>
              <w:rPr>
                <w:color w:val="0070C0"/>
                <w:sz w:val="24"/>
                <w:szCs w:val="24"/>
              </w:rPr>
            </w:pPr>
            <w:r w:rsidRPr="00F17929">
              <w:rPr>
                <w:color w:val="0070C0"/>
                <w:sz w:val="24"/>
                <w:szCs w:val="24"/>
              </w:rPr>
              <w:t>odbiorca końcowy wytwarzający energię w instalacji OZE przyłączonej w innym miejscu niż miejsce poboru energii, na własne potrzeby.</w:t>
            </w:r>
          </w:p>
        </w:tc>
      </w:tr>
      <w:tr w:rsidR="00F17929" w:rsidRPr="00AE3F1B" w14:paraId="2ED70897" w14:textId="77777777" w:rsidTr="00257369">
        <w:tblPrEx>
          <w:tblCellMar>
            <w:top w:w="50" w:type="dxa"/>
            <w:left w:w="39" w:type="dxa"/>
            <w:right w:w="58" w:type="dxa"/>
          </w:tblCellMar>
        </w:tblPrEx>
        <w:trPr>
          <w:gridAfter w:val="1"/>
          <w:wAfter w:w="8" w:type="dxa"/>
          <w:trHeight w:val="403"/>
        </w:trPr>
        <w:tc>
          <w:tcPr>
            <w:tcW w:w="1337" w:type="dxa"/>
            <w:tcBorders>
              <w:top w:val="single" w:sz="2" w:space="0" w:color="000000"/>
              <w:left w:val="single" w:sz="2" w:space="0" w:color="000000"/>
              <w:bottom w:val="single" w:sz="2" w:space="0" w:color="000000"/>
              <w:right w:val="single" w:sz="2" w:space="0" w:color="000000"/>
            </w:tcBorders>
            <w:vAlign w:val="center"/>
          </w:tcPr>
          <w:p w14:paraId="1CA4179F" w14:textId="6E68FAB8" w:rsidR="00F17929" w:rsidRPr="00F17929" w:rsidRDefault="00F17929" w:rsidP="00F17929">
            <w:pPr>
              <w:spacing w:line="259" w:lineRule="auto"/>
              <w:ind w:right="-3"/>
              <w:jc w:val="left"/>
              <w:rPr>
                <w:color w:val="0070C0"/>
                <w:sz w:val="24"/>
                <w:szCs w:val="24"/>
              </w:rPr>
            </w:pPr>
            <w:r w:rsidRPr="00F17929">
              <w:rPr>
                <w:color w:val="0070C0"/>
                <w:sz w:val="24"/>
                <w:szCs w:val="24"/>
              </w:rPr>
              <w:t>Prosument zbiorowy </w:t>
            </w:r>
          </w:p>
        </w:tc>
        <w:tc>
          <w:tcPr>
            <w:tcW w:w="8411" w:type="dxa"/>
            <w:gridSpan w:val="2"/>
            <w:tcBorders>
              <w:top w:val="single" w:sz="2" w:space="0" w:color="000000"/>
              <w:left w:val="single" w:sz="2" w:space="0" w:color="000000"/>
              <w:bottom w:val="single" w:sz="2" w:space="0" w:color="000000"/>
              <w:right w:val="single" w:sz="2" w:space="0" w:color="000000"/>
            </w:tcBorders>
          </w:tcPr>
          <w:p w14:paraId="5E2AE66F" w14:textId="6D231022" w:rsidR="00F17929" w:rsidRPr="00F17929" w:rsidRDefault="00F17929" w:rsidP="00F17929">
            <w:pPr>
              <w:spacing w:line="259" w:lineRule="auto"/>
              <w:ind w:right="-3"/>
              <w:jc w:val="left"/>
              <w:rPr>
                <w:color w:val="0070C0"/>
                <w:sz w:val="24"/>
                <w:szCs w:val="24"/>
              </w:rPr>
            </w:pPr>
            <w:r w:rsidRPr="00F17929">
              <w:rPr>
                <w:color w:val="0070C0"/>
                <w:sz w:val="24"/>
                <w:szCs w:val="24"/>
              </w:rPr>
              <w:t>odbiorca końcowy wytwarzający energię w instalacji OZE przyłączonej za pośrednictwem wewnętrznej instalacji budynku wielolokalowego.</w:t>
            </w:r>
          </w:p>
        </w:tc>
      </w:tr>
    </w:tbl>
    <w:p w14:paraId="76FB9FF5" w14:textId="4660A5C8" w:rsidR="00A938A5" w:rsidRPr="00AE3F1B" w:rsidRDefault="007C22B1" w:rsidP="00175586">
      <w:pPr>
        <w:spacing w:after="15" w:line="249" w:lineRule="auto"/>
        <w:ind w:left="567" w:right="-3" w:hanging="567"/>
        <w:jc w:val="left"/>
        <w:rPr>
          <w:rFonts w:ascii="Garamond" w:hAnsi="Garamond"/>
          <w:sz w:val="24"/>
          <w:szCs w:val="24"/>
        </w:rPr>
      </w:pPr>
      <w:r w:rsidRPr="00AE3F1B">
        <w:rPr>
          <w:rFonts w:ascii="Garamond" w:hAnsi="Garamond"/>
          <w:sz w:val="24"/>
          <w:szCs w:val="24"/>
        </w:rPr>
        <w:br/>
      </w:r>
      <w:r w:rsidR="00A938A5" w:rsidRPr="00AE3F1B">
        <w:rPr>
          <w:rFonts w:ascii="Garamond" w:hAnsi="Garamond"/>
          <w:sz w:val="24"/>
          <w:szCs w:val="24"/>
        </w:rPr>
        <w:t>Słownik pojęć i definicji, w tym także oznaczenia skró</w:t>
      </w:r>
      <w:r w:rsidRPr="00AE3F1B">
        <w:rPr>
          <w:rFonts w:ascii="Garamond" w:hAnsi="Garamond"/>
          <w:sz w:val="24"/>
          <w:szCs w:val="24"/>
        </w:rPr>
        <w:t>t</w:t>
      </w:r>
      <w:r w:rsidR="00A938A5" w:rsidRPr="00AE3F1B">
        <w:rPr>
          <w:rFonts w:ascii="Garamond" w:hAnsi="Garamond"/>
          <w:sz w:val="24"/>
          <w:szCs w:val="24"/>
        </w:rPr>
        <w:t xml:space="preserve">ów, obejmuje również skróty i definicje stosowanych pojęć, które są użyte w pozostałych dokumentach towarzyszących, w </w:t>
      </w:r>
      <w:r w:rsidR="005B3AD1" w:rsidRPr="00AE3F1B">
        <w:rPr>
          <w:rFonts w:ascii="Garamond" w:hAnsi="Garamond"/>
          <w:sz w:val="24"/>
          <w:szCs w:val="24"/>
        </w:rPr>
        <w:t xml:space="preserve">szczególności </w:t>
      </w:r>
      <w:r w:rsidR="00BA6D98" w:rsidRPr="00BA6D98">
        <w:rPr>
          <w:rFonts w:ascii="Garamond" w:hAnsi="Garamond"/>
          <w:sz w:val="24"/>
          <w:szCs w:val="24"/>
        </w:rPr>
        <w:t xml:space="preserve">IRiESD </w:t>
      </w:r>
      <w:r w:rsidR="005B3AD1" w:rsidRPr="00AE3F1B">
        <w:rPr>
          <w:rFonts w:ascii="Garamond" w:hAnsi="Garamond"/>
          <w:sz w:val="24"/>
          <w:szCs w:val="24"/>
        </w:rPr>
        <w:t>zatwierdzonej</w:t>
      </w:r>
      <w:r w:rsidR="00A938A5" w:rsidRPr="00AE3F1B">
        <w:rPr>
          <w:rFonts w:ascii="Garamond" w:hAnsi="Garamond"/>
          <w:sz w:val="24"/>
          <w:szCs w:val="24"/>
        </w:rPr>
        <w:t xml:space="preserve"> przez Prezesa URE dla PGE Dystrybucja S.A. jako OSDp i IRiESP zatwierdzonej przez Prezesa URE dla PSE S.A. jako OSP, a także ustawie Prawo energetyczne</w:t>
      </w:r>
      <w:r w:rsidRPr="00AE3F1B">
        <w:rPr>
          <w:rFonts w:ascii="Garamond" w:hAnsi="Garamond"/>
          <w:sz w:val="24"/>
          <w:szCs w:val="24"/>
        </w:rPr>
        <w:br/>
      </w:r>
      <w:r w:rsidR="00A938A5" w:rsidRPr="00AE3F1B">
        <w:rPr>
          <w:rFonts w:ascii="Garamond" w:hAnsi="Garamond"/>
          <w:sz w:val="24"/>
          <w:szCs w:val="24"/>
        </w:rPr>
        <w:t>i pozostałych dokumentach wymienionych w punkcie A.</w:t>
      </w:r>
      <w:r w:rsidRPr="00AE3F1B">
        <w:rPr>
          <w:rFonts w:ascii="Garamond" w:hAnsi="Garamond"/>
          <w:sz w:val="24"/>
          <w:szCs w:val="24"/>
        </w:rPr>
        <w:t>1.1.</w:t>
      </w:r>
      <w:r w:rsidRPr="00AE3F1B">
        <w:rPr>
          <w:rFonts w:ascii="Garamond" w:hAnsi="Garamond"/>
          <w:sz w:val="24"/>
          <w:szCs w:val="24"/>
        </w:rPr>
        <w:br/>
      </w:r>
    </w:p>
    <w:p w14:paraId="2E3474D0" w14:textId="77777777" w:rsidR="00A938A5" w:rsidRPr="00AE3F1B" w:rsidRDefault="00A938A5">
      <w:pPr>
        <w:numPr>
          <w:ilvl w:val="1"/>
          <w:numId w:val="54"/>
        </w:numPr>
        <w:spacing w:after="15" w:line="248" w:lineRule="auto"/>
        <w:ind w:left="567" w:right="-3" w:hanging="567"/>
        <w:jc w:val="left"/>
        <w:rPr>
          <w:rFonts w:ascii="Garamond" w:hAnsi="Garamond"/>
          <w:sz w:val="24"/>
          <w:szCs w:val="24"/>
        </w:rPr>
      </w:pPr>
      <w:r w:rsidRPr="00AE3F1B">
        <w:rPr>
          <w:rFonts w:ascii="Garamond" w:hAnsi="Garamond"/>
          <w:sz w:val="24"/>
          <w:szCs w:val="24"/>
        </w:rPr>
        <w:t>Pojęcia i definicje</w:t>
      </w:r>
    </w:p>
    <w:tbl>
      <w:tblPr>
        <w:tblStyle w:val="TableGrid"/>
        <w:tblW w:w="9639" w:type="dxa"/>
        <w:tblInd w:w="281" w:type="dxa"/>
        <w:tblCellMar>
          <w:top w:w="53" w:type="dxa"/>
          <w:left w:w="72" w:type="dxa"/>
          <w:right w:w="69" w:type="dxa"/>
        </w:tblCellMar>
        <w:tblLook w:val="04A0" w:firstRow="1" w:lastRow="0" w:firstColumn="1" w:lastColumn="0" w:noHBand="0" w:noVBand="1"/>
      </w:tblPr>
      <w:tblGrid>
        <w:gridCol w:w="2059"/>
        <w:gridCol w:w="7580"/>
      </w:tblGrid>
      <w:tr w:rsidR="00A938A5" w:rsidRPr="00AE3F1B" w14:paraId="75872499" w14:textId="77777777" w:rsidTr="00012668">
        <w:trPr>
          <w:trHeight w:val="688"/>
        </w:trPr>
        <w:tc>
          <w:tcPr>
            <w:tcW w:w="2059" w:type="dxa"/>
            <w:tcBorders>
              <w:top w:val="single" w:sz="2" w:space="0" w:color="000000"/>
              <w:left w:val="single" w:sz="2" w:space="0" w:color="000000"/>
              <w:bottom w:val="single" w:sz="2" w:space="0" w:color="000000"/>
              <w:right w:val="single" w:sz="2" w:space="0" w:color="000000"/>
            </w:tcBorders>
            <w:vAlign w:val="center"/>
          </w:tcPr>
          <w:p w14:paraId="2D721E50" w14:textId="77777777" w:rsidR="00A938A5" w:rsidRPr="00AE3F1B" w:rsidRDefault="00A938A5" w:rsidP="00012668">
            <w:pPr>
              <w:spacing w:line="259" w:lineRule="auto"/>
              <w:ind w:left="24" w:right="-3" w:hanging="24"/>
              <w:jc w:val="left"/>
              <w:rPr>
                <w:rFonts w:ascii="Garamond" w:hAnsi="Garamond"/>
                <w:sz w:val="24"/>
                <w:szCs w:val="24"/>
              </w:rPr>
            </w:pPr>
            <w:r w:rsidRPr="00AE3F1B">
              <w:rPr>
                <w:rFonts w:ascii="Garamond" w:hAnsi="Garamond"/>
                <w:sz w:val="24"/>
                <w:szCs w:val="24"/>
              </w:rPr>
              <w:t>Administrator</w:t>
            </w:r>
          </w:p>
          <w:p w14:paraId="0E01B93C" w14:textId="77777777" w:rsidR="00A938A5" w:rsidRPr="00AE3F1B" w:rsidRDefault="00A938A5" w:rsidP="00012668">
            <w:pPr>
              <w:spacing w:line="259" w:lineRule="auto"/>
              <w:ind w:left="24" w:right="-3" w:hanging="24"/>
              <w:jc w:val="left"/>
              <w:rPr>
                <w:rFonts w:ascii="Garamond" w:hAnsi="Garamond"/>
                <w:sz w:val="24"/>
                <w:szCs w:val="24"/>
              </w:rPr>
            </w:pPr>
            <w:r w:rsidRPr="00AE3F1B">
              <w:rPr>
                <w:rFonts w:ascii="Garamond" w:hAnsi="Garamond"/>
                <w:sz w:val="24"/>
                <w:szCs w:val="24"/>
              </w:rPr>
              <w:t>Pomiarów</w:t>
            </w:r>
          </w:p>
        </w:tc>
        <w:tc>
          <w:tcPr>
            <w:tcW w:w="7580" w:type="dxa"/>
            <w:tcBorders>
              <w:top w:val="single" w:sz="2" w:space="0" w:color="000000"/>
              <w:left w:val="single" w:sz="2" w:space="0" w:color="000000"/>
              <w:bottom w:val="single" w:sz="2" w:space="0" w:color="000000"/>
              <w:right w:val="single" w:sz="2" w:space="0" w:color="000000"/>
            </w:tcBorders>
          </w:tcPr>
          <w:p w14:paraId="732BE1ED" w14:textId="77777777" w:rsidR="00A938A5" w:rsidRPr="00AE3F1B" w:rsidRDefault="00A938A5" w:rsidP="00C20264">
            <w:pPr>
              <w:spacing w:line="259" w:lineRule="auto"/>
              <w:ind w:left="63" w:right="-3" w:hanging="63"/>
              <w:jc w:val="left"/>
              <w:rPr>
                <w:rFonts w:ascii="Garamond" w:hAnsi="Garamond"/>
                <w:sz w:val="24"/>
                <w:szCs w:val="24"/>
              </w:rPr>
            </w:pPr>
            <w:r w:rsidRPr="00AE3F1B">
              <w:rPr>
                <w:rFonts w:ascii="Garamond" w:hAnsi="Garamond"/>
                <w:sz w:val="24"/>
                <w:szCs w:val="24"/>
              </w:rPr>
              <w:t>Jednostka organizacyjna OSD odpowiedzialna za obsługę i kontrolę układów pomiarowo-rozliczeniowych.</w:t>
            </w:r>
          </w:p>
        </w:tc>
      </w:tr>
      <w:tr w:rsidR="00A938A5" w:rsidRPr="00AE3F1B" w14:paraId="4C238C51" w14:textId="77777777" w:rsidTr="00012668">
        <w:trPr>
          <w:trHeight w:val="859"/>
        </w:trPr>
        <w:tc>
          <w:tcPr>
            <w:tcW w:w="2059" w:type="dxa"/>
            <w:tcBorders>
              <w:top w:val="single" w:sz="2" w:space="0" w:color="000000"/>
              <w:left w:val="single" w:sz="2" w:space="0" w:color="000000"/>
              <w:bottom w:val="single" w:sz="2" w:space="0" w:color="000000"/>
              <w:right w:val="single" w:sz="2" w:space="0" w:color="000000"/>
            </w:tcBorders>
          </w:tcPr>
          <w:p w14:paraId="5C940A2D" w14:textId="3775B7B6" w:rsidR="00A938A5" w:rsidRPr="00AE3F1B" w:rsidRDefault="00A938A5" w:rsidP="00012668">
            <w:pPr>
              <w:spacing w:line="259" w:lineRule="auto"/>
              <w:ind w:left="24" w:right="-3" w:hanging="24"/>
              <w:jc w:val="left"/>
              <w:rPr>
                <w:rFonts w:ascii="Garamond" w:hAnsi="Garamond"/>
                <w:sz w:val="24"/>
                <w:szCs w:val="24"/>
              </w:rPr>
            </w:pPr>
            <w:r w:rsidRPr="00AE3F1B">
              <w:rPr>
                <w:rFonts w:ascii="Garamond" w:hAnsi="Garamond"/>
                <w:sz w:val="24"/>
                <w:szCs w:val="24"/>
              </w:rPr>
              <w:t>Automatyczny</w:t>
            </w:r>
            <w:r w:rsidR="00257369">
              <w:rPr>
                <w:rFonts w:ascii="Garamond" w:hAnsi="Garamond"/>
                <w:sz w:val="24"/>
                <w:szCs w:val="24"/>
              </w:rPr>
              <w:t xml:space="preserve"> </w:t>
            </w:r>
            <w:r w:rsidRPr="00AE3F1B">
              <w:rPr>
                <w:rFonts w:ascii="Garamond" w:hAnsi="Garamond"/>
                <w:sz w:val="24"/>
                <w:szCs w:val="24"/>
              </w:rPr>
              <w:t>układ regulacji napięcia elektrowni (ARNE)</w:t>
            </w:r>
          </w:p>
        </w:tc>
        <w:tc>
          <w:tcPr>
            <w:tcW w:w="7580" w:type="dxa"/>
            <w:tcBorders>
              <w:top w:val="single" w:sz="2" w:space="0" w:color="000000"/>
              <w:left w:val="single" w:sz="2" w:space="0" w:color="000000"/>
              <w:bottom w:val="single" w:sz="2" w:space="0" w:color="000000"/>
              <w:right w:val="single" w:sz="2" w:space="0" w:color="000000"/>
            </w:tcBorders>
            <w:vAlign w:val="center"/>
          </w:tcPr>
          <w:p w14:paraId="36573F48" w14:textId="77777777" w:rsidR="00A938A5" w:rsidRPr="00AE3F1B" w:rsidRDefault="00A938A5" w:rsidP="00C20264">
            <w:pPr>
              <w:spacing w:line="259" w:lineRule="auto"/>
              <w:ind w:left="205" w:right="-3"/>
              <w:jc w:val="left"/>
              <w:rPr>
                <w:rFonts w:ascii="Garamond" w:hAnsi="Garamond"/>
                <w:sz w:val="24"/>
                <w:szCs w:val="24"/>
              </w:rPr>
            </w:pPr>
            <w:r w:rsidRPr="00AE3F1B">
              <w:rPr>
                <w:rFonts w:ascii="Garamond" w:hAnsi="Garamond"/>
                <w:sz w:val="24"/>
                <w:szCs w:val="24"/>
              </w:rPr>
              <w:t>Układ automatycznej regulacji napięcia i mocy biernej w węźle wytwórczym.</w:t>
            </w:r>
          </w:p>
        </w:tc>
      </w:tr>
      <w:tr w:rsidR="0021654E" w:rsidRPr="00AE3F1B" w14:paraId="36AD54FA" w14:textId="77777777" w:rsidTr="00012668">
        <w:tblPrEx>
          <w:tblCellMar>
            <w:top w:w="46" w:type="dxa"/>
            <w:left w:w="58" w:type="dxa"/>
            <w:right w:w="50" w:type="dxa"/>
          </w:tblCellMar>
        </w:tblPrEx>
        <w:trPr>
          <w:trHeight w:val="875"/>
        </w:trPr>
        <w:tc>
          <w:tcPr>
            <w:tcW w:w="2059" w:type="dxa"/>
            <w:tcBorders>
              <w:top w:val="nil"/>
              <w:left w:val="single" w:sz="2" w:space="0" w:color="000000"/>
              <w:bottom w:val="single" w:sz="2" w:space="0" w:color="000000"/>
              <w:right w:val="single" w:sz="2" w:space="0" w:color="000000"/>
            </w:tcBorders>
          </w:tcPr>
          <w:p w14:paraId="0ACACD21" w14:textId="77777777" w:rsidR="0021654E" w:rsidRPr="00AE3F1B" w:rsidRDefault="0021654E" w:rsidP="00012668">
            <w:pPr>
              <w:spacing w:line="259" w:lineRule="auto"/>
              <w:ind w:left="24" w:right="-3" w:hanging="24"/>
              <w:jc w:val="left"/>
              <w:rPr>
                <w:rFonts w:ascii="Garamond" w:hAnsi="Garamond"/>
                <w:sz w:val="24"/>
                <w:szCs w:val="24"/>
              </w:rPr>
            </w:pPr>
            <w:r w:rsidRPr="00AE3F1B">
              <w:rPr>
                <w:rFonts w:ascii="Garamond" w:hAnsi="Garamond"/>
                <w:sz w:val="24"/>
                <w:szCs w:val="24"/>
              </w:rPr>
              <w:t>Awaria sieciowa</w:t>
            </w:r>
          </w:p>
        </w:tc>
        <w:tc>
          <w:tcPr>
            <w:tcW w:w="7580" w:type="dxa"/>
            <w:tcBorders>
              <w:top w:val="nil"/>
              <w:left w:val="single" w:sz="2" w:space="0" w:color="000000"/>
              <w:bottom w:val="single" w:sz="2" w:space="0" w:color="000000"/>
              <w:right w:val="single" w:sz="2" w:space="0" w:color="000000"/>
            </w:tcBorders>
          </w:tcPr>
          <w:p w14:paraId="212C2C54" w14:textId="682FE28C" w:rsidR="0021654E" w:rsidRPr="00AE3F1B" w:rsidRDefault="0021654E" w:rsidP="00C20264">
            <w:pPr>
              <w:spacing w:line="259" w:lineRule="auto"/>
              <w:ind w:left="79" w:right="-3" w:hanging="79"/>
              <w:jc w:val="left"/>
              <w:rPr>
                <w:rFonts w:ascii="Garamond" w:hAnsi="Garamond"/>
                <w:sz w:val="24"/>
                <w:szCs w:val="24"/>
              </w:rPr>
            </w:pPr>
            <w:r w:rsidRPr="00AE3F1B">
              <w:rPr>
                <w:rFonts w:ascii="Garamond" w:hAnsi="Garamond"/>
                <w:sz w:val="24"/>
                <w:szCs w:val="24"/>
              </w:rPr>
              <w:t xml:space="preserve">Zdarzenie ruchowe, w </w:t>
            </w:r>
            <w:r w:rsidR="0077061D" w:rsidRPr="00AE3F1B">
              <w:rPr>
                <w:rFonts w:ascii="Garamond" w:hAnsi="Garamond"/>
                <w:sz w:val="24"/>
                <w:szCs w:val="24"/>
              </w:rPr>
              <w:t>wyniku,</w:t>
            </w:r>
            <w:r w:rsidRPr="00AE3F1B">
              <w:rPr>
                <w:rFonts w:ascii="Garamond" w:hAnsi="Garamond"/>
                <w:sz w:val="24"/>
                <w:szCs w:val="24"/>
              </w:rPr>
              <w:t xml:space="preserve"> którego następuje wyłączenie z ruchu synchronicznego części KSE, która produkuje lub pobiera z sieci energię elektryczną w ilości nie większej niż 5 % całkowitej bieżącej produkcji.</w:t>
            </w:r>
          </w:p>
        </w:tc>
      </w:tr>
      <w:tr w:rsidR="0021654E" w:rsidRPr="00AE3F1B" w14:paraId="7236B21D" w14:textId="77777777" w:rsidTr="00012668">
        <w:tblPrEx>
          <w:tblCellMar>
            <w:top w:w="46" w:type="dxa"/>
            <w:left w:w="58" w:type="dxa"/>
            <w:right w:w="50" w:type="dxa"/>
          </w:tblCellMar>
        </w:tblPrEx>
        <w:trPr>
          <w:trHeight w:val="859"/>
        </w:trPr>
        <w:tc>
          <w:tcPr>
            <w:tcW w:w="2059" w:type="dxa"/>
            <w:tcBorders>
              <w:top w:val="single" w:sz="2" w:space="0" w:color="000000"/>
              <w:left w:val="single" w:sz="2" w:space="0" w:color="000000"/>
              <w:bottom w:val="single" w:sz="2" w:space="0" w:color="000000"/>
              <w:right w:val="single" w:sz="2" w:space="0" w:color="000000"/>
            </w:tcBorders>
          </w:tcPr>
          <w:p w14:paraId="32A1D915" w14:textId="77777777" w:rsidR="0021654E" w:rsidRPr="00AE3F1B" w:rsidRDefault="0021654E" w:rsidP="00012668">
            <w:pPr>
              <w:spacing w:line="259" w:lineRule="auto"/>
              <w:ind w:left="24" w:right="-3" w:hanging="24"/>
              <w:jc w:val="left"/>
              <w:rPr>
                <w:rFonts w:ascii="Garamond" w:hAnsi="Garamond"/>
                <w:sz w:val="24"/>
                <w:szCs w:val="24"/>
              </w:rPr>
            </w:pPr>
            <w:r w:rsidRPr="00AE3F1B">
              <w:rPr>
                <w:rFonts w:ascii="Garamond" w:hAnsi="Garamond"/>
                <w:sz w:val="24"/>
                <w:szCs w:val="24"/>
              </w:rPr>
              <w:lastRenderedPageBreak/>
              <w:t>Awaria w systemie</w:t>
            </w:r>
          </w:p>
        </w:tc>
        <w:tc>
          <w:tcPr>
            <w:tcW w:w="7580" w:type="dxa"/>
            <w:tcBorders>
              <w:top w:val="single" w:sz="2" w:space="0" w:color="000000"/>
              <w:left w:val="single" w:sz="2" w:space="0" w:color="000000"/>
              <w:bottom w:val="single" w:sz="2" w:space="0" w:color="000000"/>
              <w:right w:val="single" w:sz="2" w:space="0" w:color="000000"/>
            </w:tcBorders>
          </w:tcPr>
          <w:p w14:paraId="0611C171" w14:textId="12CE4734" w:rsidR="0021654E" w:rsidRPr="00AE3F1B" w:rsidRDefault="0021654E" w:rsidP="00C20264">
            <w:pPr>
              <w:spacing w:line="259" w:lineRule="auto"/>
              <w:ind w:left="79" w:right="-3"/>
              <w:jc w:val="left"/>
              <w:rPr>
                <w:rFonts w:ascii="Garamond" w:hAnsi="Garamond"/>
                <w:sz w:val="24"/>
                <w:szCs w:val="24"/>
              </w:rPr>
            </w:pPr>
            <w:r w:rsidRPr="00AE3F1B">
              <w:rPr>
                <w:rFonts w:ascii="Garamond" w:hAnsi="Garamond"/>
                <w:sz w:val="24"/>
                <w:szCs w:val="24"/>
              </w:rPr>
              <w:t xml:space="preserve">Zdarzenie ruchowe, w </w:t>
            </w:r>
            <w:r w:rsidR="0077061D" w:rsidRPr="00AE3F1B">
              <w:rPr>
                <w:rFonts w:ascii="Garamond" w:hAnsi="Garamond"/>
                <w:sz w:val="24"/>
                <w:szCs w:val="24"/>
              </w:rPr>
              <w:t>wyniku,</w:t>
            </w:r>
            <w:r w:rsidRPr="00AE3F1B">
              <w:rPr>
                <w:rFonts w:ascii="Garamond" w:hAnsi="Garamond"/>
                <w:sz w:val="24"/>
                <w:szCs w:val="24"/>
              </w:rPr>
              <w:t xml:space="preserve"> którego następuje wyłączenie z ruchu synchronicznego części KSE, która produkuje lub pobiera z sieci energię elektryczną w ilości co najmniej 5 % całkowitej bieżącej produkcji.</w:t>
            </w:r>
          </w:p>
        </w:tc>
      </w:tr>
      <w:tr w:rsidR="0021654E" w:rsidRPr="00AE3F1B" w14:paraId="38CC3CD0" w14:textId="77777777" w:rsidTr="00012668">
        <w:tblPrEx>
          <w:tblCellMar>
            <w:top w:w="46" w:type="dxa"/>
            <w:left w:w="58" w:type="dxa"/>
            <w:right w:w="50" w:type="dxa"/>
          </w:tblCellMar>
        </w:tblPrEx>
        <w:trPr>
          <w:trHeight w:val="863"/>
        </w:trPr>
        <w:tc>
          <w:tcPr>
            <w:tcW w:w="2059" w:type="dxa"/>
            <w:tcBorders>
              <w:top w:val="single" w:sz="2" w:space="0" w:color="000000"/>
              <w:left w:val="single" w:sz="2" w:space="0" w:color="000000"/>
              <w:bottom w:val="single" w:sz="2" w:space="0" w:color="000000"/>
              <w:right w:val="single" w:sz="2" w:space="0" w:color="000000"/>
            </w:tcBorders>
          </w:tcPr>
          <w:p w14:paraId="375BE6DD" w14:textId="77777777" w:rsidR="0021654E" w:rsidRPr="00AE3F1B" w:rsidRDefault="0021654E" w:rsidP="00012668">
            <w:pPr>
              <w:spacing w:line="259" w:lineRule="auto"/>
              <w:ind w:left="24" w:right="-3" w:hanging="24"/>
              <w:jc w:val="left"/>
              <w:rPr>
                <w:rFonts w:ascii="Garamond" w:hAnsi="Garamond"/>
                <w:sz w:val="24"/>
                <w:szCs w:val="24"/>
              </w:rPr>
            </w:pPr>
            <w:r w:rsidRPr="00AE3F1B">
              <w:rPr>
                <w:rFonts w:ascii="Garamond" w:hAnsi="Garamond"/>
                <w:sz w:val="24"/>
                <w:szCs w:val="24"/>
              </w:rPr>
              <w:t>Bezpieczeństwo dostaw energii elektrycznej</w:t>
            </w:r>
          </w:p>
        </w:tc>
        <w:tc>
          <w:tcPr>
            <w:tcW w:w="7580" w:type="dxa"/>
            <w:tcBorders>
              <w:top w:val="single" w:sz="2" w:space="0" w:color="000000"/>
              <w:left w:val="single" w:sz="2" w:space="0" w:color="000000"/>
              <w:bottom w:val="single" w:sz="2" w:space="0" w:color="000000"/>
              <w:right w:val="single" w:sz="2" w:space="0" w:color="000000"/>
            </w:tcBorders>
          </w:tcPr>
          <w:p w14:paraId="5BB48E84" w14:textId="77777777" w:rsidR="0021654E" w:rsidRPr="00AE3F1B" w:rsidRDefault="0021654E" w:rsidP="00C20264">
            <w:pPr>
              <w:spacing w:line="259" w:lineRule="auto"/>
              <w:ind w:left="79" w:right="-3"/>
              <w:jc w:val="left"/>
              <w:rPr>
                <w:rFonts w:ascii="Garamond" w:hAnsi="Garamond"/>
                <w:sz w:val="24"/>
                <w:szCs w:val="24"/>
              </w:rPr>
            </w:pPr>
            <w:r w:rsidRPr="00AE3F1B">
              <w:rPr>
                <w:rFonts w:ascii="Garamond" w:hAnsi="Garamond"/>
                <w:sz w:val="24"/>
                <w:szCs w:val="24"/>
              </w:rPr>
              <w:t>Zdolność systemu elektroenergetycznego do zapewnienia bezpieczeństwa pracy sieci elektroenergetycznej oraz równoważenia dostaw energii elektrycznej z zapotrzebowaniem na tę energię.</w:t>
            </w:r>
          </w:p>
        </w:tc>
      </w:tr>
      <w:tr w:rsidR="0021654E" w:rsidRPr="00AE3F1B" w14:paraId="5B0AE826" w14:textId="77777777" w:rsidTr="00012668">
        <w:tblPrEx>
          <w:tblCellMar>
            <w:top w:w="46" w:type="dxa"/>
            <w:left w:w="58" w:type="dxa"/>
            <w:right w:w="50" w:type="dxa"/>
          </w:tblCellMar>
        </w:tblPrEx>
        <w:trPr>
          <w:trHeight w:val="1148"/>
        </w:trPr>
        <w:tc>
          <w:tcPr>
            <w:tcW w:w="2059" w:type="dxa"/>
            <w:tcBorders>
              <w:top w:val="single" w:sz="2" w:space="0" w:color="000000"/>
              <w:left w:val="single" w:sz="2" w:space="0" w:color="000000"/>
              <w:bottom w:val="single" w:sz="2" w:space="0" w:color="000000"/>
              <w:right w:val="single" w:sz="2" w:space="0" w:color="000000"/>
            </w:tcBorders>
          </w:tcPr>
          <w:p w14:paraId="0E45CFC2" w14:textId="77777777" w:rsidR="0021654E" w:rsidRPr="00AE3F1B" w:rsidRDefault="0021654E" w:rsidP="00012668">
            <w:pPr>
              <w:spacing w:line="259" w:lineRule="auto"/>
              <w:ind w:left="24" w:right="-3" w:hanging="24"/>
              <w:jc w:val="left"/>
              <w:rPr>
                <w:rFonts w:ascii="Garamond" w:hAnsi="Garamond"/>
                <w:sz w:val="24"/>
                <w:szCs w:val="24"/>
              </w:rPr>
            </w:pPr>
            <w:r w:rsidRPr="00AE3F1B">
              <w:rPr>
                <w:rFonts w:ascii="Garamond" w:hAnsi="Garamond"/>
                <w:sz w:val="24"/>
                <w:szCs w:val="24"/>
              </w:rPr>
              <w:t>Bilansowanie systemu</w:t>
            </w:r>
          </w:p>
        </w:tc>
        <w:tc>
          <w:tcPr>
            <w:tcW w:w="7580" w:type="dxa"/>
            <w:tcBorders>
              <w:top w:val="single" w:sz="2" w:space="0" w:color="000000"/>
              <w:left w:val="single" w:sz="2" w:space="0" w:color="000000"/>
              <w:bottom w:val="single" w:sz="2" w:space="0" w:color="000000"/>
              <w:right w:val="single" w:sz="2" w:space="0" w:color="000000"/>
            </w:tcBorders>
          </w:tcPr>
          <w:p w14:paraId="273FF0F0" w14:textId="77777777" w:rsidR="0021654E" w:rsidRPr="00AE3F1B" w:rsidRDefault="0021654E" w:rsidP="00C20264">
            <w:pPr>
              <w:spacing w:line="259" w:lineRule="auto"/>
              <w:ind w:left="79" w:right="-3"/>
              <w:jc w:val="left"/>
              <w:rPr>
                <w:rFonts w:ascii="Garamond" w:hAnsi="Garamond"/>
                <w:sz w:val="24"/>
                <w:szCs w:val="24"/>
              </w:rPr>
            </w:pPr>
            <w:r w:rsidRPr="00AE3F1B">
              <w:rPr>
                <w:rFonts w:ascii="Garamond" w:hAnsi="Garamond"/>
                <w:sz w:val="24"/>
                <w:szCs w:val="24"/>
              </w:rPr>
              <w:t>Działalność gospodarczą wykonywaną przez operatora systemu przesyłowego lub dystrybucyjnego w ramach świadczonych usług przesyłania lub dystrybucji, polegającą na równoważeniu zapotrzebowania na energię elektryczną z dostawami tej energii.</w:t>
            </w:r>
          </w:p>
        </w:tc>
      </w:tr>
      <w:tr w:rsidR="0021654E" w:rsidRPr="00AE3F1B" w14:paraId="1BFEB56C" w14:textId="77777777" w:rsidTr="00012668">
        <w:tblPrEx>
          <w:tblCellMar>
            <w:top w:w="46" w:type="dxa"/>
            <w:left w:w="58" w:type="dxa"/>
            <w:right w:w="50" w:type="dxa"/>
          </w:tblCellMar>
        </w:tblPrEx>
        <w:trPr>
          <w:trHeight w:val="460"/>
        </w:trPr>
        <w:tc>
          <w:tcPr>
            <w:tcW w:w="2059" w:type="dxa"/>
            <w:tcBorders>
              <w:top w:val="single" w:sz="2" w:space="0" w:color="000000"/>
              <w:left w:val="single" w:sz="2" w:space="0" w:color="000000"/>
              <w:bottom w:val="single" w:sz="2" w:space="0" w:color="000000"/>
              <w:right w:val="single" w:sz="2" w:space="0" w:color="000000"/>
            </w:tcBorders>
            <w:vAlign w:val="center"/>
          </w:tcPr>
          <w:p w14:paraId="4C78E627" w14:textId="77777777" w:rsidR="0021654E" w:rsidRPr="00AE3F1B" w:rsidRDefault="0021654E" w:rsidP="00012668">
            <w:pPr>
              <w:spacing w:line="259" w:lineRule="auto"/>
              <w:ind w:left="24" w:right="-3" w:hanging="24"/>
              <w:jc w:val="left"/>
              <w:rPr>
                <w:rFonts w:ascii="Garamond" w:hAnsi="Garamond"/>
                <w:sz w:val="24"/>
                <w:szCs w:val="24"/>
              </w:rPr>
            </w:pPr>
            <w:r w:rsidRPr="00AE3F1B">
              <w:rPr>
                <w:rFonts w:ascii="Garamond" w:hAnsi="Garamond"/>
                <w:sz w:val="24"/>
                <w:szCs w:val="24"/>
              </w:rPr>
              <w:t>Dane pomiarowe</w:t>
            </w:r>
          </w:p>
        </w:tc>
        <w:tc>
          <w:tcPr>
            <w:tcW w:w="7580" w:type="dxa"/>
            <w:tcBorders>
              <w:top w:val="single" w:sz="2" w:space="0" w:color="000000"/>
              <w:left w:val="single" w:sz="2" w:space="0" w:color="000000"/>
              <w:bottom w:val="single" w:sz="2" w:space="0" w:color="000000"/>
              <w:right w:val="single" w:sz="2" w:space="0" w:color="000000"/>
            </w:tcBorders>
            <w:vAlign w:val="center"/>
          </w:tcPr>
          <w:p w14:paraId="552232AB" w14:textId="77777777" w:rsidR="0021654E" w:rsidRPr="00AE3F1B" w:rsidRDefault="0021654E" w:rsidP="00C20264">
            <w:pPr>
              <w:spacing w:line="259" w:lineRule="auto"/>
              <w:ind w:right="-3"/>
              <w:jc w:val="left"/>
              <w:rPr>
                <w:rFonts w:ascii="Garamond" w:hAnsi="Garamond"/>
                <w:sz w:val="24"/>
                <w:szCs w:val="24"/>
              </w:rPr>
            </w:pPr>
            <w:r w:rsidRPr="00AE3F1B">
              <w:rPr>
                <w:rFonts w:ascii="Garamond" w:hAnsi="Garamond"/>
                <w:sz w:val="24"/>
                <w:szCs w:val="24"/>
              </w:rPr>
              <w:t>Wielkości pozyskane z układów pomiarowo-rozliczeniowych</w:t>
            </w:r>
          </w:p>
        </w:tc>
      </w:tr>
      <w:tr w:rsidR="0021654E" w:rsidRPr="00AE3F1B" w14:paraId="7E759EA5" w14:textId="77777777" w:rsidTr="00012668">
        <w:tblPrEx>
          <w:tblCellMar>
            <w:top w:w="46" w:type="dxa"/>
            <w:left w:w="58" w:type="dxa"/>
            <w:right w:w="50" w:type="dxa"/>
          </w:tblCellMar>
        </w:tblPrEx>
        <w:trPr>
          <w:trHeight w:val="547"/>
        </w:trPr>
        <w:tc>
          <w:tcPr>
            <w:tcW w:w="2059" w:type="dxa"/>
            <w:tcBorders>
              <w:top w:val="single" w:sz="2" w:space="0" w:color="000000"/>
              <w:left w:val="single" w:sz="2" w:space="0" w:color="000000"/>
              <w:bottom w:val="single" w:sz="2" w:space="0" w:color="000000"/>
              <w:right w:val="single" w:sz="2" w:space="0" w:color="000000"/>
            </w:tcBorders>
          </w:tcPr>
          <w:p w14:paraId="1582A7E9" w14:textId="77777777" w:rsidR="0021654E" w:rsidRPr="00AE3F1B" w:rsidRDefault="0021654E" w:rsidP="00012668">
            <w:pPr>
              <w:spacing w:line="259" w:lineRule="auto"/>
              <w:ind w:left="24" w:right="-3" w:hanging="24"/>
              <w:jc w:val="left"/>
              <w:rPr>
                <w:rFonts w:ascii="Garamond" w:hAnsi="Garamond"/>
                <w:sz w:val="24"/>
                <w:szCs w:val="24"/>
              </w:rPr>
            </w:pPr>
            <w:r w:rsidRPr="00AE3F1B">
              <w:rPr>
                <w:rFonts w:ascii="Garamond" w:hAnsi="Garamond"/>
                <w:sz w:val="24"/>
                <w:szCs w:val="24"/>
              </w:rPr>
              <w:t>Dane pomiarowo rozliczeniowe</w:t>
            </w:r>
          </w:p>
        </w:tc>
        <w:tc>
          <w:tcPr>
            <w:tcW w:w="7580" w:type="dxa"/>
            <w:tcBorders>
              <w:top w:val="single" w:sz="2" w:space="0" w:color="000000"/>
              <w:left w:val="single" w:sz="2" w:space="0" w:color="000000"/>
              <w:bottom w:val="single" w:sz="2" w:space="0" w:color="000000"/>
              <w:right w:val="single" w:sz="2" w:space="0" w:color="000000"/>
            </w:tcBorders>
            <w:vAlign w:val="center"/>
          </w:tcPr>
          <w:p w14:paraId="5070478C" w14:textId="77777777" w:rsidR="0021654E" w:rsidRPr="00AE3F1B" w:rsidRDefault="0021654E" w:rsidP="00C20264">
            <w:pPr>
              <w:spacing w:line="259" w:lineRule="auto"/>
              <w:ind w:right="-3"/>
              <w:jc w:val="left"/>
              <w:rPr>
                <w:rFonts w:ascii="Garamond" w:hAnsi="Garamond"/>
                <w:sz w:val="24"/>
                <w:szCs w:val="24"/>
              </w:rPr>
            </w:pPr>
            <w:r w:rsidRPr="00AE3F1B">
              <w:rPr>
                <w:rFonts w:ascii="Garamond" w:hAnsi="Garamond"/>
                <w:sz w:val="24"/>
                <w:szCs w:val="24"/>
              </w:rPr>
              <w:t>Wielkości wyznaczone w PDE, MDD lub FMD</w:t>
            </w:r>
          </w:p>
        </w:tc>
      </w:tr>
      <w:tr w:rsidR="0021654E" w:rsidRPr="00AE3F1B" w14:paraId="0999CF43" w14:textId="77777777" w:rsidTr="00012668">
        <w:tblPrEx>
          <w:tblCellMar>
            <w:top w:w="46" w:type="dxa"/>
            <w:left w:w="58" w:type="dxa"/>
            <w:right w:w="50" w:type="dxa"/>
          </w:tblCellMar>
        </w:tblPrEx>
        <w:trPr>
          <w:trHeight w:val="547"/>
        </w:trPr>
        <w:tc>
          <w:tcPr>
            <w:tcW w:w="2059" w:type="dxa"/>
            <w:tcBorders>
              <w:top w:val="single" w:sz="2" w:space="0" w:color="000000"/>
              <w:left w:val="single" w:sz="2" w:space="0" w:color="000000"/>
              <w:bottom w:val="single" w:sz="2" w:space="0" w:color="000000"/>
              <w:right w:val="single" w:sz="2" w:space="0" w:color="000000"/>
            </w:tcBorders>
          </w:tcPr>
          <w:p w14:paraId="01542984" w14:textId="77777777" w:rsidR="0021654E" w:rsidRPr="00AE3F1B" w:rsidRDefault="0021654E" w:rsidP="00012668">
            <w:pPr>
              <w:spacing w:line="259" w:lineRule="auto"/>
              <w:ind w:left="24" w:right="-3" w:hanging="24"/>
              <w:jc w:val="left"/>
              <w:rPr>
                <w:rFonts w:ascii="Garamond" w:hAnsi="Garamond"/>
                <w:sz w:val="24"/>
                <w:szCs w:val="24"/>
              </w:rPr>
            </w:pPr>
            <w:r w:rsidRPr="00AE3F1B">
              <w:rPr>
                <w:rFonts w:ascii="Garamond" w:hAnsi="Garamond"/>
                <w:sz w:val="24"/>
                <w:szCs w:val="24"/>
              </w:rPr>
              <w:t>Dostawca usługi ładowania</w:t>
            </w:r>
          </w:p>
        </w:tc>
        <w:tc>
          <w:tcPr>
            <w:tcW w:w="7580" w:type="dxa"/>
            <w:tcBorders>
              <w:top w:val="single" w:sz="2" w:space="0" w:color="000000"/>
              <w:left w:val="single" w:sz="2" w:space="0" w:color="000000"/>
              <w:bottom w:val="single" w:sz="2" w:space="0" w:color="000000"/>
              <w:right w:val="single" w:sz="2" w:space="0" w:color="000000"/>
            </w:tcBorders>
            <w:vAlign w:val="center"/>
          </w:tcPr>
          <w:p w14:paraId="14C94CF3" w14:textId="77777777" w:rsidR="0021654E" w:rsidRPr="00AE3F1B" w:rsidRDefault="0021654E" w:rsidP="00C20264">
            <w:pPr>
              <w:spacing w:line="259" w:lineRule="auto"/>
              <w:ind w:right="-3"/>
              <w:jc w:val="left"/>
              <w:rPr>
                <w:rFonts w:ascii="Garamond" w:hAnsi="Garamond"/>
                <w:sz w:val="24"/>
                <w:szCs w:val="24"/>
              </w:rPr>
            </w:pPr>
            <w:r w:rsidRPr="00AE3F1B">
              <w:rPr>
                <w:rFonts w:ascii="Garamond" w:hAnsi="Garamond"/>
                <w:sz w:val="24"/>
                <w:szCs w:val="24"/>
              </w:rPr>
              <w:t>Dostawca usługi ładowania w rozumieniu ustawy o elektro mobilności.</w:t>
            </w:r>
          </w:p>
        </w:tc>
      </w:tr>
      <w:tr w:rsidR="0021654E" w:rsidRPr="00AE3F1B" w14:paraId="17260CD2" w14:textId="77777777" w:rsidTr="00012668">
        <w:tblPrEx>
          <w:tblCellMar>
            <w:top w:w="46" w:type="dxa"/>
            <w:left w:w="58" w:type="dxa"/>
            <w:right w:w="50" w:type="dxa"/>
          </w:tblCellMar>
        </w:tblPrEx>
        <w:trPr>
          <w:trHeight w:val="686"/>
        </w:trPr>
        <w:tc>
          <w:tcPr>
            <w:tcW w:w="2059" w:type="dxa"/>
            <w:tcBorders>
              <w:top w:val="single" w:sz="2" w:space="0" w:color="000000"/>
              <w:left w:val="single" w:sz="2" w:space="0" w:color="000000"/>
              <w:bottom w:val="single" w:sz="2" w:space="0" w:color="000000"/>
              <w:right w:val="single" w:sz="2" w:space="0" w:color="000000"/>
            </w:tcBorders>
            <w:vAlign w:val="center"/>
          </w:tcPr>
          <w:p w14:paraId="6CB0F92B" w14:textId="77777777" w:rsidR="0021654E" w:rsidRPr="00AE3F1B" w:rsidRDefault="0021654E" w:rsidP="00012668">
            <w:pPr>
              <w:spacing w:line="259" w:lineRule="auto"/>
              <w:ind w:left="24" w:right="-3" w:hanging="24"/>
              <w:jc w:val="left"/>
              <w:rPr>
                <w:rFonts w:ascii="Garamond" w:hAnsi="Garamond"/>
                <w:sz w:val="24"/>
                <w:szCs w:val="24"/>
              </w:rPr>
            </w:pPr>
            <w:r w:rsidRPr="00AE3F1B">
              <w:rPr>
                <w:rFonts w:ascii="Garamond" w:hAnsi="Garamond"/>
                <w:sz w:val="24"/>
                <w:szCs w:val="24"/>
              </w:rPr>
              <w:t>Dystrybucja energii elektrycznej</w:t>
            </w:r>
          </w:p>
        </w:tc>
        <w:tc>
          <w:tcPr>
            <w:tcW w:w="7580" w:type="dxa"/>
            <w:tcBorders>
              <w:top w:val="single" w:sz="2" w:space="0" w:color="000000"/>
              <w:left w:val="single" w:sz="2" w:space="0" w:color="000000"/>
              <w:bottom w:val="single" w:sz="2" w:space="0" w:color="000000"/>
              <w:right w:val="single" w:sz="2" w:space="0" w:color="000000"/>
            </w:tcBorders>
          </w:tcPr>
          <w:p w14:paraId="5C53D52D" w14:textId="77777777" w:rsidR="0021654E" w:rsidRPr="00AE3F1B" w:rsidRDefault="0021654E" w:rsidP="00C20264">
            <w:pPr>
              <w:spacing w:line="259" w:lineRule="auto"/>
              <w:ind w:right="-3"/>
              <w:jc w:val="left"/>
              <w:rPr>
                <w:rFonts w:ascii="Garamond" w:hAnsi="Garamond"/>
                <w:sz w:val="24"/>
                <w:szCs w:val="24"/>
              </w:rPr>
            </w:pPr>
            <w:r w:rsidRPr="00AE3F1B">
              <w:rPr>
                <w:rFonts w:ascii="Garamond" w:hAnsi="Garamond"/>
                <w:sz w:val="24"/>
                <w:szCs w:val="24"/>
              </w:rPr>
              <w:t>Transport energii elektrycznej sieciami dystrybucyjnymi w celu jej dostarczania odbiorcom, z wyłączeniem sprzedaży energii elektrycznej.</w:t>
            </w:r>
          </w:p>
        </w:tc>
      </w:tr>
      <w:tr w:rsidR="0021654E" w:rsidRPr="00AE3F1B" w14:paraId="7742AEA9" w14:textId="77777777" w:rsidTr="00012668">
        <w:tblPrEx>
          <w:tblCellMar>
            <w:top w:w="46" w:type="dxa"/>
            <w:left w:w="58" w:type="dxa"/>
            <w:right w:w="50" w:type="dxa"/>
          </w:tblCellMar>
        </w:tblPrEx>
        <w:trPr>
          <w:trHeight w:val="1144"/>
        </w:trPr>
        <w:tc>
          <w:tcPr>
            <w:tcW w:w="2059" w:type="dxa"/>
            <w:tcBorders>
              <w:top w:val="single" w:sz="2" w:space="0" w:color="000000"/>
              <w:left w:val="single" w:sz="2" w:space="0" w:color="000000"/>
              <w:bottom w:val="single" w:sz="2" w:space="0" w:color="000000"/>
              <w:right w:val="single" w:sz="2" w:space="0" w:color="000000"/>
            </w:tcBorders>
            <w:vAlign w:val="center"/>
          </w:tcPr>
          <w:p w14:paraId="29C6963A" w14:textId="77777777" w:rsidR="0021654E" w:rsidRPr="00AE3F1B" w:rsidRDefault="0021654E" w:rsidP="00012668">
            <w:pPr>
              <w:spacing w:line="259" w:lineRule="auto"/>
              <w:ind w:left="24" w:right="-3" w:hanging="24"/>
              <w:jc w:val="left"/>
              <w:rPr>
                <w:rFonts w:ascii="Garamond" w:hAnsi="Garamond"/>
                <w:sz w:val="24"/>
                <w:szCs w:val="24"/>
              </w:rPr>
            </w:pPr>
            <w:r w:rsidRPr="00AE3F1B">
              <w:rPr>
                <w:rFonts w:ascii="Garamond" w:hAnsi="Garamond"/>
                <w:sz w:val="24"/>
                <w:szCs w:val="24"/>
              </w:rPr>
              <w:t>Elektroenergetyczna automatyka zabezpieczeniowa</w:t>
            </w:r>
          </w:p>
        </w:tc>
        <w:tc>
          <w:tcPr>
            <w:tcW w:w="7580" w:type="dxa"/>
            <w:tcBorders>
              <w:top w:val="single" w:sz="2" w:space="0" w:color="000000"/>
              <w:left w:val="single" w:sz="2" w:space="0" w:color="000000"/>
              <w:bottom w:val="single" w:sz="2" w:space="0" w:color="000000"/>
              <w:right w:val="single" w:sz="2" w:space="0" w:color="000000"/>
            </w:tcBorders>
          </w:tcPr>
          <w:p w14:paraId="427E02EA" w14:textId="41E419AE" w:rsidR="0021654E" w:rsidRPr="00AE3F1B" w:rsidRDefault="0077061D" w:rsidP="00C20264">
            <w:pPr>
              <w:spacing w:line="259" w:lineRule="auto"/>
              <w:ind w:right="-3"/>
              <w:jc w:val="left"/>
              <w:rPr>
                <w:rFonts w:ascii="Garamond" w:hAnsi="Garamond"/>
                <w:sz w:val="24"/>
                <w:szCs w:val="24"/>
              </w:rPr>
            </w:pPr>
            <w:r w:rsidRPr="00AE3F1B">
              <w:rPr>
                <w:rFonts w:ascii="Garamond" w:hAnsi="Garamond"/>
                <w:sz w:val="24"/>
                <w:szCs w:val="24"/>
              </w:rPr>
              <w:t>Automatyka,</w:t>
            </w:r>
            <w:r w:rsidR="0021654E" w:rsidRPr="00AE3F1B">
              <w:rPr>
                <w:rFonts w:ascii="Garamond" w:hAnsi="Garamond"/>
                <w:sz w:val="24"/>
                <w:szCs w:val="24"/>
              </w:rPr>
              <w:t xml:space="preserve"> której celem jest wykrywanie zakłóceń w pracy systemu elektroenergetycznego lub jego elementach oraz podejmowanie działań mających na celu zminimalizowanie ich skutków. EAZ dzielimy na automatykę eliminacyjną, prewencyjną oraz restytucyjną.</w:t>
            </w:r>
          </w:p>
        </w:tc>
      </w:tr>
      <w:tr w:rsidR="0021654E" w:rsidRPr="00AE3F1B" w14:paraId="762EE645" w14:textId="77777777" w:rsidTr="00012668">
        <w:tblPrEx>
          <w:tblCellMar>
            <w:top w:w="46" w:type="dxa"/>
            <w:left w:w="58" w:type="dxa"/>
            <w:right w:w="50" w:type="dxa"/>
          </w:tblCellMar>
        </w:tblPrEx>
        <w:trPr>
          <w:trHeight w:val="1353"/>
        </w:trPr>
        <w:tc>
          <w:tcPr>
            <w:tcW w:w="2059" w:type="dxa"/>
            <w:tcBorders>
              <w:top w:val="single" w:sz="2" w:space="0" w:color="000000"/>
              <w:left w:val="single" w:sz="2" w:space="0" w:color="000000"/>
              <w:bottom w:val="single" w:sz="2" w:space="0" w:color="000000"/>
              <w:right w:val="single" w:sz="2" w:space="0" w:color="000000"/>
            </w:tcBorders>
            <w:vAlign w:val="center"/>
          </w:tcPr>
          <w:p w14:paraId="54337990" w14:textId="77777777" w:rsidR="0021654E" w:rsidRPr="00AE3F1B" w:rsidRDefault="0021654E" w:rsidP="00012668">
            <w:pPr>
              <w:spacing w:line="259" w:lineRule="auto"/>
              <w:ind w:left="24" w:right="-3" w:hanging="24"/>
              <w:jc w:val="left"/>
              <w:rPr>
                <w:rFonts w:ascii="Garamond" w:hAnsi="Garamond"/>
                <w:sz w:val="24"/>
                <w:szCs w:val="24"/>
              </w:rPr>
            </w:pPr>
            <w:r w:rsidRPr="00AE3F1B">
              <w:rPr>
                <w:rFonts w:ascii="Garamond" w:hAnsi="Garamond"/>
                <w:sz w:val="24"/>
                <w:szCs w:val="24"/>
              </w:rPr>
              <w:t>Elektrownia</w:t>
            </w:r>
          </w:p>
        </w:tc>
        <w:tc>
          <w:tcPr>
            <w:tcW w:w="7580" w:type="dxa"/>
            <w:tcBorders>
              <w:top w:val="single" w:sz="2" w:space="0" w:color="000000"/>
              <w:left w:val="single" w:sz="2" w:space="0" w:color="000000"/>
              <w:bottom w:val="single" w:sz="2" w:space="0" w:color="000000"/>
              <w:right w:val="single" w:sz="2" w:space="0" w:color="000000"/>
            </w:tcBorders>
          </w:tcPr>
          <w:p w14:paraId="55CB6001" w14:textId="77777777" w:rsidR="0021654E" w:rsidRPr="00AE3F1B" w:rsidRDefault="0021654E" w:rsidP="00C20264">
            <w:pPr>
              <w:spacing w:line="259" w:lineRule="auto"/>
              <w:ind w:right="-3"/>
              <w:jc w:val="left"/>
              <w:rPr>
                <w:rFonts w:ascii="Garamond" w:hAnsi="Garamond"/>
                <w:sz w:val="24"/>
                <w:szCs w:val="24"/>
              </w:rPr>
            </w:pPr>
            <w:r w:rsidRPr="00AE3F1B">
              <w:rPr>
                <w:rFonts w:ascii="Garamond" w:hAnsi="Garamond"/>
                <w:sz w:val="24"/>
                <w:szCs w:val="24"/>
              </w:rPr>
              <w:t>Zakład wytwarzania energii, tj. obszarowo wyodrębniona część przedsiębiorstwa energetycznego, prowadzącego działalność polegającą na przekształcaniu energii pierwotnej w energię elektryczną, składająca się z jednego modułu wytwarzania energii lub z większej liczby modułów wytwarzania energii mających jedno lub kilka miejsc przyłączenia do sieci.</w:t>
            </w:r>
          </w:p>
        </w:tc>
      </w:tr>
      <w:tr w:rsidR="0021654E" w:rsidRPr="00AE3F1B" w14:paraId="0A447CEA" w14:textId="77777777" w:rsidTr="00012668">
        <w:tblPrEx>
          <w:tblCellMar>
            <w:top w:w="46" w:type="dxa"/>
            <w:left w:w="58" w:type="dxa"/>
            <w:right w:w="50" w:type="dxa"/>
          </w:tblCellMar>
        </w:tblPrEx>
        <w:trPr>
          <w:trHeight w:val="489"/>
        </w:trPr>
        <w:tc>
          <w:tcPr>
            <w:tcW w:w="2059" w:type="dxa"/>
            <w:tcBorders>
              <w:top w:val="single" w:sz="2" w:space="0" w:color="000000"/>
              <w:left w:val="single" w:sz="2" w:space="0" w:color="000000"/>
              <w:bottom w:val="single" w:sz="2" w:space="0" w:color="000000"/>
              <w:right w:val="single" w:sz="2" w:space="0" w:color="000000"/>
            </w:tcBorders>
            <w:vAlign w:val="center"/>
          </w:tcPr>
          <w:p w14:paraId="0044D217" w14:textId="77777777" w:rsidR="0021654E" w:rsidRPr="00AE3F1B" w:rsidRDefault="0021654E" w:rsidP="00012668">
            <w:pPr>
              <w:spacing w:line="259" w:lineRule="auto"/>
              <w:ind w:left="24" w:right="-3" w:hanging="24"/>
              <w:jc w:val="left"/>
              <w:rPr>
                <w:rFonts w:ascii="Garamond" w:hAnsi="Garamond"/>
                <w:sz w:val="24"/>
                <w:szCs w:val="24"/>
              </w:rPr>
            </w:pPr>
            <w:r w:rsidRPr="00AE3F1B">
              <w:rPr>
                <w:rFonts w:ascii="Garamond" w:hAnsi="Garamond"/>
                <w:sz w:val="24"/>
                <w:szCs w:val="24"/>
              </w:rPr>
              <w:t>Energia</w:t>
            </w:r>
          </w:p>
        </w:tc>
        <w:tc>
          <w:tcPr>
            <w:tcW w:w="7580" w:type="dxa"/>
            <w:tcBorders>
              <w:top w:val="single" w:sz="2" w:space="0" w:color="000000"/>
              <w:left w:val="single" w:sz="2" w:space="0" w:color="000000"/>
              <w:bottom w:val="single" w:sz="2" w:space="0" w:color="000000"/>
              <w:right w:val="single" w:sz="2" w:space="0" w:color="000000"/>
            </w:tcBorders>
            <w:vAlign w:val="center"/>
          </w:tcPr>
          <w:p w14:paraId="6B3C7AEB" w14:textId="04C4BE1B" w:rsidR="0021654E" w:rsidRPr="00AE3F1B" w:rsidRDefault="0021654E" w:rsidP="00C20264">
            <w:pPr>
              <w:spacing w:line="259" w:lineRule="auto"/>
              <w:ind w:right="-3"/>
              <w:jc w:val="left"/>
              <w:rPr>
                <w:rFonts w:ascii="Garamond" w:hAnsi="Garamond"/>
                <w:sz w:val="24"/>
                <w:szCs w:val="24"/>
              </w:rPr>
            </w:pPr>
            <w:r w:rsidRPr="00AE3F1B">
              <w:rPr>
                <w:rFonts w:ascii="Garamond" w:hAnsi="Garamond"/>
                <w:sz w:val="24"/>
                <w:szCs w:val="24"/>
              </w:rPr>
              <w:t xml:space="preserve">Energia rozumiana jest w niniejszej </w:t>
            </w:r>
            <w:r w:rsidR="005B3AD1" w:rsidRPr="005B3AD1">
              <w:rPr>
                <w:rFonts w:ascii="Garamond" w:hAnsi="Garamond"/>
                <w:sz w:val="24"/>
                <w:szCs w:val="24"/>
              </w:rPr>
              <w:t>IRiESD</w:t>
            </w:r>
            <w:r w:rsidRPr="00AE3F1B">
              <w:rPr>
                <w:rFonts w:ascii="Garamond" w:hAnsi="Garamond"/>
                <w:sz w:val="24"/>
                <w:szCs w:val="24"/>
              </w:rPr>
              <w:t xml:space="preserve"> jako energia elektryczna.</w:t>
            </w:r>
          </w:p>
        </w:tc>
      </w:tr>
      <w:tr w:rsidR="0021654E" w:rsidRPr="00AE3F1B" w14:paraId="64963C36" w14:textId="77777777" w:rsidTr="00012668">
        <w:tblPrEx>
          <w:tblCellMar>
            <w:top w:w="46" w:type="dxa"/>
            <w:left w:w="58" w:type="dxa"/>
            <w:right w:w="50" w:type="dxa"/>
          </w:tblCellMar>
        </w:tblPrEx>
        <w:trPr>
          <w:trHeight w:val="1137"/>
        </w:trPr>
        <w:tc>
          <w:tcPr>
            <w:tcW w:w="2059" w:type="dxa"/>
            <w:tcBorders>
              <w:top w:val="single" w:sz="2" w:space="0" w:color="000000"/>
              <w:left w:val="single" w:sz="2" w:space="0" w:color="000000"/>
              <w:bottom w:val="single" w:sz="2" w:space="0" w:color="000000"/>
              <w:right w:val="single" w:sz="2" w:space="0" w:color="000000"/>
            </w:tcBorders>
          </w:tcPr>
          <w:p w14:paraId="0078E252" w14:textId="77777777" w:rsidR="0021654E" w:rsidRPr="00AE3F1B" w:rsidRDefault="0021654E" w:rsidP="00012668">
            <w:pPr>
              <w:spacing w:line="259" w:lineRule="auto"/>
              <w:ind w:left="24" w:right="-3" w:hanging="24"/>
              <w:jc w:val="left"/>
              <w:rPr>
                <w:rFonts w:ascii="Garamond" w:hAnsi="Garamond"/>
                <w:sz w:val="24"/>
                <w:szCs w:val="24"/>
              </w:rPr>
            </w:pPr>
            <w:r w:rsidRPr="00AE3F1B">
              <w:rPr>
                <w:rFonts w:ascii="Garamond" w:hAnsi="Garamond"/>
                <w:sz w:val="24"/>
                <w:szCs w:val="24"/>
              </w:rPr>
              <w:t>Farma wiatrowa</w:t>
            </w:r>
          </w:p>
        </w:tc>
        <w:tc>
          <w:tcPr>
            <w:tcW w:w="7580" w:type="dxa"/>
            <w:tcBorders>
              <w:top w:val="single" w:sz="2" w:space="0" w:color="000000"/>
              <w:left w:val="single" w:sz="2" w:space="0" w:color="000000"/>
              <w:bottom w:val="single" w:sz="2" w:space="0" w:color="000000"/>
              <w:right w:val="single" w:sz="2" w:space="0" w:color="000000"/>
            </w:tcBorders>
          </w:tcPr>
          <w:p w14:paraId="388F17F1" w14:textId="77777777" w:rsidR="0021654E" w:rsidRPr="00AE3F1B" w:rsidRDefault="0021654E" w:rsidP="00C20264">
            <w:pPr>
              <w:spacing w:line="259" w:lineRule="auto"/>
              <w:ind w:right="-3"/>
              <w:jc w:val="left"/>
              <w:rPr>
                <w:rFonts w:ascii="Garamond" w:hAnsi="Garamond"/>
                <w:sz w:val="24"/>
                <w:szCs w:val="24"/>
              </w:rPr>
            </w:pPr>
            <w:r w:rsidRPr="00AE3F1B">
              <w:rPr>
                <w:rFonts w:ascii="Garamond" w:hAnsi="Garamond"/>
                <w:sz w:val="24"/>
                <w:szCs w:val="24"/>
              </w:rPr>
              <w:t>Jednostka wytwórcza lub zespół tych jednostek wykorzystujących do wytwarzania energii elektrycznej energię wiatru, przyłączonych do sieci w jednym miejscu przyłączenia (lub przyłączonych do sieci na podstawie jednej umowy o przyłączenie).</w:t>
            </w:r>
          </w:p>
        </w:tc>
      </w:tr>
      <w:tr w:rsidR="0021654E" w:rsidRPr="00AE3F1B" w14:paraId="1B248320" w14:textId="77777777" w:rsidTr="00012668">
        <w:tblPrEx>
          <w:tblCellMar>
            <w:top w:w="46" w:type="dxa"/>
            <w:left w:w="58" w:type="dxa"/>
            <w:right w:w="50" w:type="dxa"/>
          </w:tblCellMar>
        </w:tblPrEx>
        <w:trPr>
          <w:trHeight w:val="1141"/>
        </w:trPr>
        <w:tc>
          <w:tcPr>
            <w:tcW w:w="2059" w:type="dxa"/>
            <w:tcBorders>
              <w:top w:val="single" w:sz="2" w:space="0" w:color="000000"/>
              <w:left w:val="single" w:sz="2" w:space="0" w:color="000000"/>
              <w:bottom w:val="single" w:sz="2" w:space="0" w:color="000000"/>
              <w:right w:val="single" w:sz="2" w:space="0" w:color="000000"/>
            </w:tcBorders>
          </w:tcPr>
          <w:p w14:paraId="7290C9BE" w14:textId="77777777" w:rsidR="0021654E" w:rsidRPr="00AE3F1B" w:rsidRDefault="0021654E" w:rsidP="00012668">
            <w:pPr>
              <w:spacing w:line="259" w:lineRule="auto"/>
              <w:ind w:left="24" w:right="-3" w:hanging="24"/>
              <w:jc w:val="left"/>
              <w:rPr>
                <w:rFonts w:ascii="Garamond" w:hAnsi="Garamond"/>
                <w:sz w:val="24"/>
                <w:szCs w:val="24"/>
              </w:rPr>
            </w:pPr>
            <w:r w:rsidRPr="00AE3F1B">
              <w:rPr>
                <w:rFonts w:ascii="Garamond" w:hAnsi="Garamond"/>
                <w:sz w:val="24"/>
                <w:szCs w:val="24"/>
              </w:rPr>
              <w:t>Fizyczne Miejsce</w:t>
            </w:r>
          </w:p>
          <w:p w14:paraId="6DBF84F4" w14:textId="6D6A3427" w:rsidR="0021654E" w:rsidRPr="00AE3F1B" w:rsidRDefault="0021654E" w:rsidP="00012668">
            <w:pPr>
              <w:spacing w:line="259" w:lineRule="auto"/>
              <w:ind w:left="24" w:right="-3" w:hanging="24"/>
              <w:jc w:val="left"/>
              <w:rPr>
                <w:rFonts w:ascii="Garamond" w:hAnsi="Garamond"/>
                <w:sz w:val="24"/>
                <w:szCs w:val="24"/>
              </w:rPr>
            </w:pPr>
            <w:r w:rsidRPr="00AE3F1B">
              <w:rPr>
                <w:rFonts w:ascii="Garamond" w:hAnsi="Garamond"/>
                <w:sz w:val="24"/>
                <w:szCs w:val="24"/>
              </w:rPr>
              <w:t>Dostarczania Energii</w:t>
            </w:r>
            <w:r w:rsidR="00D77525">
              <w:rPr>
                <w:rFonts w:ascii="Garamond" w:hAnsi="Garamond"/>
                <w:sz w:val="24"/>
                <w:szCs w:val="24"/>
              </w:rPr>
              <w:t xml:space="preserve"> </w:t>
            </w:r>
            <w:r w:rsidRPr="00AE3F1B">
              <w:rPr>
                <w:rFonts w:ascii="Garamond" w:hAnsi="Garamond"/>
                <w:sz w:val="24"/>
                <w:szCs w:val="24"/>
              </w:rPr>
              <w:t>Rynku</w:t>
            </w:r>
          </w:p>
          <w:p w14:paraId="675C77E1" w14:textId="5FB28ED2" w:rsidR="0021654E" w:rsidRPr="00AE3F1B" w:rsidRDefault="0077061D" w:rsidP="00012668">
            <w:pPr>
              <w:spacing w:line="259" w:lineRule="auto"/>
              <w:ind w:left="24" w:right="-3" w:hanging="24"/>
              <w:jc w:val="left"/>
              <w:rPr>
                <w:rFonts w:ascii="Garamond" w:hAnsi="Garamond"/>
                <w:sz w:val="24"/>
                <w:szCs w:val="24"/>
              </w:rPr>
            </w:pPr>
            <w:r w:rsidRPr="00AE3F1B">
              <w:rPr>
                <w:rFonts w:ascii="Garamond" w:hAnsi="Garamond"/>
                <w:sz w:val="24"/>
                <w:szCs w:val="24"/>
              </w:rPr>
              <w:t>Bilansującego (</w:t>
            </w:r>
            <w:r w:rsidR="00D356CE">
              <w:rPr>
                <w:rFonts w:ascii="Garamond" w:hAnsi="Garamond"/>
                <w:sz w:val="24"/>
                <w:szCs w:val="24"/>
              </w:rPr>
              <w:t>F</w:t>
            </w:r>
            <w:r w:rsidR="0021654E" w:rsidRPr="00AE3F1B">
              <w:rPr>
                <w:rFonts w:ascii="Garamond" w:hAnsi="Garamond"/>
                <w:sz w:val="24"/>
                <w:szCs w:val="24"/>
              </w:rPr>
              <w:t>MB)</w:t>
            </w:r>
          </w:p>
        </w:tc>
        <w:tc>
          <w:tcPr>
            <w:tcW w:w="7580" w:type="dxa"/>
            <w:tcBorders>
              <w:top w:val="single" w:sz="2" w:space="0" w:color="000000"/>
              <w:left w:val="single" w:sz="2" w:space="0" w:color="000000"/>
              <w:bottom w:val="single" w:sz="2" w:space="0" w:color="000000"/>
              <w:right w:val="single" w:sz="2" w:space="0" w:color="000000"/>
            </w:tcBorders>
          </w:tcPr>
          <w:p w14:paraId="616FDAA9" w14:textId="77777777" w:rsidR="0021654E" w:rsidRPr="00AE3F1B" w:rsidRDefault="0021654E" w:rsidP="00C20264">
            <w:pPr>
              <w:spacing w:line="259" w:lineRule="auto"/>
              <w:ind w:right="-3"/>
              <w:jc w:val="left"/>
              <w:rPr>
                <w:rFonts w:ascii="Garamond" w:hAnsi="Garamond"/>
                <w:sz w:val="24"/>
                <w:szCs w:val="24"/>
              </w:rPr>
            </w:pPr>
            <w:r w:rsidRPr="00AE3F1B">
              <w:rPr>
                <w:rFonts w:ascii="Garamond" w:hAnsi="Garamond"/>
                <w:sz w:val="24"/>
                <w:szCs w:val="24"/>
              </w:rPr>
              <w:t>Miejsce Dostarczenia Energii Rynku Bilansującego, w którym jest realizowana fizyczna dostawa energii. Ilość energii elektrycznej dostarczonej w FMB jest wyznaczana na podstawie Fizycznych Punktów Pomiarowych (FPP) oraz odpowiednich algorytmów obliczeniowych.</w:t>
            </w:r>
          </w:p>
        </w:tc>
      </w:tr>
      <w:tr w:rsidR="0021654E" w:rsidRPr="00AE3F1B" w14:paraId="75C09F29" w14:textId="77777777" w:rsidTr="00012668">
        <w:tblPrEx>
          <w:tblCellMar>
            <w:top w:w="46" w:type="dxa"/>
            <w:left w:w="58" w:type="dxa"/>
            <w:right w:w="50" w:type="dxa"/>
          </w:tblCellMar>
        </w:tblPrEx>
        <w:trPr>
          <w:trHeight w:val="1139"/>
        </w:trPr>
        <w:tc>
          <w:tcPr>
            <w:tcW w:w="2059" w:type="dxa"/>
            <w:tcBorders>
              <w:top w:val="single" w:sz="2" w:space="0" w:color="000000"/>
              <w:left w:val="single" w:sz="2" w:space="0" w:color="000000"/>
              <w:bottom w:val="single" w:sz="2" w:space="0" w:color="000000"/>
              <w:right w:val="single" w:sz="2" w:space="0" w:color="000000"/>
            </w:tcBorders>
          </w:tcPr>
          <w:p w14:paraId="62C73485" w14:textId="77777777" w:rsidR="0021654E" w:rsidRPr="00AE3F1B" w:rsidRDefault="0021654E" w:rsidP="00012668">
            <w:pPr>
              <w:spacing w:line="259" w:lineRule="auto"/>
              <w:ind w:left="24" w:right="-3" w:hanging="24"/>
              <w:jc w:val="left"/>
              <w:rPr>
                <w:rFonts w:ascii="Garamond" w:hAnsi="Garamond"/>
                <w:sz w:val="24"/>
                <w:szCs w:val="24"/>
              </w:rPr>
            </w:pPr>
            <w:r w:rsidRPr="00AE3F1B">
              <w:rPr>
                <w:rFonts w:ascii="Garamond" w:hAnsi="Garamond"/>
                <w:sz w:val="24"/>
                <w:szCs w:val="24"/>
              </w:rPr>
              <w:t>Fizyczne Grafikowe</w:t>
            </w:r>
          </w:p>
          <w:p w14:paraId="0F36C09D" w14:textId="53A0BE21" w:rsidR="0021654E" w:rsidRPr="00AE3F1B" w:rsidRDefault="0021654E" w:rsidP="00012668">
            <w:pPr>
              <w:spacing w:line="259" w:lineRule="auto"/>
              <w:ind w:left="24" w:right="-3" w:hanging="24"/>
              <w:jc w:val="left"/>
              <w:rPr>
                <w:rFonts w:ascii="Garamond" w:hAnsi="Garamond"/>
                <w:sz w:val="24"/>
                <w:szCs w:val="24"/>
              </w:rPr>
            </w:pPr>
            <w:r w:rsidRPr="00AE3F1B">
              <w:rPr>
                <w:rFonts w:ascii="Garamond" w:hAnsi="Garamond"/>
                <w:sz w:val="24"/>
                <w:szCs w:val="24"/>
              </w:rPr>
              <w:t>Miejsce</w:t>
            </w:r>
            <w:r w:rsidR="00012668">
              <w:rPr>
                <w:rFonts w:ascii="Garamond" w:hAnsi="Garamond"/>
                <w:sz w:val="24"/>
                <w:szCs w:val="24"/>
              </w:rPr>
              <w:t xml:space="preserve"> </w:t>
            </w:r>
            <w:r w:rsidRPr="00AE3F1B">
              <w:rPr>
                <w:rFonts w:ascii="Garamond" w:hAnsi="Garamond"/>
                <w:sz w:val="24"/>
                <w:szCs w:val="24"/>
              </w:rPr>
              <w:t>Dostarczania</w:t>
            </w:r>
          </w:p>
          <w:p w14:paraId="428808E6" w14:textId="77777777" w:rsidR="0021654E" w:rsidRPr="00AE3F1B" w:rsidRDefault="0021654E" w:rsidP="00012668">
            <w:pPr>
              <w:spacing w:line="259" w:lineRule="auto"/>
              <w:ind w:left="24" w:right="-3" w:hanging="24"/>
              <w:jc w:val="left"/>
              <w:rPr>
                <w:rFonts w:ascii="Garamond" w:hAnsi="Garamond"/>
                <w:sz w:val="24"/>
                <w:szCs w:val="24"/>
              </w:rPr>
            </w:pPr>
            <w:r w:rsidRPr="00AE3F1B">
              <w:rPr>
                <w:rFonts w:ascii="Garamond" w:hAnsi="Garamond"/>
                <w:sz w:val="24"/>
                <w:szCs w:val="24"/>
              </w:rPr>
              <w:t>Energii Rynku</w:t>
            </w:r>
          </w:p>
          <w:p w14:paraId="77CA2C6E" w14:textId="09777A00" w:rsidR="0021654E" w:rsidRPr="00AE3F1B" w:rsidRDefault="0021654E" w:rsidP="00012668">
            <w:pPr>
              <w:spacing w:line="259" w:lineRule="auto"/>
              <w:ind w:left="24" w:right="-3" w:hanging="24"/>
              <w:jc w:val="left"/>
              <w:rPr>
                <w:rFonts w:ascii="Garamond" w:hAnsi="Garamond"/>
                <w:sz w:val="24"/>
                <w:szCs w:val="24"/>
              </w:rPr>
            </w:pPr>
            <w:r w:rsidRPr="00AE3F1B">
              <w:rPr>
                <w:rFonts w:ascii="Garamond" w:hAnsi="Garamond"/>
                <w:sz w:val="24"/>
                <w:szCs w:val="24"/>
              </w:rPr>
              <w:t>Detalicznego (</w:t>
            </w:r>
            <w:r w:rsidR="00D356CE">
              <w:rPr>
                <w:rFonts w:ascii="Garamond" w:hAnsi="Garamond"/>
                <w:sz w:val="24"/>
                <w:szCs w:val="24"/>
              </w:rPr>
              <w:t>F</w:t>
            </w:r>
            <w:r w:rsidRPr="00AE3F1B">
              <w:rPr>
                <w:rFonts w:ascii="Garamond" w:hAnsi="Garamond"/>
                <w:sz w:val="24"/>
                <w:szCs w:val="24"/>
              </w:rPr>
              <w:t>MDD)</w:t>
            </w:r>
          </w:p>
        </w:tc>
        <w:tc>
          <w:tcPr>
            <w:tcW w:w="7580" w:type="dxa"/>
            <w:tcBorders>
              <w:top w:val="single" w:sz="2" w:space="0" w:color="000000"/>
              <w:left w:val="single" w:sz="2" w:space="0" w:color="000000"/>
              <w:bottom w:val="single" w:sz="2" w:space="0" w:color="000000"/>
              <w:right w:val="single" w:sz="2" w:space="0" w:color="000000"/>
            </w:tcBorders>
          </w:tcPr>
          <w:p w14:paraId="22175FBD" w14:textId="77777777" w:rsidR="0021654E" w:rsidRPr="00AE3F1B" w:rsidRDefault="0021654E" w:rsidP="00C20264">
            <w:pPr>
              <w:spacing w:line="259" w:lineRule="auto"/>
              <w:ind w:right="-3"/>
              <w:jc w:val="left"/>
              <w:rPr>
                <w:rFonts w:ascii="Garamond" w:hAnsi="Garamond"/>
                <w:sz w:val="24"/>
                <w:szCs w:val="24"/>
              </w:rPr>
            </w:pPr>
            <w:r w:rsidRPr="00AE3F1B">
              <w:rPr>
                <w:rFonts w:ascii="Garamond" w:hAnsi="Garamond"/>
                <w:sz w:val="24"/>
                <w:szCs w:val="24"/>
              </w:rPr>
              <w:t>Punkt, w którym ilość energii elektrycznej dostarczonej lub odebranej jest wyznaczana na podstawie wielkości energii zarejestrowanej przez urządzenia pomiarowo-rozliczeniowe umożliwiające rejestrację danych godzinowych oraz odpowiednich algorytmów obliczeniowych.</w:t>
            </w:r>
          </w:p>
        </w:tc>
      </w:tr>
      <w:tr w:rsidR="0021654E" w:rsidRPr="00AE3F1B" w14:paraId="1B5CDA47" w14:textId="77777777" w:rsidTr="00012668">
        <w:tblPrEx>
          <w:tblCellMar>
            <w:top w:w="46" w:type="dxa"/>
            <w:left w:w="58" w:type="dxa"/>
            <w:right w:w="50" w:type="dxa"/>
          </w:tblCellMar>
        </w:tblPrEx>
        <w:trPr>
          <w:trHeight w:val="1137"/>
        </w:trPr>
        <w:tc>
          <w:tcPr>
            <w:tcW w:w="2059" w:type="dxa"/>
            <w:tcBorders>
              <w:top w:val="single" w:sz="2" w:space="0" w:color="000000"/>
              <w:left w:val="single" w:sz="2" w:space="0" w:color="000000"/>
              <w:bottom w:val="single" w:sz="2" w:space="0" w:color="000000"/>
              <w:right w:val="single" w:sz="2" w:space="0" w:color="000000"/>
            </w:tcBorders>
          </w:tcPr>
          <w:p w14:paraId="79A6EF5D" w14:textId="77777777" w:rsidR="0021654E" w:rsidRPr="00AE3F1B" w:rsidRDefault="0021654E" w:rsidP="00012668">
            <w:pPr>
              <w:spacing w:line="259" w:lineRule="auto"/>
              <w:ind w:left="24" w:right="-3" w:hanging="24"/>
              <w:jc w:val="left"/>
              <w:rPr>
                <w:rFonts w:ascii="Garamond" w:hAnsi="Garamond"/>
                <w:sz w:val="24"/>
                <w:szCs w:val="24"/>
              </w:rPr>
            </w:pPr>
            <w:r w:rsidRPr="00AE3F1B">
              <w:rPr>
                <w:rFonts w:ascii="Garamond" w:hAnsi="Garamond"/>
                <w:sz w:val="24"/>
                <w:szCs w:val="24"/>
              </w:rPr>
              <w:lastRenderedPageBreak/>
              <w:t>Fizyczne Profilowe</w:t>
            </w:r>
          </w:p>
          <w:p w14:paraId="1439AC36" w14:textId="77777777" w:rsidR="0021654E" w:rsidRPr="00AE3F1B" w:rsidRDefault="0021654E" w:rsidP="00012668">
            <w:pPr>
              <w:spacing w:line="259" w:lineRule="auto"/>
              <w:ind w:left="24" w:right="-3" w:hanging="24"/>
              <w:jc w:val="left"/>
              <w:rPr>
                <w:rFonts w:ascii="Garamond" w:hAnsi="Garamond"/>
                <w:sz w:val="24"/>
                <w:szCs w:val="24"/>
              </w:rPr>
            </w:pPr>
            <w:r w:rsidRPr="00AE3F1B">
              <w:rPr>
                <w:rFonts w:ascii="Garamond" w:hAnsi="Garamond"/>
                <w:sz w:val="24"/>
                <w:szCs w:val="24"/>
              </w:rPr>
              <w:t>Miejsce Dostarczania</w:t>
            </w:r>
          </w:p>
          <w:p w14:paraId="03905CFA" w14:textId="77777777" w:rsidR="0021654E" w:rsidRPr="00AE3F1B" w:rsidRDefault="0021654E" w:rsidP="00012668">
            <w:pPr>
              <w:spacing w:line="259" w:lineRule="auto"/>
              <w:ind w:left="24" w:right="-3" w:hanging="24"/>
              <w:jc w:val="left"/>
              <w:rPr>
                <w:rFonts w:ascii="Garamond" w:hAnsi="Garamond"/>
                <w:sz w:val="24"/>
                <w:szCs w:val="24"/>
              </w:rPr>
            </w:pPr>
            <w:r w:rsidRPr="00AE3F1B">
              <w:rPr>
                <w:rFonts w:ascii="Garamond" w:hAnsi="Garamond"/>
                <w:sz w:val="24"/>
                <w:szCs w:val="24"/>
              </w:rPr>
              <w:t>Energii Rynku</w:t>
            </w:r>
          </w:p>
          <w:p w14:paraId="544B8FA0" w14:textId="005CA536" w:rsidR="0021654E" w:rsidRPr="00AE3F1B" w:rsidRDefault="0021654E" w:rsidP="00012668">
            <w:pPr>
              <w:spacing w:line="259" w:lineRule="auto"/>
              <w:ind w:left="24" w:right="-3" w:hanging="24"/>
              <w:jc w:val="left"/>
              <w:rPr>
                <w:rFonts w:ascii="Garamond" w:hAnsi="Garamond"/>
                <w:sz w:val="24"/>
                <w:szCs w:val="24"/>
              </w:rPr>
            </w:pPr>
            <w:r w:rsidRPr="00AE3F1B">
              <w:rPr>
                <w:rFonts w:ascii="Garamond" w:hAnsi="Garamond"/>
                <w:sz w:val="24"/>
                <w:szCs w:val="24"/>
              </w:rPr>
              <w:t>Detalicznego (</w:t>
            </w:r>
            <w:r w:rsidR="00D356CE">
              <w:rPr>
                <w:rFonts w:ascii="Garamond" w:hAnsi="Garamond"/>
                <w:sz w:val="24"/>
                <w:szCs w:val="24"/>
              </w:rPr>
              <w:t>P</w:t>
            </w:r>
            <w:r w:rsidRPr="00AE3F1B">
              <w:rPr>
                <w:rFonts w:ascii="Garamond" w:hAnsi="Garamond"/>
                <w:sz w:val="24"/>
                <w:szCs w:val="24"/>
              </w:rPr>
              <w:t>MDD)</w:t>
            </w:r>
          </w:p>
        </w:tc>
        <w:tc>
          <w:tcPr>
            <w:tcW w:w="7580" w:type="dxa"/>
            <w:tcBorders>
              <w:top w:val="single" w:sz="2" w:space="0" w:color="000000"/>
              <w:left w:val="single" w:sz="2" w:space="0" w:color="000000"/>
              <w:bottom w:val="single" w:sz="2" w:space="0" w:color="000000"/>
              <w:right w:val="single" w:sz="2" w:space="0" w:color="000000"/>
            </w:tcBorders>
          </w:tcPr>
          <w:p w14:paraId="71D1DECA" w14:textId="75D51597" w:rsidR="0021654E" w:rsidRPr="00AE3F1B" w:rsidRDefault="0077061D" w:rsidP="00C20264">
            <w:pPr>
              <w:spacing w:line="259" w:lineRule="auto"/>
              <w:ind w:left="90" w:right="-3" w:hanging="90"/>
              <w:jc w:val="left"/>
              <w:rPr>
                <w:rFonts w:ascii="Garamond" w:hAnsi="Garamond"/>
                <w:sz w:val="24"/>
                <w:szCs w:val="24"/>
              </w:rPr>
            </w:pPr>
            <w:r w:rsidRPr="00AE3F1B">
              <w:rPr>
                <w:rFonts w:ascii="Garamond" w:hAnsi="Garamond"/>
                <w:sz w:val="24"/>
                <w:szCs w:val="24"/>
              </w:rPr>
              <w:t>Punkt,</w:t>
            </w:r>
            <w:r w:rsidR="0021654E" w:rsidRPr="00AE3F1B">
              <w:rPr>
                <w:rFonts w:ascii="Garamond" w:hAnsi="Garamond"/>
                <w:sz w:val="24"/>
                <w:szCs w:val="24"/>
              </w:rPr>
              <w:t xml:space="preserve"> w którym ilość energii elektrycznej dostarczonej albo odebranej jest wyznaczana na podstawie wielkości energii zarejestrowanej przez urządzenia pomiarowo-rozliczeniowe nie umożliwiające rejestracji danych godzinowych, standardowych profili zużycia oraz odpowiednich algorytmów obliczeniowych.</w:t>
            </w:r>
          </w:p>
        </w:tc>
      </w:tr>
      <w:tr w:rsidR="0002655A" w:rsidRPr="00AE3F1B" w14:paraId="2C97A7EC" w14:textId="77777777" w:rsidTr="00012668">
        <w:tblPrEx>
          <w:tblCellMar>
            <w:top w:w="47" w:type="dxa"/>
            <w:left w:w="50" w:type="dxa"/>
            <w:right w:w="43" w:type="dxa"/>
          </w:tblCellMar>
        </w:tblPrEx>
        <w:trPr>
          <w:trHeight w:val="863"/>
        </w:trPr>
        <w:tc>
          <w:tcPr>
            <w:tcW w:w="2059" w:type="dxa"/>
            <w:tcBorders>
              <w:top w:val="single" w:sz="2" w:space="0" w:color="000000"/>
              <w:left w:val="single" w:sz="2" w:space="0" w:color="000000"/>
              <w:bottom w:val="single" w:sz="2" w:space="0" w:color="000000"/>
              <w:right w:val="single" w:sz="2" w:space="0" w:color="000000"/>
            </w:tcBorders>
          </w:tcPr>
          <w:p w14:paraId="542EA90A" w14:textId="77777777" w:rsidR="0021654E" w:rsidRPr="00AE3F1B" w:rsidRDefault="0021654E" w:rsidP="00012668">
            <w:pPr>
              <w:spacing w:line="259" w:lineRule="auto"/>
              <w:ind w:left="24" w:right="-3" w:hanging="24"/>
              <w:jc w:val="left"/>
              <w:rPr>
                <w:rFonts w:ascii="Garamond" w:hAnsi="Garamond"/>
                <w:sz w:val="24"/>
                <w:szCs w:val="24"/>
              </w:rPr>
            </w:pPr>
            <w:r w:rsidRPr="00AE3F1B">
              <w:rPr>
                <w:rFonts w:ascii="Garamond" w:hAnsi="Garamond"/>
                <w:sz w:val="24"/>
                <w:szCs w:val="24"/>
              </w:rPr>
              <w:t>Fizyczny Punkt</w:t>
            </w:r>
          </w:p>
          <w:p w14:paraId="1D17B6E8" w14:textId="77777777" w:rsidR="0021654E" w:rsidRPr="00AE3F1B" w:rsidRDefault="0021654E" w:rsidP="00012668">
            <w:pPr>
              <w:spacing w:line="259" w:lineRule="auto"/>
              <w:ind w:left="24" w:right="-3" w:hanging="24"/>
              <w:jc w:val="left"/>
              <w:rPr>
                <w:rFonts w:ascii="Garamond" w:hAnsi="Garamond"/>
                <w:sz w:val="24"/>
                <w:szCs w:val="24"/>
              </w:rPr>
            </w:pPr>
            <w:r w:rsidRPr="00AE3F1B">
              <w:rPr>
                <w:rFonts w:ascii="Garamond" w:hAnsi="Garamond"/>
                <w:sz w:val="24"/>
                <w:szCs w:val="24"/>
              </w:rPr>
              <w:t>Pomiarowy (FPP)</w:t>
            </w:r>
          </w:p>
        </w:tc>
        <w:tc>
          <w:tcPr>
            <w:tcW w:w="7580" w:type="dxa"/>
            <w:tcBorders>
              <w:top w:val="single" w:sz="2" w:space="0" w:color="000000"/>
              <w:left w:val="single" w:sz="2" w:space="0" w:color="000000"/>
              <w:bottom w:val="single" w:sz="2" w:space="0" w:color="000000"/>
              <w:right w:val="single" w:sz="2" w:space="0" w:color="000000"/>
            </w:tcBorders>
          </w:tcPr>
          <w:p w14:paraId="31D0A6B1" w14:textId="4F697FBF" w:rsidR="0021654E" w:rsidRPr="00AE3F1B" w:rsidRDefault="0021654E" w:rsidP="00C20264">
            <w:pPr>
              <w:spacing w:line="259" w:lineRule="auto"/>
              <w:ind w:left="90" w:right="-3" w:firstLine="5"/>
              <w:jc w:val="left"/>
              <w:rPr>
                <w:rFonts w:ascii="Garamond" w:hAnsi="Garamond"/>
                <w:sz w:val="24"/>
                <w:szCs w:val="24"/>
              </w:rPr>
            </w:pPr>
            <w:r w:rsidRPr="00AE3F1B">
              <w:rPr>
                <w:rFonts w:ascii="Garamond" w:hAnsi="Garamond"/>
                <w:sz w:val="24"/>
                <w:szCs w:val="24"/>
              </w:rPr>
              <w:t xml:space="preserve">Punkt w sieci wyposażony w urządzenia pomiarowo - rozliczeniowe umożliwiające rejestrację danych </w:t>
            </w:r>
            <w:r w:rsidR="0077061D" w:rsidRPr="00AE3F1B">
              <w:rPr>
                <w:rFonts w:ascii="Garamond" w:hAnsi="Garamond"/>
                <w:sz w:val="24"/>
                <w:szCs w:val="24"/>
              </w:rPr>
              <w:t>pomiarowych (</w:t>
            </w:r>
            <w:r w:rsidRPr="00AE3F1B">
              <w:rPr>
                <w:rFonts w:ascii="Garamond" w:hAnsi="Garamond"/>
                <w:sz w:val="24"/>
                <w:szCs w:val="24"/>
              </w:rPr>
              <w:t>okresowych lub godzinowych), w którym dokonywany jest rzeczywisty pomiar przepływającej energii elektrycznej.</w:t>
            </w:r>
          </w:p>
        </w:tc>
      </w:tr>
      <w:tr w:rsidR="0002655A" w:rsidRPr="00AE3F1B" w14:paraId="5B1DC179" w14:textId="77777777" w:rsidTr="00012668">
        <w:tblPrEx>
          <w:tblCellMar>
            <w:top w:w="47" w:type="dxa"/>
            <w:left w:w="50" w:type="dxa"/>
            <w:right w:w="43" w:type="dxa"/>
          </w:tblCellMar>
        </w:tblPrEx>
        <w:trPr>
          <w:trHeight w:val="1144"/>
        </w:trPr>
        <w:tc>
          <w:tcPr>
            <w:tcW w:w="2059" w:type="dxa"/>
            <w:tcBorders>
              <w:top w:val="single" w:sz="2" w:space="0" w:color="000000"/>
              <w:left w:val="single" w:sz="2" w:space="0" w:color="000000"/>
              <w:bottom w:val="single" w:sz="2" w:space="0" w:color="000000"/>
              <w:right w:val="single" w:sz="2" w:space="0" w:color="000000"/>
            </w:tcBorders>
          </w:tcPr>
          <w:p w14:paraId="5111D77C" w14:textId="77777777" w:rsidR="0021654E" w:rsidRPr="00AE3F1B" w:rsidRDefault="0021654E" w:rsidP="00012668">
            <w:pPr>
              <w:spacing w:line="259" w:lineRule="auto"/>
              <w:ind w:left="24" w:right="-3" w:hanging="24"/>
              <w:jc w:val="left"/>
              <w:rPr>
                <w:rFonts w:ascii="Garamond" w:hAnsi="Garamond"/>
                <w:sz w:val="24"/>
                <w:szCs w:val="24"/>
              </w:rPr>
            </w:pPr>
            <w:r w:rsidRPr="00AE3F1B">
              <w:rPr>
                <w:rFonts w:ascii="Garamond" w:hAnsi="Garamond"/>
                <w:sz w:val="24"/>
                <w:szCs w:val="24"/>
              </w:rPr>
              <w:t>Generacja wymuszona</w:t>
            </w:r>
          </w:p>
        </w:tc>
        <w:tc>
          <w:tcPr>
            <w:tcW w:w="7580" w:type="dxa"/>
            <w:tcBorders>
              <w:top w:val="single" w:sz="2" w:space="0" w:color="000000"/>
              <w:left w:val="single" w:sz="2" w:space="0" w:color="000000"/>
              <w:bottom w:val="single" w:sz="2" w:space="0" w:color="000000"/>
              <w:right w:val="single" w:sz="2" w:space="0" w:color="000000"/>
            </w:tcBorders>
          </w:tcPr>
          <w:p w14:paraId="34848637" w14:textId="77777777" w:rsidR="0021654E" w:rsidRPr="00AE3F1B" w:rsidRDefault="0021654E" w:rsidP="00C20264">
            <w:pPr>
              <w:spacing w:line="259" w:lineRule="auto"/>
              <w:ind w:left="90" w:right="-3" w:hanging="90"/>
              <w:jc w:val="left"/>
              <w:rPr>
                <w:rFonts w:ascii="Garamond" w:hAnsi="Garamond"/>
                <w:sz w:val="24"/>
                <w:szCs w:val="24"/>
              </w:rPr>
            </w:pPr>
            <w:r w:rsidRPr="00AE3F1B">
              <w:rPr>
                <w:rFonts w:ascii="Garamond" w:hAnsi="Garamond"/>
                <w:sz w:val="24"/>
                <w:szCs w:val="24"/>
              </w:rPr>
              <w:t>Wytwarzanie energii elektrycznej wymuszone jakością i niezawodnością pracy KSE, dotyczy jednostek wytwórczych, w których generacja jest wymuszona technicznymi ograniczeniami działania systemu elektroenergetycznego lub koniecznością zapewnienia odpowiedniej jego niezawodności.</w:t>
            </w:r>
          </w:p>
        </w:tc>
      </w:tr>
      <w:tr w:rsidR="0002655A" w:rsidRPr="00AE3F1B" w14:paraId="0519FCF2" w14:textId="77777777" w:rsidTr="00012668">
        <w:tblPrEx>
          <w:tblCellMar>
            <w:top w:w="47" w:type="dxa"/>
            <w:left w:w="50" w:type="dxa"/>
            <w:right w:w="43" w:type="dxa"/>
          </w:tblCellMar>
        </w:tblPrEx>
        <w:trPr>
          <w:trHeight w:val="1360"/>
        </w:trPr>
        <w:tc>
          <w:tcPr>
            <w:tcW w:w="2059" w:type="dxa"/>
            <w:tcBorders>
              <w:top w:val="single" w:sz="2" w:space="0" w:color="000000"/>
              <w:left w:val="single" w:sz="2" w:space="0" w:color="000000"/>
              <w:bottom w:val="single" w:sz="2" w:space="0" w:color="000000"/>
              <w:right w:val="single" w:sz="2" w:space="0" w:color="000000"/>
            </w:tcBorders>
          </w:tcPr>
          <w:p w14:paraId="1F942277" w14:textId="77777777" w:rsidR="0021654E" w:rsidRPr="00AE3F1B" w:rsidRDefault="0021654E" w:rsidP="00012668">
            <w:pPr>
              <w:spacing w:line="259" w:lineRule="auto"/>
              <w:ind w:left="24" w:right="-3" w:hanging="24"/>
              <w:jc w:val="left"/>
              <w:rPr>
                <w:rFonts w:ascii="Garamond" w:hAnsi="Garamond"/>
                <w:sz w:val="24"/>
                <w:szCs w:val="24"/>
              </w:rPr>
            </w:pPr>
            <w:r w:rsidRPr="00AE3F1B">
              <w:rPr>
                <w:rFonts w:ascii="Garamond" w:hAnsi="Garamond"/>
                <w:sz w:val="24"/>
                <w:szCs w:val="24"/>
              </w:rPr>
              <w:t>Generacja zdeterminowana</w:t>
            </w:r>
          </w:p>
        </w:tc>
        <w:tc>
          <w:tcPr>
            <w:tcW w:w="7580" w:type="dxa"/>
            <w:tcBorders>
              <w:top w:val="single" w:sz="2" w:space="0" w:color="000000"/>
              <w:left w:val="single" w:sz="2" w:space="0" w:color="000000"/>
              <w:bottom w:val="single" w:sz="2" w:space="0" w:color="000000"/>
              <w:right w:val="single" w:sz="2" w:space="0" w:color="000000"/>
            </w:tcBorders>
          </w:tcPr>
          <w:p w14:paraId="10FAEB1A" w14:textId="77777777" w:rsidR="0021654E" w:rsidRPr="00AE3F1B" w:rsidRDefault="0021654E" w:rsidP="00C20264">
            <w:pPr>
              <w:spacing w:line="259" w:lineRule="auto"/>
              <w:ind w:left="90" w:right="-3" w:hanging="90"/>
              <w:jc w:val="left"/>
              <w:rPr>
                <w:rFonts w:ascii="Garamond" w:hAnsi="Garamond"/>
                <w:sz w:val="24"/>
                <w:szCs w:val="24"/>
              </w:rPr>
            </w:pPr>
            <w:r w:rsidRPr="00AE3F1B">
              <w:rPr>
                <w:rFonts w:ascii="Garamond" w:hAnsi="Garamond"/>
                <w:sz w:val="24"/>
                <w:szCs w:val="24"/>
              </w:rPr>
              <w:t>Wytwarzanie energii elektrycznej w źródłach odnawialnych oraz wytwarzanie energii elektrycznej w skojarzeniu z wytwarzaniem ciepła, objęte obowiązkiem zakupu zgodnie z rozporządzeniem Ministra Gospodarki, lub też wytwarzanie energii elektrycznej objętej długoterminowymi umowami sprzedaży energii elektrycznej.</w:t>
            </w:r>
          </w:p>
        </w:tc>
      </w:tr>
      <w:tr w:rsidR="0002655A" w:rsidRPr="00AE3F1B" w14:paraId="7DDC70CB" w14:textId="77777777" w:rsidTr="00012668">
        <w:tblPrEx>
          <w:tblCellMar>
            <w:top w:w="47" w:type="dxa"/>
            <w:left w:w="50" w:type="dxa"/>
            <w:right w:w="43" w:type="dxa"/>
          </w:tblCellMar>
        </w:tblPrEx>
        <w:trPr>
          <w:trHeight w:val="1084"/>
        </w:trPr>
        <w:tc>
          <w:tcPr>
            <w:tcW w:w="2059" w:type="dxa"/>
            <w:tcBorders>
              <w:top w:val="single" w:sz="2" w:space="0" w:color="000000"/>
              <w:left w:val="single" w:sz="2" w:space="0" w:color="000000"/>
              <w:bottom w:val="single" w:sz="2" w:space="0" w:color="000000"/>
              <w:right w:val="single" w:sz="2" w:space="0" w:color="000000"/>
            </w:tcBorders>
          </w:tcPr>
          <w:p w14:paraId="510981BE" w14:textId="77777777" w:rsidR="0021654E" w:rsidRPr="00AE3F1B" w:rsidRDefault="0021654E" w:rsidP="00012668">
            <w:pPr>
              <w:spacing w:line="259" w:lineRule="auto"/>
              <w:ind w:left="24" w:right="85" w:hanging="24"/>
              <w:jc w:val="left"/>
              <w:rPr>
                <w:rFonts w:ascii="Garamond" w:hAnsi="Garamond"/>
                <w:sz w:val="24"/>
                <w:szCs w:val="24"/>
              </w:rPr>
            </w:pPr>
            <w:r w:rsidRPr="00AE3F1B">
              <w:rPr>
                <w:rFonts w:ascii="Garamond" w:hAnsi="Garamond"/>
                <w:sz w:val="24"/>
                <w:szCs w:val="24"/>
              </w:rPr>
              <w:t>Generalna Umowa Dystrybucji</w:t>
            </w:r>
          </w:p>
        </w:tc>
        <w:tc>
          <w:tcPr>
            <w:tcW w:w="7580" w:type="dxa"/>
            <w:tcBorders>
              <w:top w:val="single" w:sz="2" w:space="0" w:color="000000"/>
              <w:left w:val="single" w:sz="2" w:space="0" w:color="000000"/>
              <w:bottom w:val="single" w:sz="2" w:space="0" w:color="000000"/>
              <w:right w:val="single" w:sz="2" w:space="0" w:color="000000"/>
            </w:tcBorders>
          </w:tcPr>
          <w:p w14:paraId="74C327D8" w14:textId="77777777" w:rsidR="0021654E" w:rsidRPr="00AE3F1B" w:rsidRDefault="0021654E" w:rsidP="00257369">
            <w:pPr>
              <w:spacing w:line="259" w:lineRule="auto"/>
              <w:ind w:left="90" w:right="85"/>
              <w:jc w:val="left"/>
              <w:rPr>
                <w:rFonts w:ascii="Garamond" w:hAnsi="Garamond"/>
                <w:sz w:val="24"/>
                <w:szCs w:val="24"/>
              </w:rPr>
            </w:pPr>
            <w:r w:rsidRPr="00AE3F1B">
              <w:rPr>
                <w:rFonts w:ascii="Garamond" w:hAnsi="Garamond"/>
                <w:sz w:val="24"/>
                <w:szCs w:val="24"/>
              </w:rPr>
              <w:t xml:space="preserve">Umowa o świadczenie usług dystrybucji energii elektrycznej przez OSD na rzecz sprzedawcy, w celu umożliwienia realizacji przez sprzedawcę umów sprzedaży energii elektrycznej z </w:t>
            </w:r>
            <w:proofErr w:type="spellStart"/>
            <w:r w:rsidRPr="00AE3F1B">
              <w:rPr>
                <w:rFonts w:ascii="Garamond" w:hAnsi="Garamond"/>
                <w:sz w:val="24"/>
                <w:szCs w:val="24"/>
              </w:rPr>
              <w:t>URDo</w:t>
            </w:r>
            <w:proofErr w:type="spellEnd"/>
            <w:r w:rsidRPr="00AE3F1B">
              <w:rPr>
                <w:rFonts w:ascii="Garamond" w:hAnsi="Garamond"/>
                <w:sz w:val="24"/>
                <w:szCs w:val="24"/>
              </w:rPr>
              <w:t xml:space="preserve"> przyłączonych do sieci dystrybucyjnej OSD, którzy posiadają z OSD zawartą umowę dystrybucyjną.</w:t>
            </w:r>
          </w:p>
        </w:tc>
      </w:tr>
      <w:tr w:rsidR="0002655A" w:rsidRPr="00AE3F1B" w14:paraId="471F9267" w14:textId="77777777" w:rsidTr="00012668">
        <w:tblPrEx>
          <w:tblCellMar>
            <w:top w:w="47" w:type="dxa"/>
            <w:left w:w="50" w:type="dxa"/>
            <w:right w:w="43" w:type="dxa"/>
          </w:tblCellMar>
        </w:tblPrEx>
        <w:trPr>
          <w:trHeight w:val="1082"/>
        </w:trPr>
        <w:tc>
          <w:tcPr>
            <w:tcW w:w="2059" w:type="dxa"/>
            <w:tcBorders>
              <w:top w:val="single" w:sz="2" w:space="0" w:color="000000"/>
              <w:left w:val="single" w:sz="2" w:space="0" w:color="000000"/>
              <w:bottom w:val="single" w:sz="2" w:space="0" w:color="000000"/>
              <w:right w:val="single" w:sz="2" w:space="0" w:color="000000"/>
            </w:tcBorders>
          </w:tcPr>
          <w:p w14:paraId="0CE0082C" w14:textId="77777777" w:rsidR="0021654E" w:rsidRPr="00AE3F1B" w:rsidRDefault="0021654E" w:rsidP="00012668">
            <w:pPr>
              <w:spacing w:line="259" w:lineRule="auto"/>
              <w:ind w:left="24" w:right="85" w:hanging="24"/>
              <w:jc w:val="left"/>
              <w:rPr>
                <w:rFonts w:ascii="Garamond" w:hAnsi="Garamond"/>
                <w:sz w:val="24"/>
                <w:szCs w:val="24"/>
              </w:rPr>
            </w:pPr>
            <w:r w:rsidRPr="00AE3F1B">
              <w:rPr>
                <w:rFonts w:ascii="Garamond" w:hAnsi="Garamond"/>
                <w:sz w:val="24"/>
                <w:szCs w:val="24"/>
              </w:rPr>
              <w:t>Generalna Umowa Dystrybucji dla usługi kompleksowej</w:t>
            </w:r>
          </w:p>
        </w:tc>
        <w:tc>
          <w:tcPr>
            <w:tcW w:w="7580" w:type="dxa"/>
            <w:tcBorders>
              <w:top w:val="single" w:sz="2" w:space="0" w:color="000000"/>
              <w:left w:val="single" w:sz="2" w:space="0" w:color="000000"/>
              <w:bottom w:val="single" w:sz="2" w:space="0" w:color="000000"/>
              <w:right w:val="single" w:sz="2" w:space="0" w:color="000000"/>
            </w:tcBorders>
          </w:tcPr>
          <w:p w14:paraId="09A62D2B" w14:textId="18A52400" w:rsidR="0021654E" w:rsidRPr="00AE3F1B" w:rsidRDefault="0021654E" w:rsidP="00C20264">
            <w:pPr>
              <w:spacing w:line="259" w:lineRule="auto"/>
              <w:ind w:left="90" w:right="85" w:hanging="90"/>
              <w:jc w:val="left"/>
              <w:rPr>
                <w:rFonts w:ascii="Garamond" w:hAnsi="Garamond"/>
                <w:sz w:val="24"/>
                <w:szCs w:val="24"/>
              </w:rPr>
            </w:pPr>
            <w:r w:rsidRPr="00AE3F1B">
              <w:rPr>
                <w:rFonts w:ascii="Garamond" w:hAnsi="Garamond"/>
                <w:sz w:val="24"/>
                <w:szCs w:val="24"/>
              </w:rPr>
              <w:t xml:space="preserve">Umowa o świadczenie usług dystrybucji energii elektrycznej na </w:t>
            </w:r>
            <w:r w:rsidR="0077061D" w:rsidRPr="00AE3F1B">
              <w:rPr>
                <w:rFonts w:ascii="Garamond" w:hAnsi="Garamond"/>
                <w:sz w:val="24"/>
                <w:szCs w:val="24"/>
              </w:rPr>
              <w:t>mocy,</w:t>
            </w:r>
            <w:r w:rsidRPr="00AE3F1B">
              <w:rPr>
                <w:rFonts w:ascii="Garamond" w:hAnsi="Garamond"/>
                <w:sz w:val="24"/>
                <w:szCs w:val="24"/>
              </w:rPr>
              <w:t xml:space="preserve"> której OSD zobowiązuje się wobec sprzedawcy do świadczenia usług dystrybucji na rzecz URD, którym sprzedawca świadczy usługę kompleksową na podstawie umowy kompleksowej.</w:t>
            </w:r>
          </w:p>
        </w:tc>
      </w:tr>
      <w:tr w:rsidR="0002655A" w:rsidRPr="00AE3F1B" w14:paraId="6CB22109" w14:textId="77777777" w:rsidTr="00012668">
        <w:tblPrEx>
          <w:tblCellMar>
            <w:top w:w="47" w:type="dxa"/>
            <w:left w:w="50" w:type="dxa"/>
            <w:right w:w="43" w:type="dxa"/>
          </w:tblCellMar>
        </w:tblPrEx>
        <w:trPr>
          <w:trHeight w:val="691"/>
        </w:trPr>
        <w:tc>
          <w:tcPr>
            <w:tcW w:w="2059" w:type="dxa"/>
            <w:tcBorders>
              <w:top w:val="single" w:sz="2" w:space="0" w:color="000000"/>
              <w:left w:val="single" w:sz="2" w:space="0" w:color="000000"/>
              <w:bottom w:val="single" w:sz="2" w:space="0" w:color="000000"/>
              <w:right w:val="single" w:sz="2" w:space="0" w:color="000000"/>
            </w:tcBorders>
          </w:tcPr>
          <w:p w14:paraId="214053B5" w14:textId="77777777" w:rsidR="0021654E" w:rsidRPr="00AE3F1B" w:rsidRDefault="0021654E" w:rsidP="00012668">
            <w:pPr>
              <w:spacing w:line="259" w:lineRule="auto"/>
              <w:ind w:left="24" w:right="85" w:hanging="24"/>
              <w:jc w:val="left"/>
              <w:rPr>
                <w:rFonts w:ascii="Garamond" w:hAnsi="Garamond"/>
                <w:sz w:val="24"/>
                <w:szCs w:val="24"/>
              </w:rPr>
            </w:pPr>
            <w:r w:rsidRPr="00AE3F1B">
              <w:rPr>
                <w:rFonts w:ascii="Garamond" w:hAnsi="Garamond"/>
                <w:sz w:val="24"/>
                <w:szCs w:val="24"/>
              </w:rPr>
              <w:t>Główny punkt odbioru energii</w:t>
            </w:r>
          </w:p>
        </w:tc>
        <w:tc>
          <w:tcPr>
            <w:tcW w:w="7580" w:type="dxa"/>
            <w:tcBorders>
              <w:top w:val="single" w:sz="2" w:space="0" w:color="000000"/>
              <w:left w:val="single" w:sz="2" w:space="0" w:color="000000"/>
              <w:bottom w:val="single" w:sz="2" w:space="0" w:color="000000"/>
              <w:right w:val="single" w:sz="2" w:space="0" w:color="000000"/>
            </w:tcBorders>
          </w:tcPr>
          <w:p w14:paraId="3BD81BDF" w14:textId="77777777" w:rsidR="0021654E" w:rsidRPr="00AE3F1B" w:rsidRDefault="0021654E" w:rsidP="00C20264">
            <w:pPr>
              <w:spacing w:line="259" w:lineRule="auto"/>
              <w:ind w:left="90" w:right="85" w:hanging="90"/>
              <w:jc w:val="left"/>
              <w:rPr>
                <w:rFonts w:ascii="Garamond" w:hAnsi="Garamond"/>
                <w:sz w:val="24"/>
                <w:szCs w:val="24"/>
              </w:rPr>
            </w:pPr>
            <w:r w:rsidRPr="00AE3F1B">
              <w:rPr>
                <w:rFonts w:ascii="Garamond" w:hAnsi="Garamond"/>
                <w:sz w:val="24"/>
                <w:szCs w:val="24"/>
              </w:rPr>
              <w:t xml:space="preserve">Stacja transformatorowa wytwórcy o górnym napięciu wyższym niż 45 </w:t>
            </w:r>
            <w:proofErr w:type="spellStart"/>
            <w:r w:rsidRPr="00AE3F1B">
              <w:rPr>
                <w:rFonts w:ascii="Garamond" w:hAnsi="Garamond"/>
                <w:sz w:val="24"/>
                <w:szCs w:val="24"/>
              </w:rPr>
              <w:t>kV</w:t>
            </w:r>
            <w:proofErr w:type="spellEnd"/>
            <w:r w:rsidRPr="00AE3F1B">
              <w:rPr>
                <w:rFonts w:ascii="Garamond" w:hAnsi="Garamond"/>
                <w:sz w:val="24"/>
                <w:szCs w:val="24"/>
              </w:rPr>
              <w:t xml:space="preserve"> służąca wyłącznie do połączenia jednostek wytwórczych z KSE.</w:t>
            </w:r>
          </w:p>
        </w:tc>
      </w:tr>
      <w:tr w:rsidR="0002655A" w:rsidRPr="00AE3F1B" w14:paraId="6E54D249" w14:textId="77777777" w:rsidTr="00012668">
        <w:tblPrEx>
          <w:tblCellMar>
            <w:top w:w="47" w:type="dxa"/>
            <w:left w:w="50" w:type="dxa"/>
            <w:right w:w="43" w:type="dxa"/>
          </w:tblCellMar>
        </w:tblPrEx>
        <w:trPr>
          <w:trHeight w:val="813"/>
        </w:trPr>
        <w:tc>
          <w:tcPr>
            <w:tcW w:w="2059" w:type="dxa"/>
            <w:tcBorders>
              <w:top w:val="single" w:sz="2" w:space="0" w:color="000000"/>
              <w:left w:val="single" w:sz="2" w:space="0" w:color="000000"/>
              <w:bottom w:val="single" w:sz="2" w:space="0" w:color="000000"/>
              <w:right w:val="single" w:sz="2" w:space="0" w:color="000000"/>
            </w:tcBorders>
          </w:tcPr>
          <w:p w14:paraId="08AA4D1C" w14:textId="77777777" w:rsidR="0021654E" w:rsidRPr="00AE3F1B" w:rsidRDefault="0021654E" w:rsidP="00012668">
            <w:pPr>
              <w:spacing w:line="259" w:lineRule="auto"/>
              <w:ind w:left="24" w:right="85" w:hanging="24"/>
              <w:jc w:val="left"/>
              <w:rPr>
                <w:rFonts w:ascii="Garamond" w:hAnsi="Garamond"/>
                <w:sz w:val="24"/>
                <w:szCs w:val="24"/>
              </w:rPr>
            </w:pPr>
            <w:r w:rsidRPr="00AE3F1B">
              <w:rPr>
                <w:rFonts w:ascii="Garamond" w:hAnsi="Garamond"/>
                <w:sz w:val="24"/>
                <w:szCs w:val="24"/>
              </w:rPr>
              <w:t>Grafik obciążeń</w:t>
            </w:r>
          </w:p>
        </w:tc>
        <w:tc>
          <w:tcPr>
            <w:tcW w:w="7580" w:type="dxa"/>
            <w:tcBorders>
              <w:top w:val="single" w:sz="2" w:space="0" w:color="000000"/>
              <w:left w:val="single" w:sz="2" w:space="0" w:color="000000"/>
              <w:bottom w:val="single" w:sz="2" w:space="0" w:color="000000"/>
              <w:right w:val="single" w:sz="2" w:space="0" w:color="000000"/>
            </w:tcBorders>
          </w:tcPr>
          <w:p w14:paraId="085CE1F3" w14:textId="77777777" w:rsidR="0021654E" w:rsidRPr="00AE3F1B" w:rsidRDefault="0021654E" w:rsidP="00C20264">
            <w:pPr>
              <w:spacing w:line="259" w:lineRule="auto"/>
              <w:ind w:left="90" w:right="85" w:hanging="90"/>
              <w:jc w:val="left"/>
              <w:rPr>
                <w:rFonts w:ascii="Garamond" w:hAnsi="Garamond"/>
                <w:sz w:val="24"/>
                <w:szCs w:val="24"/>
              </w:rPr>
            </w:pPr>
            <w:r w:rsidRPr="00AE3F1B">
              <w:rPr>
                <w:rFonts w:ascii="Garamond" w:hAnsi="Garamond"/>
                <w:sz w:val="24"/>
                <w:szCs w:val="24"/>
              </w:rPr>
              <w:t>Zbiór danych określających oddzielnie dla poszczególnych okresów przyjętych do technicznego bilansowania systemu, zawierający ilości energii elektrycznej planowane do wprowadzenia do sieci lub do poboru z sieci.</w:t>
            </w:r>
          </w:p>
        </w:tc>
      </w:tr>
      <w:tr w:rsidR="0002655A" w:rsidRPr="00AE3F1B" w14:paraId="5685281D" w14:textId="77777777" w:rsidTr="00012668">
        <w:tblPrEx>
          <w:tblCellMar>
            <w:top w:w="47" w:type="dxa"/>
            <w:left w:w="50" w:type="dxa"/>
            <w:right w:w="43" w:type="dxa"/>
          </w:tblCellMar>
        </w:tblPrEx>
        <w:trPr>
          <w:trHeight w:val="4834"/>
        </w:trPr>
        <w:tc>
          <w:tcPr>
            <w:tcW w:w="2059" w:type="dxa"/>
            <w:tcBorders>
              <w:top w:val="single" w:sz="2" w:space="0" w:color="000000"/>
              <w:left w:val="single" w:sz="2" w:space="0" w:color="000000"/>
              <w:bottom w:val="single" w:sz="2" w:space="0" w:color="000000"/>
              <w:right w:val="single" w:sz="2" w:space="0" w:color="000000"/>
            </w:tcBorders>
          </w:tcPr>
          <w:p w14:paraId="47141E66" w14:textId="77777777" w:rsidR="0021654E" w:rsidRPr="00AE3F1B" w:rsidRDefault="0021654E" w:rsidP="00012668">
            <w:pPr>
              <w:spacing w:line="259" w:lineRule="auto"/>
              <w:ind w:left="24" w:right="85" w:hanging="24"/>
              <w:jc w:val="left"/>
              <w:rPr>
                <w:rFonts w:ascii="Garamond" w:hAnsi="Garamond"/>
                <w:sz w:val="24"/>
                <w:szCs w:val="24"/>
              </w:rPr>
            </w:pPr>
            <w:r w:rsidRPr="00AE3F1B">
              <w:rPr>
                <w:rFonts w:ascii="Garamond" w:hAnsi="Garamond"/>
                <w:sz w:val="24"/>
                <w:szCs w:val="24"/>
              </w:rPr>
              <w:lastRenderedPageBreak/>
              <w:t>Grupy przyłączeniowe</w:t>
            </w:r>
          </w:p>
        </w:tc>
        <w:tc>
          <w:tcPr>
            <w:tcW w:w="7580" w:type="dxa"/>
            <w:tcBorders>
              <w:top w:val="single" w:sz="2" w:space="0" w:color="000000"/>
              <w:left w:val="single" w:sz="2" w:space="0" w:color="000000"/>
              <w:bottom w:val="single" w:sz="2" w:space="0" w:color="000000"/>
              <w:right w:val="single" w:sz="2" w:space="0" w:color="000000"/>
            </w:tcBorders>
          </w:tcPr>
          <w:p w14:paraId="69DF0DD6" w14:textId="77777777" w:rsidR="0021654E" w:rsidRPr="00AE3F1B" w:rsidRDefault="0021654E" w:rsidP="00C20264">
            <w:pPr>
              <w:spacing w:after="4" w:line="246" w:lineRule="auto"/>
              <w:ind w:left="90" w:right="85" w:hanging="90"/>
              <w:jc w:val="left"/>
              <w:rPr>
                <w:rFonts w:ascii="Garamond" w:hAnsi="Garamond"/>
                <w:sz w:val="24"/>
                <w:szCs w:val="24"/>
              </w:rPr>
            </w:pPr>
            <w:r w:rsidRPr="00AE3F1B">
              <w:rPr>
                <w:rFonts w:ascii="Garamond" w:hAnsi="Garamond"/>
                <w:sz w:val="24"/>
                <w:szCs w:val="24"/>
              </w:rPr>
              <w:t>Grupy podmiotów przyłączanych do sieci w podziale na:</w:t>
            </w:r>
          </w:p>
          <w:p w14:paraId="2D22C254" w14:textId="636FBD08" w:rsidR="0021654E" w:rsidRPr="00AE3F1B" w:rsidRDefault="0021654E" w:rsidP="00257369">
            <w:pPr>
              <w:spacing w:after="4" w:line="246" w:lineRule="auto"/>
              <w:ind w:left="374" w:right="85" w:hanging="284"/>
              <w:jc w:val="left"/>
              <w:rPr>
                <w:rFonts w:ascii="Garamond" w:hAnsi="Garamond"/>
                <w:sz w:val="24"/>
                <w:szCs w:val="24"/>
              </w:rPr>
            </w:pPr>
            <w:r w:rsidRPr="00AE3F1B">
              <w:rPr>
                <w:rFonts w:ascii="Garamond" w:hAnsi="Garamond"/>
                <w:sz w:val="24"/>
                <w:szCs w:val="24"/>
              </w:rPr>
              <w:t>a)  grupa l przyłączane bezpośrednio do sieci przesyłowej,</w:t>
            </w:r>
          </w:p>
          <w:p w14:paraId="2985E676" w14:textId="01A7D57B" w:rsidR="0021654E" w:rsidRPr="00AE3F1B" w:rsidRDefault="0021654E" w:rsidP="00257369">
            <w:pPr>
              <w:numPr>
                <w:ilvl w:val="0"/>
                <w:numId w:val="55"/>
              </w:numPr>
              <w:spacing w:after="14" w:line="233" w:lineRule="auto"/>
              <w:ind w:left="374" w:right="85" w:hanging="284"/>
              <w:jc w:val="left"/>
              <w:rPr>
                <w:rFonts w:ascii="Garamond" w:hAnsi="Garamond"/>
                <w:sz w:val="24"/>
                <w:szCs w:val="24"/>
              </w:rPr>
            </w:pPr>
            <w:r w:rsidRPr="00AE3F1B">
              <w:rPr>
                <w:rFonts w:ascii="Garamond" w:hAnsi="Garamond"/>
                <w:sz w:val="24"/>
                <w:szCs w:val="24"/>
              </w:rPr>
              <w:t xml:space="preserve">grupa Il - przyłączane bezpośrednio do sieci dystrybucyjnej </w:t>
            </w:r>
            <w:r w:rsidR="00AA279F">
              <w:rPr>
                <w:rFonts w:ascii="Garamond" w:hAnsi="Garamond"/>
                <w:sz w:val="24"/>
                <w:szCs w:val="24"/>
              </w:rPr>
              <w:br/>
            </w:r>
            <w:r w:rsidRPr="00AE3F1B">
              <w:rPr>
                <w:rFonts w:ascii="Garamond" w:hAnsi="Garamond"/>
                <w:sz w:val="24"/>
                <w:szCs w:val="24"/>
              </w:rPr>
              <w:t>o napięciu znamionowym 110kV,</w:t>
            </w:r>
          </w:p>
          <w:p w14:paraId="10E6FD75" w14:textId="35BD3ED3" w:rsidR="0021654E" w:rsidRPr="00AE3F1B" w:rsidRDefault="0021654E" w:rsidP="00257369">
            <w:pPr>
              <w:numPr>
                <w:ilvl w:val="0"/>
                <w:numId w:val="55"/>
              </w:numPr>
              <w:spacing w:after="15" w:line="227" w:lineRule="auto"/>
              <w:ind w:left="374" w:right="85" w:hanging="284"/>
              <w:jc w:val="left"/>
              <w:rPr>
                <w:rFonts w:ascii="Garamond" w:hAnsi="Garamond"/>
                <w:sz w:val="24"/>
                <w:szCs w:val="24"/>
              </w:rPr>
            </w:pPr>
            <w:r w:rsidRPr="00AE3F1B">
              <w:rPr>
                <w:rFonts w:ascii="Garamond" w:hAnsi="Garamond"/>
                <w:sz w:val="24"/>
                <w:szCs w:val="24"/>
              </w:rPr>
              <w:t xml:space="preserve">grupa III - przyłączane bezpośrednio do sieci dystrybucyjnej, </w:t>
            </w:r>
            <w:r w:rsidR="00AA279F">
              <w:rPr>
                <w:rFonts w:ascii="Garamond" w:hAnsi="Garamond"/>
                <w:sz w:val="24"/>
                <w:szCs w:val="24"/>
              </w:rPr>
              <w:br/>
            </w:r>
            <w:r w:rsidRPr="00AE3F1B">
              <w:rPr>
                <w:rFonts w:ascii="Garamond" w:hAnsi="Garamond"/>
                <w:sz w:val="24"/>
                <w:szCs w:val="24"/>
              </w:rPr>
              <w:t>o napięciu znamionowym wyższym niż 1kV, lecz niższym niż 110kV,</w:t>
            </w:r>
          </w:p>
          <w:p w14:paraId="08963B03" w14:textId="5585955D" w:rsidR="0021654E" w:rsidRPr="00AE3F1B" w:rsidRDefault="0021654E" w:rsidP="00257369">
            <w:pPr>
              <w:numPr>
                <w:ilvl w:val="0"/>
                <w:numId w:val="55"/>
              </w:numPr>
              <w:spacing w:after="8" w:line="242" w:lineRule="auto"/>
              <w:ind w:left="374" w:right="85" w:hanging="284"/>
              <w:jc w:val="left"/>
              <w:rPr>
                <w:rFonts w:ascii="Garamond" w:hAnsi="Garamond"/>
                <w:sz w:val="24"/>
                <w:szCs w:val="24"/>
              </w:rPr>
            </w:pPr>
            <w:r w:rsidRPr="00AE3F1B">
              <w:rPr>
                <w:rFonts w:ascii="Garamond" w:hAnsi="Garamond"/>
                <w:sz w:val="24"/>
                <w:szCs w:val="24"/>
              </w:rPr>
              <w:t xml:space="preserve">grupa IV - przyłączane bezpośrednio do sieci dystrybucyjnej, </w:t>
            </w:r>
            <w:r w:rsidR="00AA279F">
              <w:rPr>
                <w:rFonts w:ascii="Garamond" w:hAnsi="Garamond"/>
                <w:sz w:val="24"/>
                <w:szCs w:val="24"/>
              </w:rPr>
              <w:br/>
            </w:r>
            <w:r w:rsidRPr="00AE3F1B">
              <w:rPr>
                <w:rFonts w:ascii="Garamond" w:hAnsi="Garamond"/>
                <w:sz w:val="24"/>
                <w:szCs w:val="24"/>
              </w:rPr>
              <w:t xml:space="preserve">o napięciu znamionowym nie wyższym niż 1kV oraz mocy </w:t>
            </w:r>
            <w:r w:rsidR="00AA279F">
              <w:rPr>
                <w:rFonts w:ascii="Garamond" w:hAnsi="Garamond"/>
                <w:sz w:val="24"/>
                <w:szCs w:val="24"/>
              </w:rPr>
              <w:br/>
            </w:r>
            <w:r w:rsidRPr="00AE3F1B">
              <w:rPr>
                <w:rFonts w:ascii="Garamond" w:hAnsi="Garamond"/>
                <w:sz w:val="24"/>
                <w:szCs w:val="24"/>
              </w:rPr>
              <w:t xml:space="preserve">przyłączeniowej większej niż 40kW lub prądzie znamionowym </w:t>
            </w:r>
            <w:r w:rsidR="00AA279F">
              <w:rPr>
                <w:rFonts w:ascii="Garamond" w:hAnsi="Garamond"/>
                <w:sz w:val="24"/>
                <w:szCs w:val="24"/>
              </w:rPr>
              <w:br/>
            </w:r>
            <w:r w:rsidRPr="00AE3F1B">
              <w:rPr>
                <w:rFonts w:ascii="Garamond" w:hAnsi="Garamond"/>
                <w:sz w:val="24"/>
                <w:szCs w:val="24"/>
              </w:rPr>
              <w:t xml:space="preserve">zabezpieczenia przed licznikowego w torze prądowym większym </w:t>
            </w:r>
            <w:r w:rsidR="00AA279F">
              <w:rPr>
                <w:rFonts w:ascii="Garamond" w:hAnsi="Garamond"/>
                <w:sz w:val="24"/>
                <w:szCs w:val="24"/>
              </w:rPr>
              <w:br/>
            </w:r>
            <w:r w:rsidRPr="00AE3F1B">
              <w:rPr>
                <w:rFonts w:ascii="Garamond" w:hAnsi="Garamond"/>
                <w:sz w:val="24"/>
                <w:szCs w:val="24"/>
              </w:rPr>
              <w:t>niż 63A,</w:t>
            </w:r>
          </w:p>
          <w:p w14:paraId="06629CD6" w14:textId="616A21D3" w:rsidR="0021654E" w:rsidRPr="00AE3F1B" w:rsidRDefault="0021654E" w:rsidP="00257369">
            <w:pPr>
              <w:numPr>
                <w:ilvl w:val="0"/>
                <w:numId w:val="55"/>
              </w:numPr>
              <w:spacing w:after="52" w:line="216" w:lineRule="auto"/>
              <w:ind w:left="374" w:right="85" w:hanging="284"/>
              <w:jc w:val="left"/>
              <w:rPr>
                <w:rFonts w:ascii="Garamond" w:hAnsi="Garamond"/>
                <w:sz w:val="24"/>
                <w:szCs w:val="24"/>
              </w:rPr>
            </w:pPr>
            <w:r w:rsidRPr="00AE3F1B">
              <w:rPr>
                <w:rFonts w:ascii="Garamond" w:hAnsi="Garamond"/>
                <w:sz w:val="24"/>
                <w:szCs w:val="24"/>
              </w:rPr>
              <w:t xml:space="preserve">grupa V - przyłączane bezpośrednio do sieci dystrybucyjnej, </w:t>
            </w:r>
            <w:r w:rsidR="00AA279F">
              <w:rPr>
                <w:rFonts w:ascii="Garamond" w:hAnsi="Garamond"/>
                <w:sz w:val="24"/>
                <w:szCs w:val="24"/>
              </w:rPr>
              <w:br/>
            </w:r>
            <w:r w:rsidRPr="00AE3F1B">
              <w:rPr>
                <w:rFonts w:ascii="Garamond" w:hAnsi="Garamond"/>
                <w:sz w:val="24"/>
                <w:szCs w:val="24"/>
              </w:rPr>
              <w:t xml:space="preserve">o napięciu znamionowym nie wyższym niż 1kV oraz mocy </w:t>
            </w:r>
            <w:r w:rsidR="00AA279F">
              <w:rPr>
                <w:rFonts w:ascii="Garamond" w:hAnsi="Garamond"/>
                <w:sz w:val="24"/>
                <w:szCs w:val="24"/>
              </w:rPr>
              <w:br/>
            </w:r>
            <w:r w:rsidRPr="00AE3F1B">
              <w:rPr>
                <w:rFonts w:ascii="Garamond" w:hAnsi="Garamond"/>
                <w:sz w:val="24"/>
                <w:szCs w:val="24"/>
              </w:rPr>
              <w:t xml:space="preserve">przyłączeniowej nie większej niż 40kW i prądzie znamionowym </w:t>
            </w:r>
            <w:r w:rsidR="00AA279F">
              <w:rPr>
                <w:rFonts w:ascii="Garamond" w:hAnsi="Garamond"/>
                <w:sz w:val="24"/>
                <w:szCs w:val="24"/>
              </w:rPr>
              <w:br/>
            </w:r>
            <w:r w:rsidRPr="00AE3F1B">
              <w:rPr>
                <w:rFonts w:ascii="Garamond" w:hAnsi="Garamond"/>
                <w:sz w:val="24"/>
                <w:szCs w:val="24"/>
              </w:rPr>
              <w:t>zabezpieczenia przed licznikowego nie większym niż 63A,</w:t>
            </w:r>
          </w:p>
          <w:p w14:paraId="102780CE" w14:textId="77777777" w:rsidR="0021654E" w:rsidRPr="00AE3F1B" w:rsidRDefault="0021654E" w:rsidP="00257369">
            <w:pPr>
              <w:numPr>
                <w:ilvl w:val="0"/>
                <w:numId w:val="55"/>
              </w:numPr>
              <w:spacing w:line="259" w:lineRule="auto"/>
              <w:ind w:left="374" w:right="85" w:hanging="284"/>
              <w:jc w:val="left"/>
              <w:rPr>
                <w:rFonts w:ascii="Garamond" w:hAnsi="Garamond"/>
                <w:sz w:val="24"/>
                <w:szCs w:val="24"/>
              </w:rPr>
            </w:pPr>
            <w:r w:rsidRPr="00AE3F1B">
              <w:rPr>
                <w:rFonts w:ascii="Garamond" w:hAnsi="Garamond"/>
                <w:sz w:val="24"/>
                <w:szCs w:val="24"/>
              </w:rPr>
              <w:t>grupa VI - przyłączane do sieci poprzez tymczasowe przyłącze, które będzie na zasadach określonych w umowie o przyłączenie zastąpione przyłączem docelowym lub podmioty przyłączane do sieci na czas określony, lecz nie dłuższy niż rok.</w:t>
            </w:r>
          </w:p>
        </w:tc>
      </w:tr>
      <w:tr w:rsidR="0002655A" w:rsidRPr="00AE3F1B" w14:paraId="3E9EB6D8" w14:textId="77777777" w:rsidTr="00012668">
        <w:tblPrEx>
          <w:tblCellMar>
            <w:top w:w="47" w:type="dxa"/>
            <w:left w:w="50" w:type="dxa"/>
            <w:right w:w="43" w:type="dxa"/>
          </w:tblCellMar>
        </w:tblPrEx>
        <w:trPr>
          <w:trHeight w:val="1885"/>
        </w:trPr>
        <w:tc>
          <w:tcPr>
            <w:tcW w:w="2059" w:type="dxa"/>
            <w:tcBorders>
              <w:top w:val="single" w:sz="2" w:space="0" w:color="000000"/>
              <w:left w:val="single" w:sz="2" w:space="0" w:color="000000"/>
              <w:bottom w:val="single" w:sz="2" w:space="0" w:color="000000"/>
              <w:right w:val="single" w:sz="2" w:space="0" w:color="000000"/>
            </w:tcBorders>
          </w:tcPr>
          <w:p w14:paraId="4D60D31A" w14:textId="77777777" w:rsidR="0021654E" w:rsidRPr="00AE3F1B" w:rsidRDefault="0021654E" w:rsidP="00012668">
            <w:pPr>
              <w:spacing w:line="259" w:lineRule="auto"/>
              <w:ind w:left="24" w:right="85" w:hanging="24"/>
              <w:jc w:val="left"/>
              <w:rPr>
                <w:rFonts w:ascii="Garamond" w:hAnsi="Garamond"/>
                <w:sz w:val="24"/>
                <w:szCs w:val="24"/>
              </w:rPr>
            </w:pPr>
            <w:r w:rsidRPr="00AE3F1B">
              <w:rPr>
                <w:rFonts w:ascii="Garamond" w:hAnsi="Garamond"/>
                <w:sz w:val="24"/>
                <w:szCs w:val="24"/>
              </w:rPr>
              <w:t>Instalacja odnawialnego źródła energii</w:t>
            </w:r>
          </w:p>
        </w:tc>
        <w:tc>
          <w:tcPr>
            <w:tcW w:w="7580" w:type="dxa"/>
            <w:tcBorders>
              <w:top w:val="single" w:sz="2" w:space="0" w:color="000000"/>
              <w:left w:val="single" w:sz="2" w:space="0" w:color="000000"/>
              <w:bottom w:val="single" w:sz="2" w:space="0" w:color="000000"/>
              <w:right w:val="single" w:sz="2" w:space="0" w:color="000000"/>
            </w:tcBorders>
          </w:tcPr>
          <w:p w14:paraId="168F5BDF" w14:textId="77777777" w:rsidR="0021654E" w:rsidRPr="00AE3F1B" w:rsidRDefault="0021654E" w:rsidP="00C20264">
            <w:pPr>
              <w:spacing w:after="13" w:line="259" w:lineRule="auto"/>
              <w:ind w:left="90" w:right="85" w:hanging="90"/>
              <w:jc w:val="left"/>
              <w:rPr>
                <w:rFonts w:ascii="Garamond" w:hAnsi="Garamond"/>
                <w:sz w:val="24"/>
                <w:szCs w:val="24"/>
              </w:rPr>
            </w:pPr>
            <w:r w:rsidRPr="00AE3F1B">
              <w:rPr>
                <w:rFonts w:ascii="Garamond" w:hAnsi="Garamond"/>
                <w:sz w:val="24"/>
                <w:szCs w:val="24"/>
              </w:rPr>
              <w:t>Instalacja stanowiąca wyodrębniony zespół:</w:t>
            </w:r>
          </w:p>
          <w:p w14:paraId="14C4422C" w14:textId="77777777" w:rsidR="0021654E" w:rsidRPr="00AE3F1B" w:rsidRDefault="0021654E" w:rsidP="00012668">
            <w:pPr>
              <w:numPr>
                <w:ilvl w:val="0"/>
                <w:numId w:val="56"/>
              </w:numPr>
              <w:spacing w:after="26" w:line="242" w:lineRule="auto"/>
              <w:ind w:left="515" w:right="85" w:hanging="283"/>
              <w:jc w:val="left"/>
              <w:rPr>
                <w:rFonts w:ascii="Garamond" w:hAnsi="Garamond"/>
                <w:sz w:val="24"/>
                <w:szCs w:val="24"/>
              </w:rPr>
            </w:pPr>
            <w:r w:rsidRPr="00AE3F1B">
              <w:rPr>
                <w:rFonts w:ascii="Garamond" w:hAnsi="Garamond"/>
                <w:sz w:val="24"/>
                <w:szCs w:val="24"/>
              </w:rPr>
              <w:t xml:space="preserve">urządzeń służących do wytwarzania energii i wyprowadzenia </w:t>
            </w:r>
            <w:r w:rsidR="00AA279F">
              <w:rPr>
                <w:rFonts w:ascii="Garamond" w:hAnsi="Garamond"/>
                <w:sz w:val="24"/>
                <w:szCs w:val="24"/>
              </w:rPr>
              <w:br/>
            </w:r>
            <w:r w:rsidRPr="00AE3F1B">
              <w:rPr>
                <w:rFonts w:ascii="Garamond" w:hAnsi="Garamond"/>
                <w:sz w:val="24"/>
                <w:szCs w:val="24"/>
              </w:rPr>
              <w:t xml:space="preserve">mocy, w których energia elektryczna lub ciepło są wytwarzane </w:t>
            </w:r>
            <w:r w:rsidR="00AA279F">
              <w:rPr>
                <w:rFonts w:ascii="Garamond" w:hAnsi="Garamond"/>
                <w:sz w:val="24"/>
                <w:szCs w:val="24"/>
              </w:rPr>
              <w:br/>
            </w:r>
            <w:r w:rsidRPr="00AE3F1B">
              <w:rPr>
                <w:rFonts w:ascii="Garamond" w:hAnsi="Garamond"/>
                <w:sz w:val="24"/>
                <w:szCs w:val="24"/>
              </w:rPr>
              <w:t>z odnawialnych źródeł energii,</w:t>
            </w:r>
          </w:p>
          <w:p w14:paraId="482B4263" w14:textId="3FA08753" w:rsidR="0021654E" w:rsidRPr="00AE3F1B" w:rsidRDefault="0021654E" w:rsidP="00012668">
            <w:pPr>
              <w:numPr>
                <w:ilvl w:val="0"/>
                <w:numId w:val="56"/>
              </w:numPr>
              <w:spacing w:line="259" w:lineRule="auto"/>
              <w:ind w:left="515" w:right="85" w:hanging="283"/>
              <w:jc w:val="left"/>
              <w:rPr>
                <w:rFonts w:ascii="Garamond" w:hAnsi="Garamond"/>
                <w:sz w:val="24"/>
                <w:szCs w:val="24"/>
              </w:rPr>
            </w:pPr>
            <w:r w:rsidRPr="00AE3F1B">
              <w:rPr>
                <w:rFonts w:ascii="Garamond" w:hAnsi="Garamond"/>
                <w:sz w:val="24"/>
                <w:szCs w:val="24"/>
              </w:rPr>
              <w:t xml:space="preserve">obiektów budowlanych i urządzeń stanowiących całość technicznoużytkową służący do wytwarzania biogazu rolniczego, </w:t>
            </w:r>
            <w:r w:rsidR="00AA279F">
              <w:rPr>
                <w:rFonts w:ascii="Garamond" w:hAnsi="Garamond"/>
                <w:sz w:val="24"/>
                <w:szCs w:val="24"/>
              </w:rPr>
              <w:br/>
            </w:r>
            <w:r w:rsidRPr="00AE3F1B">
              <w:rPr>
                <w:rFonts w:ascii="Garamond" w:hAnsi="Garamond"/>
                <w:sz w:val="24"/>
                <w:szCs w:val="24"/>
              </w:rPr>
              <w:t>a także połączony z tym zespołem magazyn energii elektrycznej, w tym biogazu rolniczego</w:t>
            </w:r>
            <w:r w:rsidR="006316A5">
              <w:rPr>
                <w:rFonts w:ascii="Garamond" w:hAnsi="Garamond"/>
                <w:sz w:val="24"/>
                <w:szCs w:val="24"/>
              </w:rPr>
              <w:t xml:space="preserve"> </w:t>
            </w:r>
            <w:r w:rsidRPr="00AE3F1B">
              <w:rPr>
                <w:rFonts w:ascii="Garamond" w:hAnsi="Garamond"/>
                <w:sz w:val="24"/>
                <w:szCs w:val="24"/>
              </w:rPr>
              <w:t>a także połączony z tym zespołem magazyn energii elektrycznej, w tym magazyn biogazu rolniczego</w:t>
            </w:r>
          </w:p>
        </w:tc>
      </w:tr>
      <w:tr w:rsidR="0002655A" w:rsidRPr="00AE3F1B" w14:paraId="5E97FFE7" w14:textId="77777777" w:rsidTr="00012668">
        <w:tblPrEx>
          <w:tblCellMar>
            <w:top w:w="43" w:type="dxa"/>
            <w:left w:w="46" w:type="dxa"/>
            <w:right w:w="55" w:type="dxa"/>
          </w:tblCellMar>
        </w:tblPrEx>
        <w:trPr>
          <w:trHeight w:val="468"/>
        </w:trPr>
        <w:tc>
          <w:tcPr>
            <w:tcW w:w="2059" w:type="dxa"/>
            <w:tcBorders>
              <w:top w:val="single" w:sz="2" w:space="0" w:color="000000"/>
              <w:left w:val="single" w:sz="2" w:space="0" w:color="000000"/>
              <w:bottom w:val="single" w:sz="2" w:space="0" w:color="000000"/>
              <w:right w:val="single" w:sz="2" w:space="0" w:color="000000"/>
            </w:tcBorders>
            <w:vAlign w:val="center"/>
          </w:tcPr>
          <w:p w14:paraId="69D93F01" w14:textId="77777777" w:rsidR="0021654E" w:rsidRPr="00AE3F1B" w:rsidRDefault="0021654E" w:rsidP="00012668">
            <w:pPr>
              <w:spacing w:line="259" w:lineRule="auto"/>
              <w:ind w:left="24" w:right="85" w:hanging="24"/>
              <w:jc w:val="left"/>
              <w:rPr>
                <w:rFonts w:ascii="Garamond" w:hAnsi="Garamond"/>
                <w:sz w:val="24"/>
                <w:szCs w:val="24"/>
              </w:rPr>
            </w:pPr>
            <w:r w:rsidRPr="00AE3F1B">
              <w:rPr>
                <w:rFonts w:ascii="Garamond" w:hAnsi="Garamond"/>
                <w:sz w:val="24"/>
                <w:szCs w:val="24"/>
              </w:rPr>
              <w:t>Jednostka grafikowa</w:t>
            </w:r>
          </w:p>
        </w:tc>
        <w:tc>
          <w:tcPr>
            <w:tcW w:w="7580" w:type="dxa"/>
            <w:tcBorders>
              <w:top w:val="single" w:sz="2" w:space="0" w:color="000000"/>
              <w:left w:val="single" w:sz="2" w:space="0" w:color="000000"/>
              <w:bottom w:val="single" w:sz="2" w:space="0" w:color="000000"/>
              <w:right w:val="single" w:sz="2" w:space="0" w:color="000000"/>
            </w:tcBorders>
            <w:vAlign w:val="center"/>
          </w:tcPr>
          <w:p w14:paraId="4E52EE97" w14:textId="77777777" w:rsidR="0021654E" w:rsidRPr="00AE3F1B" w:rsidRDefault="0021654E" w:rsidP="00C20264">
            <w:pPr>
              <w:spacing w:line="259" w:lineRule="auto"/>
              <w:ind w:left="90" w:right="85" w:hanging="90"/>
              <w:jc w:val="left"/>
              <w:rPr>
                <w:rFonts w:ascii="Garamond" w:hAnsi="Garamond"/>
                <w:sz w:val="24"/>
                <w:szCs w:val="24"/>
              </w:rPr>
            </w:pPr>
            <w:r w:rsidRPr="00AE3F1B">
              <w:rPr>
                <w:rFonts w:ascii="Garamond" w:hAnsi="Garamond"/>
                <w:sz w:val="24"/>
                <w:szCs w:val="24"/>
              </w:rPr>
              <w:t>Zbiór Rzeczywistych lub Wirtualnych Miejsc Dostarczania Energii Elektrycznej.</w:t>
            </w:r>
          </w:p>
        </w:tc>
      </w:tr>
      <w:tr w:rsidR="0002655A" w:rsidRPr="00AE3F1B" w14:paraId="3B69983D" w14:textId="77777777" w:rsidTr="00012668">
        <w:tblPrEx>
          <w:tblCellMar>
            <w:top w:w="43" w:type="dxa"/>
            <w:left w:w="46" w:type="dxa"/>
            <w:right w:w="55" w:type="dxa"/>
          </w:tblCellMar>
        </w:tblPrEx>
        <w:trPr>
          <w:trHeight w:val="1429"/>
        </w:trPr>
        <w:tc>
          <w:tcPr>
            <w:tcW w:w="2059" w:type="dxa"/>
            <w:tcBorders>
              <w:top w:val="single" w:sz="2" w:space="0" w:color="000000"/>
              <w:left w:val="single" w:sz="2" w:space="0" w:color="000000"/>
              <w:bottom w:val="single" w:sz="2" w:space="0" w:color="000000"/>
              <w:right w:val="single" w:sz="2" w:space="0" w:color="000000"/>
            </w:tcBorders>
          </w:tcPr>
          <w:p w14:paraId="08413416" w14:textId="77777777" w:rsidR="0021654E" w:rsidRPr="00AE3F1B" w:rsidRDefault="0021654E" w:rsidP="00012668">
            <w:pPr>
              <w:spacing w:line="259" w:lineRule="auto"/>
              <w:ind w:left="24" w:right="-3" w:hanging="24"/>
              <w:jc w:val="left"/>
              <w:rPr>
                <w:rFonts w:ascii="Garamond" w:hAnsi="Garamond"/>
                <w:sz w:val="24"/>
                <w:szCs w:val="24"/>
              </w:rPr>
            </w:pPr>
            <w:r w:rsidRPr="00AE3F1B">
              <w:rPr>
                <w:rFonts w:ascii="Garamond" w:hAnsi="Garamond"/>
                <w:sz w:val="24"/>
                <w:szCs w:val="24"/>
              </w:rPr>
              <w:t>Jednostka wytwórcza</w:t>
            </w:r>
          </w:p>
        </w:tc>
        <w:tc>
          <w:tcPr>
            <w:tcW w:w="7580" w:type="dxa"/>
            <w:tcBorders>
              <w:top w:val="single" w:sz="2" w:space="0" w:color="000000"/>
              <w:left w:val="single" w:sz="2" w:space="0" w:color="000000"/>
              <w:bottom w:val="single" w:sz="2" w:space="0" w:color="000000"/>
              <w:right w:val="single" w:sz="2" w:space="0" w:color="000000"/>
            </w:tcBorders>
          </w:tcPr>
          <w:p w14:paraId="4877EA70" w14:textId="77777777" w:rsidR="0021654E" w:rsidRPr="00AE3F1B" w:rsidRDefault="0021654E" w:rsidP="00AA279F">
            <w:pPr>
              <w:spacing w:line="259" w:lineRule="auto"/>
              <w:ind w:right="-3"/>
              <w:jc w:val="left"/>
              <w:rPr>
                <w:rFonts w:ascii="Garamond" w:hAnsi="Garamond"/>
                <w:sz w:val="24"/>
                <w:szCs w:val="24"/>
              </w:rPr>
            </w:pPr>
            <w:r w:rsidRPr="00AE3F1B">
              <w:rPr>
                <w:rFonts w:ascii="Garamond" w:hAnsi="Garamond"/>
                <w:sz w:val="24"/>
                <w:szCs w:val="24"/>
              </w:rPr>
              <w:t>Wyodrębniony zespół urządzeń, należących do przedsiębiorstwa energetycznego, służący do wytwarzania energii elektrycznej i wyprowadzania mocy, opisany poprzez dane techniczne i handlowe. Jednostka wytwórcza obejmuje zatem także transformatory blokowe oraz linie blokowe wraz z łącznikami w miejscu przyłączenia jednostki do sieci.</w:t>
            </w:r>
          </w:p>
        </w:tc>
      </w:tr>
      <w:tr w:rsidR="0002655A" w:rsidRPr="00AE3F1B" w14:paraId="601BF965" w14:textId="77777777" w:rsidTr="00012668">
        <w:tblPrEx>
          <w:tblCellMar>
            <w:top w:w="43" w:type="dxa"/>
            <w:left w:w="46" w:type="dxa"/>
            <w:right w:w="55" w:type="dxa"/>
          </w:tblCellMar>
        </w:tblPrEx>
        <w:trPr>
          <w:trHeight w:val="578"/>
        </w:trPr>
        <w:tc>
          <w:tcPr>
            <w:tcW w:w="2059" w:type="dxa"/>
            <w:tcBorders>
              <w:top w:val="single" w:sz="2" w:space="0" w:color="000000"/>
              <w:left w:val="single" w:sz="2" w:space="0" w:color="000000"/>
              <w:bottom w:val="single" w:sz="2" w:space="0" w:color="000000"/>
              <w:right w:val="single" w:sz="2" w:space="0" w:color="000000"/>
            </w:tcBorders>
          </w:tcPr>
          <w:p w14:paraId="5D0235EC" w14:textId="77777777" w:rsidR="0021654E" w:rsidRPr="00AE3F1B" w:rsidRDefault="0021654E" w:rsidP="00012668">
            <w:pPr>
              <w:spacing w:line="259" w:lineRule="auto"/>
              <w:ind w:left="24" w:right="-3" w:hanging="24"/>
              <w:jc w:val="left"/>
              <w:rPr>
                <w:rFonts w:ascii="Garamond" w:hAnsi="Garamond"/>
                <w:sz w:val="24"/>
                <w:szCs w:val="24"/>
              </w:rPr>
            </w:pPr>
            <w:r w:rsidRPr="00AE3F1B">
              <w:rPr>
                <w:rFonts w:ascii="Garamond" w:hAnsi="Garamond"/>
                <w:sz w:val="24"/>
                <w:szCs w:val="24"/>
              </w:rPr>
              <w:t>Koordynowana sieć</w:t>
            </w:r>
          </w:p>
          <w:p w14:paraId="38DB8FCD" w14:textId="77777777" w:rsidR="0021654E" w:rsidRPr="00AE3F1B" w:rsidRDefault="0021654E" w:rsidP="00012668">
            <w:pPr>
              <w:spacing w:line="259" w:lineRule="auto"/>
              <w:ind w:left="24" w:right="-3" w:hanging="24"/>
              <w:jc w:val="left"/>
              <w:rPr>
                <w:rFonts w:ascii="Garamond" w:hAnsi="Garamond"/>
                <w:sz w:val="24"/>
                <w:szCs w:val="24"/>
              </w:rPr>
            </w:pPr>
            <w:r w:rsidRPr="00AE3F1B">
              <w:rPr>
                <w:rFonts w:ascii="Garamond" w:hAnsi="Garamond"/>
                <w:sz w:val="24"/>
                <w:szCs w:val="24"/>
              </w:rPr>
              <w:t xml:space="preserve">110 </w:t>
            </w:r>
            <w:proofErr w:type="spellStart"/>
            <w:r w:rsidRPr="00AE3F1B">
              <w:rPr>
                <w:rFonts w:ascii="Garamond" w:hAnsi="Garamond"/>
                <w:sz w:val="24"/>
                <w:szCs w:val="24"/>
              </w:rPr>
              <w:t>kV</w:t>
            </w:r>
            <w:proofErr w:type="spellEnd"/>
          </w:p>
        </w:tc>
        <w:tc>
          <w:tcPr>
            <w:tcW w:w="7580" w:type="dxa"/>
            <w:tcBorders>
              <w:top w:val="single" w:sz="2" w:space="0" w:color="000000"/>
              <w:left w:val="single" w:sz="2" w:space="0" w:color="000000"/>
              <w:bottom w:val="single" w:sz="2" w:space="0" w:color="000000"/>
              <w:right w:val="single" w:sz="2" w:space="0" w:color="000000"/>
            </w:tcBorders>
          </w:tcPr>
          <w:p w14:paraId="5A2888FB" w14:textId="0C746122" w:rsidR="0021654E" w:rsidRPr="00AE3F1B" w:rsidRDefault="0021654E" w:rsidP="00AA279F">
            <w:pPr>
              <w:spacing w:line="259" w:lineRule="auto"/>
              <w:ind w:right="-3"/>
              <w:jc w:val="left"/>
              <w:rPr>
                <w:rFonts w:ascii="Garamond" w:hAnsi="Garamond"/>
                <w:sz w:val="24"/>
                <w:szCs w:val="24"/>
              </w:rPr>
            </w:pPr>
            <w:r w:rsidRPr="00AE3F1B">
              <w:rPr>
                <w:rFonts w:ascii="Garamond" w:hAnsi="Garamond"/>
                <w:sz w:val="24"/>
                <w:szCs w:val="24"/>
              </w:rPr>
              <w:t>Część sieci dystrybucyjnej 110kV, w której przepływy energii elektrycznej zależą także od warunków pracy sieci przesyłowej.</w:t>
            </w:r>
          </w:p>
        </w:tc>
      </w:tr>
      <w:tr w:rsidR="0002655A" w:rsidRPr="00AE3F1B" w14:paraId="5EB8EE7B" w14:textId="77777777" w:rsidTr="00012668">
        <w:tblPrEx>
          <w:tblCellMar>
            <w:top w:w="43" w:type="dxa"/>
            <w:left w:w="46" w:type="dxa"/>
            <w:right w:w="55" w:type="dxa"/>
          </w:tblCellMar>
        </w:tblPrEx>
        <w:trPr>
          <w:trHeight w:val="576"/>
        </w:trPr>
        <w:tc>
          <w:tcPr>
            <w:tcW w:w="2059" w:type="dxa"/>
            <w:tcBorders>
              <w:top w:val="single" w:sz="2" w:space="0" w:color="000000"/>
              <w:left w:val="single" w:sz="2" w:space="0" w:color="000000"/>
              <w:bottom w:val="single" w:sz="2" w:space="0" w:color="000000"/>
              <w:right w:val="single" w:sz="2" w:space="0" w:color="000000"/>
            </w:tcBorders>
          </w:tcPr>
          <w:p w14:paraId="2C3B8D55" w14:textId="77777777" w:rsidR="0021654E" w:rsidRPr="00AE3F1B" w:rsidRDefault="0021654E" w:rsidP="00012668">
            <w:pPr>
              <w:spacing w:line="259" w:lineRule="auto"/>
              <w:ind w:left="24" w:right="-3" w:hanging="24"/>
              <w:jc w:val="left"/>
              <w:rPr>
                <w:rFonts w:ascii="Garamond" w:hAnsi="Garamond"/>
                <w:sz w:val="24"/>
                <w:szCs w:val="24"/>
              </w:rPr>
            </w:pPr>
            <w:r w:rsidRPr="00AE3F1B">
              <w:rPr>
                <w:rFonts w:ascii="Garamond" w:hAnsi="Garamond"/>
                <w:sz w:val="24"/>
                <w:szCs w:val="24"/>
              </w:rPr>
              <w:t>Krajowy System</w:t>
            </w:r>
          </w:p>
          <w:p w14:paraId="03A9B01A" w14:textId="77777777" w:rsidR="0021654E" w:rsidRPr="00AE3F1B" w:rsidRDefault="0021654E" w:rsidP="00012668">
            <w:pPr>
              <w:spacing w:line="259" w:lineRule="auto"/>
              <w:ind w:left="24" w:right="-3" w:hanging="24"/>
              <w:jc w:val="left"/>
              <w:rPr>
                <w:rFonts w:ascii="Garamond" w:hAnsi="Garamond"/>
                <w:sz w:val="24"/>
                <w:szCs w:val="24"/>
              </w:rPr>
            </w:pPr>
            <w:r w:rsidRPr="00AE3F1B">
              <w:rPr>
                <w:rFonts w:ascii="Garamond" w:hAnsi="Garamond"/>
                <w:sz w:val="24"/>
                <w:szCs w:val="24"/>
              </w:rPr>
              <w:t>Elektroenergetyczny</w:t>
            </w:r>
          </w:p>
        </w:tc>
        <w:tc>
          <w:tcPr>
            <w:tcW w:w="7580" w:type="dxa"/>
            <w:tcBorders>
              <w:top w:val="single" w:sz="2" w:space="0" w:color="000000"/>
              <w:left w:val="single" w:sz="2" w:space="0" w:color="000000"/>
              <w:bottom w:val="single" w:sz="2" w:space="0" w:color="000000"/>
              <w:right w:val="single" w:sz="2" w:space="0" w:color="000000"/>
            </w:tcBorders>
            <w:vAlign w:val="center"/>
          </w:tcPr>
          <w:p w14:paraId="1FD58E18" w14:textId="77777777" w:rsidR="0021654E" w:rsidRPr="00AE3F1B" w:rsidRDefault="0021654E" w:rsidP="00AA279F">
            <w:pPr>
              <w:spacing w:line="259" w:lineRule="auto"/>
              <w:ind w:right="-3"/>
              <w:jc w:val="left"/>
              <w:rPr>
                <w:rFonts w:ascii="Garamond" w:hAnsi="Garamond"/>
                <w:sz w:val="24"/>
                <w:szCs w:val="24"/>
              </w:rPr>
            </w:pPr>
            <w:r w:rsidRPr="00AE3F1B">
              <w:rPr>
                <w:rFonts w:ascii="Garamond" w:hAnsi="Garamond"/>
                <w:sz w:val="24"/>
                <w:szCs w:val="24"/>
              </w:rPr>
              <w:t>System elektroenergetyczny na terenie Polski.</w:t>
            </w:r>
          </w:p>
        </w:tc>
      </w:tr>
      <w:tr w:rsidR="0002655A" w:rsidRPr="00AE3F1B" w14:paraId="049A17E9" w14:textId="77777777" w:rsidTr="00012668">
        <w:tblPrEx>
          <w:tblCellMar>
            <w:top w:w="43" w:type="dxa"/>
            <w:left w:w="46" w:type="dxa"/>
            <w:right w:w="55" w:type="dxa"/>
          </w:tblCellMar>
        </w:tblPrEx>
        <w:trPr>
          <w:trHeight w:val="1353"/>
        </w:trPr>
        <w:tc>
          <w:tcPr>
            <w:tcW w:w="2059" w:type="dxa"/>
            <w:tcBorders>
              <w:top w:val="single" w:sz="2" w:space="0" w:color="000000"/>
              <w:left w:val="single" w:sz="2" w:space="0" w:color="000000"/>
              <w:bottom w:val="single" w:sz="2" w:space="0" w:color="000000"/>
              <w:right w:val="single" w:sz="2" w:space="0" w:color="000000"/>
            </w:tcBorders>
          </w:tcPr>
          <w:p w14:paraId="77A1D4A0" w14:textId="77777777" w:rsidR="0021654E" w:rsidRPr="00AE3F1B" w:rsidRDefault="0021654E" w:rsidP="00012668">
            <w:pPr>
              <w:spacing w:line="259" w:lineRule="auto"/>
              <w:ind w:left="24" w:right="-3" w:hanging="24"/>
              <w:jc w:val="left"/>
              <w:rPr>
                <w:rFonts w:ascii="Garamond" w:hAnsi="Garamond"/>
                <w:sz w:val="24"/>
                <w:szCs w:val="24"/>
              </w:rPr>
            </w:pPr>
            <w:r w:rsidRPr="00AE3F1B">
              <w:rPr>
                <w:rFonts w:ascii="Garamond" w:hAnsi="Garamond"/>
                <w:sz w:val="24"/>
                <w:szCs w:val="24"/>
              </w:rPr>
              <w:t>Linia bezpośrednia</w:t>
            </w:r>
          </w:p>
        </w:tc>
        <w:tc>
          <w:tcPr>
            <w:tcW w:w="7580" w:type="dxa"/>
            <w:tcBorders>
              <w:top w:val="single" w:sz="2" w:space="0" w:color="000000"/>
              <w:left w:val="single" w:sz="2" w:space="0" w:color="000000"/>
              <w:bottom w:val="single" w:sz="2" w:space="0" w:color="000000"/>
              <w:right w:val="single" w:sz="2" w:space="0" w:color="000000"/>
            </w:tcBorders>
          </w:tcPr>
          <w:p w14:paraId="1666E634" w14:textId="77777777" w:rsidR="0021654E" w:rsidRPr="00AE3F1B" w:rsidRDefault="0021654E" w:rsidP="00AA279F">
            <w:pPr>
              <w:spacing w:line="259" w:lineRule="auto"/>
              <w:ind w:right="-3"/>
              <w:jc w:val="left"/>
              <w:rPr>
                <w:rFonts w:ascii="Garamond" w:hAnsi="Garamond"/>
                <w:sz w:val="24"/>
                <w:szCs w:val="24"/>
              </w:rPr>
            </w:pPr>
            <w:r w:rsidRPr="00AE3F1B">
              <w:rPr>
                <w:rFonts w:ascii="Garamond" w:hAnsi="Garamond"/>
                <w:sz w:val="24"/>
                <w:szCs w:val="24"/>
              </w:rPr>
              <w:t>Linia elektroenergetyczna łącząca wydzieloną jednostkę wytwarzania energii elektrycznej bezpośrednio z odbiorcą lub linia elektroenergetyczna łączącą jednostkę wytwarzania energii elektrycznej przedsiębiorstwa energetycznego z instalacjami należącymi do tego przedsiębiorstwa albo instalacjami należącymi do przedsiębiorstw od niego zależnych.</w:t>
            </w:r>
          </w:p>
        </w:tc>
      </w:tr>
      <w:tr w:rsidR="0002655A" w:rsidRPr="00AE3F1B" w14:paraId="5C3B28A9" w14:textId="77777777" w:rsidTr="00012668">
        <w:tblPrEx>
          <w:tblCellMar>
            <w:top w:w="43" w:type="dxa"/>
            <w:left w:w="46" w:type="dxa"/>
            <w:right w:w="55" w:type="dxa"/>
          </w:tblCellMar>
        </w:tblPrEx>
        <w:trPr>
          <w:trHeight w:val="1350"/>
        </w:trPr>
        <w:tc>
          <w:tcPr>
            <w:tcW w:w="2059" w:type="dxa"/>
            <w:tcBorders>
              <w:top w:val="single" w:sz="2" w:space="0" w:color="000000"/>
              <w:left w:val="single" w:sz="2" w:space="0" w:color="000000"/>
              <w:bottom w:val="single" w:sz="2" w:space="0" w:color="000000"/>
              <w:right w:val="single" w:sz="2" w:space="0" w:color="000000"/>
            </w:tcBorders>
          </w:tcPr>
          <w:p w14:paraId="2693EFE8" w14:textId="77777777" w:rsidR="0021654E" w:rsidRPr="00AE3F1B" w:rsidRDefault="0021654E" w:rsidP="00012668">
            <w:pPr>
              <w:spacing w:line="259" w:lineRule="auto"/>
              <w:ind w:left="24" w:right="-3" w:hanging="24"/>
              <w:jc w:val="left"/>
              <w:rPr>
                <w:rFonts w:ascii="Garamond" w:hAnsi="Garamond"/>
                <w:sz w:val="24"/>
                <w:szCs w:val="24"/>
              </w:rPr>
            </w:pPr>
            <w:r w:rsidRPr="00AE3F1B">
              <w:rPr>
                <w:rFonts w:ascii="Garamond" w:hAnsi="Garamond"/>
                <w:sz w:val="24"/>
                <w:szCs w:val="24"/>
              </w:rPr>
              <w:lastRenderedPageBreak/>
              <w:t>Łącze niezależne</w:t>
            </w:r>
          </w:p>
        </w:tc>
        <w:tc>
          <w:tcPr>
            <w:tcW w:w="7580" w:type="dxa"/>
            <w:tcBorders>
              <w:top w:val="single" w:sz="2" w:space="0" w:color="000000"/>
              <w:left w:val="single" w:sz="2" w:space="0" w:color="000000"/>
              <w:bottom w:val="single" w:sz="2" w:space="0" w:color="000000"/>
              <w:right w:val="single" w:sz="2" w:space="0" w:color="000000"/>
            </w:tcBorders>
          </w:tcPr>
          <w:p w14:paraId="14675BD8" w14:textId="77777777" w:rsidR="0021654E" w:rsidRPr="00AE3F1B" w:rsidRDefault="0021654E" w:rsidP="00AA279F">
            <w:pPr>
              <w:spacing w:line="259" w:lineRule="auto"/>
              <w:ind w:right="-3"/>
              <w:jc w:val="left"/>
              <w:rPr>
                <w:rFonts w:ascii="Garamond" w:hAnsi="Garamond"/>
                <w:sz w:val="24"/>
                <w:szCs w:val="24"/>
              </w:rPr>
            </w:pPr>
            <w:r w:rsidRPr="00AE3F1B">
              <w:rPr>
                <w:rFonts w:ascii="Garamond" w:hAnsi="Garamond"/>
                <w:sz w:val="24"/>
                <w:szCs w:val="24"/>
              </w:rPr>
              <w:t>Łącze przeznaczone wyłącznie dla potrzeb EAZ, służące do realizacji pracy współbieżnej zabezpieczeń lub przesyłania sygnału bezwarunkowego wyłączenia drugiego końca linii. Łącze może być realizowane jako dedykowane włókna światłowodów, w których pozostałe włókna służą realizacji innych funkcji telekomunikacyjnych.</w:t>
            </w:r>
          </w:p>
        </w:tc>
      </w:tr>
      <w:tr w:rsidR="0002655A" w:rsidRPr="00AE3F1B" w14:paraId="283C3537" w14:textId="77777777" w:rsidTr="00012668">
        <w:tblPrEx>
          <w:tblCellMar>
            <w:top w:w="43" w:type="dxa"/>
            <w:left w:w="46" w:type="dxa"/>
            <w:right w:w="55" w:type="dxa"/>
          </w:tblCellMar>
        </w:tblPrEx>
        <w:trPr>
          <w:trHeight w:val="1079"/>
        </w:trPr>
        <w:tc>
          <w:tcPr>
            <w:tcW w:w="2059" w:type="dxa"/>
            <w:tcBorders>
              <w:top w:val="single" w:sz="2" w:space="0" w:color="000000"/>
              <w:left w:val="single" w:sz="2" w:space="0" w:color="000000"/>
              <w:bottom w:val="single" w:sz="2" w:space="0" w:color="000000"/>
              <w:right w:val="single" w:sz="2" w:space="0" w:color="000000"/>
            </w:tcBorders>
          </w:tcPr>
          <w:p w14:paraId="6493C843" w14:textId="77777777" w:rsidR="0021654E" w:rsidRPr="00AE3F1B" w:rsidRDefault="0021654E" w:rsidP="00012668">
            <w:pPr>
              <w:spacing w:line="259" w:lineRule="auto"/>
              <w:ind w:left="24" w:right="-3" w:hanging="24"/>
              <w:jc w:val="left"/>
              <w:rPr>
                <w:rFonts w:ascii="Garamond" w:hAnsi="Garamond"/>
                <w:sz w:val="24"/>
                <w:szCs w:val="24"/>
              </w:rPr>
            </w:pPr>
            <w:r w:rsidRPr="00AE3F1B">
              <w:rPr>
                <w:rFonts w:ascii="Garamond" w:hAnsi="Garamond"/>
                <w:sz w:val="24"/>
                <w:szCs w:val="24"/>
              </w:rPr>
              <w:t>Magazyn energii elektrycznej</w:t>
            </w:r>
          </w:p>
        </w:tc>
        <w:tc>
          <w:tcPr>
            <w:tcW w:w="7580" w:type="dxa"/>
            <w:tcBorders>
              <w:top w:val="single" w:sz="2" w:space="0" w:color="000000"/>
              <w:left w:val="single" w:sz="2" w:space="0" w:color="000000"/>
              <w:bottom w:val="single" w:sz="2" w:space="0" w:color="000000"/>
              <w:right w:val="single" w:sz="2" w:space="0" w:color="000000"/>
            </w:tcBorders>
          </w:tcPr>
          <w:p w14:paraId="1476AF9F" w14:textId="6F5A3B86" w:rsidR="0021654E" w:rsidRPr="00AE3F1B" w:rsidRDefault="0021654E" w:rsidP="00AA279F">
            <w:pPr>
              <w:spacing w:line="259" w:lineRule="auto"/>
              <w:ind w:right="-3"/>
              <w:jc w:val="left"/>
              <w:rPr>
                <w:rFonts w:ascii="Garamond" w:hAnsi="Garamond"/>
                <w:sz w:val="24"/>
                <w:szCs w:val="24"/>
              </w:rPr>
            </w:pPr>
            <w:r w:rsidRPr="00AE3F1B">
              <w:rPr>
                <w:rFonts w:ascii="Garamond" w:hAnsi="Garamond"/>
                <w:sz w:val="24"/>
                <w:szCs w:val="24"/>
              </w:rPr>
              <w:t xml:space="preserve">Wyodrębnione urządzenie lub zespół urządzeń, służący do przechowywania energii elektrycznej w dowolnej postaci </w:t>
            </w:r>
            <w:r w:rsidR="0077061D" w:rsidRPr="00AE3F1B">
              <w:rPr>
                <w:rFonts w:ascii="Garamond" w:hAnsi="Garamond"/>
                <w:sz w:val="24"/>
                <w:szCs w:val="24"/>
              </w:rPr>
              <w:t>niepowodujących</w:t>
            </w:r>
            <w:r w:rsidRPr="00AE3F1B">
              <w:rPr>
                <w:rFonts w:ascii="Garamond" w:hAnsi="Garamond"/>
                <w:sz w:val="24"/>
                <w:szCs w:val="24"/>
              </w:rPr>
              <w:t xml:space="preserve"> emisji będących obciążeniem dla środowiska w sposób pozwalający co najmniej na jej częściowe odzyskanie.</w:t>
            </w:r>
          </w:p>
        </w:tc>
      </w:tr>
      <w:tr w:rsidR="0002655A" w:rsidRPr="00AE3F1B" w14:paraId="33712FCA" w14:textId="77777777" w:rsidTr="00012668">
        <w:tblPrEx>
          <w:tblCellMar>
            <w:top w:w="43" w:type="dxa"/>
            <w:left w:w="46" w:type="dxa"/>
            <w:right w:w="55" w:type="dxa"/>
          </w:tblCellMar>
        </w:tblPrEx>
        <w:trPr>
          <w:trHeight w:val="729"/>
        </w:trPr>
        <w:tc>
          <w:tcPr>
            <w:tcW w:w="2059" w:type="dxa"/>
            <w:tcBorders>
              <w:top w:val="single" w:sz="2" w:space="0" w:color="000000"/>
              <w:left w:val="single" w:sz="2" w:space="0" w:color="000000"/>
              <w:bottom w:val="single" w:sz="2" w:space="0" w:color="000000"/>
              <w:right w:val="single" w:sz="2" w:space="0" w:color="000000"/>
            </w:tcBorders>
          </w:tcPr>
          <w:p w14:paraId="28D23947" w14:textId="77777777" w:rsidR="0021654E" w:rsidRPr="00AE3F1B" w:rsidRDefault="0021654E" w:rsidP="00012668">
            <w:pPr>
              <w:spacing w:line="259" w:lineRule="auto"/>
              <w:ind w:left="24" w:right="-3" w:hanging="24"/>
              <w:jc w:val="left"/>
              <w:rPr>
                <w:rFonts w:ascii="Garamond" w:hAnsi="Garamond"/>
                <w:sz w:val="24"/>
                <w:szCs w:val="24"/>
              </w:rPr>
            </w:pPr>
            <w:r w:rsidRPr="00AE3F1B">
              <w:rPr>
                <w:rFonts w:ascii="Garamond" w:hAnsi="Garamond"/>
                <w:sz w:val="24"/>
                <w:szCs w:val="24"/>
              </w:rPr>
              <w:t>Maksymalna moc dyspozycyjna netto</w:t>
            </w:r>
          </w:p>
        </w:tc>
        <w:tc>
          <w:tcPr>
            <w:tcW w:w="7580" w:type="dxa"/>
            <w:tcBorders>
              <w:top w:val="single" w:sz="2" w:space="0" w:color="000000"/>
              <w:left w:val="single" w:sz="2" w:space="0" w:color="000000"/>
              <w:bottom w:val="single" w:sz="2" w:space="0" w:color="000000"/>
              <w:right w:val="single" w:sz="2" w:space="0" w:color="000000"/>
            </w:tcBorders>
            <w:vAlign w:val="center"/>
          </w:tcPr>
          <w:p w14:paraId="23EC1869" w14:textId="77777777" w:rsidR="0021654E" w:rsidRPr="00AE3F1B" w:rsidRDefault="0021654E" w:rsidP="00AA279F">
            <w:pPr>
              <w:spacing w:line="259" w:lineRule="auto"/>
              <w:ind w:right="-3"/>
              <w:jc w:val="left"/>
              <w:rPr>
                <w:rFonts w:ascii="Garamond" w:hAnsi="Garamond"/>
                <w:sz w:val="24"/>
                <w:szCs w:val="24"/>
              </w:rPr>
            </w:pPr>
            <w:r w:rsidRPr="00AE3F1B">
              <w:rPr>
                <w:rFonts w:ascii="Garamond" w:hAnsi="Garamond"/>
                <w:sz w:val="24"/>
                <w:szCs w:val="24"/>
              </w:rPr>
              <w:t>Moc osiągalna netto pomniejszona o planowane lub nieplanowane ubytki mocy.</w:t>
            </w:r>
          </w:p>
        </w:tc>
      </w:tr>
      <w:tr w:rsidR="0002655A" w:rsidRPr="00AE3F1B" w14:paraId="41E25FCF" w14:textId="77777777" w:rsidTr="00012668">
        <w:tblPrEx>
          <w:tblCellMar>
            <w:top w:w="43" w:type="dxa"/>
            <w:left w:w="46" w:type="dxa"/>
            <w:right w:w="55" w:type="dxa"/>
          </w:tblCellMar>
        </w:tblPrEx>
        <w:trPr>
          <w:trHeight w:val="1391"/>
        </w:trPr>
        <w:tc>
          <w:tcPr>
            <w:tcW w:w="2059" w:type="dxa"/>
            <w:tcBorders>
              <w:top w:val="single" w:sz="2" w:space="0" w:color="000000"/>
              <w:left w:val="single" w:sz="2" w:space="0" w:color="000000"/>
              <w:bottom w:val="single" w:sz="2" w:space="0" w:color="000000"/>
              <w:right w:val="single" w:sz="2" w:space="0" w:color="000000"/>
            </w:tcBorders>
          </w:tcPr>
          <w:p w14:paraId="18432257" w14:textId="77777777" w:rsidR="0021654E" w:rsidRPr="00AE3F1B" w:rsidRDefault="0021654E" w:rsidP="00012668">
            <w:pPr>
              <w:spacing w:line="259" w:lineRule="auto"/>
              <w:ind w:left="24" w:right="-3" w:hanging="24"/>
              <w:jc w:val="left"/>
              <w:rPr>
                <w:rFonts w:ascii="Garamond" w:hAnsi="Garamond"/>
                <w:sz w:val="24"/>
                <w:szCs w:val="24"/>
              </w:rPr>
            </w:pPr>
            <w:r w:rsidRPr="00AE3F1B">
              <w:rPr>
                <w:rFonts w:ascii="Garamond" w:hAnsi="Garamond"/>
                <w:sz w:val="24"/>
                <w:szCs w:val="24"/>
              </w:rPr>
              <w:t>Mała instalacja</w:t>
            </w:r>
          </w:p>
        </w:tc>
        <w:tc>
          <w:tcPr>
            <w:tcW w:w="7580" w:type="dxa"/>
            <w:tcBorders>
              <w:top w:val="single" w:sz="2" w:space="0" w:color="000000"/>
              <w:left w:val="single" w:sz="2" w:space="0" w:color="000000"/>
              <w:bottom w:val="single" w:sz="2" w:space="0" w:color="000000"/>
              <w:right w:val="single" w:sz="2" w:space="0" w:color="000000"/>
            </w:tcBorders>
          </w:tcPr>
          <w:p w14:paraId="628921CB" w14:textId="027E156A" w:rsidR="0021654E" w:rsidRPr="00AE3F1B" w:rsidRDefault="0021654E" w:rsidP="00AA279F">
            <w:pPr>
              <w:spacing w:line="216" w:lineRule="auto"/>
              <w:ind w:right="-3"/>
              <w:jc w:val="left"/>
              <w:rPr>
                <w:rFonts w:ascii="Garamond" w:hAnsi="Garamond"/>
                <w:sz w:val="24"/>
                <w:szCs w:val="24"/>
              </w:rPr>
            </w:pPr>
            <w:r w:rsidRPr="00AE3F1B">
              <w:rPr>
                <w:rFonts w:ascii="Garamond" w:hAnsi="Garamond"/>
                <w:sz w:val="24"/>
                <w:szCs w:val="24"/>
              </w:rPr>
              <w:t>Instalacja odnawialnego źródła energii o łącznej mocy zainstalowanej elektrycznej większej niż 50kW i nie większej niż 500kW, przyłączona do sieci elektroenergetycznej o napięciu znamionowym niższym niż 110kV albo o mocy osiągalnej cieplnej w skojarzeniu większej niż 150kW i nie większej niż 900 kW, w której łączna moc zainstalowana elektryczna jest większa niż 50kW i mniejsza niż500kW</w:t>
            </w:r>
          </w:p>
        </w:tc>
      </w:tr>
      <w:tr w:rsidR="0002655A" w:rsidRPr="00AE3F1B" w14:paraId="5381E79C" w14:textId="77777777" w:rsidTr="00012668">
        <w:tblPrEx>
          <w:tblCellMar>
            <w:top w:w="43" w:type="dxa"/>
            <w:left w:w="46" w:type="dxa"/>
            <w:right w:w="55" w:type="dxa"/>
          </w:tblCellMar>
        </w:tblPrEx>
        <w:trPr>
          <w:trHeight w:val="630"/>
        </w:trPr>
        <w:tc>
          <w:tcPr>
            <w:tcW w:w="2059" w:type="dxa"/>
            <w:tcBorders>
              <w:top w:val="single" w:sz="2" w:space="0" w:color="000000"/>
              <w:left w:val="single" w:sz="2" w:space="0" w:color="000000"/>
              <w:bottom w:val="single" w:sz="2" w:space="0" w:color="000000"/>
              <w:right w:val="single" w:sz="2" w:space="0" w:color="000000"/>
            </w:tcBorders>
          </w:tcPr>
          <w:p w14:paraId="248253BB" w14:textId="77777777" w:rsidR="0021654E" w:rsidRPr="00AE3F1B" w:rsidRDefault="0021654E" w:rsidP="00012668">
            <w:pPr>
              <w:spacing w:line="259" w:lineRule="auto"/>
              <w:ind w:left="24" w:right="-3" w:hanging="24"/>
              <w:jc w:val="left"/>
              <w:rPr>
                <w:rFonts w:ascii="Garamond" w:hAnsi="Garamond"/>
                <w:sz w:val="24"/>
                <w:szCs w:val="24"/>
              </w:rPr>
            </w:pPr>
            <w:r w:rsidRPr="00AE3F1B">
              <w:rPr>
                <w:rFonts w:ascii="Garamond" w:hAnsi="Garamond"/>
                <w:sz w:val="24"/>
                <w:szCs w:val="24"/>
              </w:rPr>
              <w:t>Mechanizm bilansujący</w:t>
            </w:r>
          </w:p>
        </w:tc>
        <w:tc>
          <w:tcPr>
            <w:tcW w:w="7580" w:type="dxa"/>
            <w:tcBorders>
              <w:top w:val="single" w:sz="2" w:space="0" w:color="000000"/>
              <w:left w:val="single" w:sz="2" w:space="0" w:color="000000"/>
              <w:bottom w:val="single" w:sz="2" w:space="0" w:color="000000"/>
              <w:right w:val="single" w:sz="2" w:space="0" w:color="000000"/>
            </w:tcBorders>
          </w:tcPr>
          <w:p w14:paraId="36D2E402" w14:textId="77777777" w:rsidR="0021654E" w:rsidRPr="00AE3F1B" w:rsidRDefault="0021654E" w:rsidP="00AA279F">
            <w:pPr>
              <w:spacing w:line="259" w:lineRule="auto"/>
              <w:ind w:right="-3"/>
              <w:jc w:val="left"/>
              <w:rPr>
                <w:rFonts w:ascii="Garamond" w:hAnsi="Garamond"/>
                <w:sz w:val="24"/>
                <w:szCs w:val="24"/>
              </w:rPr>
            </w:pPr>
            <w:r w:rsidRPr="00AE3F1B">
              <w:rPr>
                <w:rFonts w:ascii="Garamond" w:hAnsi="Garamond"/>
                <w:sz w:val="24"/>
                <w:szCs w:val="24"/>
              </w:rPr>
              <w:t>Mechanizm bieżącego bilansowania zapotrzebowania na energię elektryczną i wytwarzania tej energii w systemie elektroenergetycznym.</w:t>
            </w:r>
          </w:p>
        </w:tc>
      </w:tr>
      <w:tr w:rsidR="0002655A" w:rsidRPr="00AE3F1B" w14:paraId="12902523" w14:textId="77777777" w:rsidTr="00012668">
        <w:tblPrEx>
          <w:tblCellMar>
            <w:top w:w="43" w:type="dxa"/>
            <w:left w:w="46" w:type="dxa"/>
            <w:right w:w="55" w:type="dxa"/>
          </w:tblCellMar>
        </w:tblPrEx>
        <w:trPr>
          <w:trHeight w:val="1139"/>
        </w:trPr>
        <w:tc>
          <w:tcPr>
            <w:tcW w:w="2059" w:type="dxa"/>
            <w:tcBorders>
              <w:top w:val="single" w:sz="2" w:space="0" w:color="000000"/>
              <w:left w:val="single" w:sz="2" w:space="0" w:color="000000"/>
              <w:bottom w:val="single" w:sz="2" w:space="0" w:color="000000"/>
              <w:right w:val="single" w:sz="2" w:space="0" w:color="000000"/>
            </w:tcBorders>
            <w:vAlign w:val="center"/>
          </w:tcPr>
          <w:p w14:paraId="399F1F11" w14:textId="77777777" w:rsidR="0021654E" w:rsidRPr="00AE3F1B" w:rsidRDefault="0021654E" w:rsidP="00012668">
            <w:pPr>
              <w:spacing w:line="259" w:lineRule="auto"/>
              <w:ind w:left="24" w:right="-3" w:hanging="24"/>
              <w:jc w:val="left"/>
              <w:rPr>
                <w:rFonts w:ascii="Garamond" w:hAnsi="Garamond"/>
                <w:sz w:val="24"/>
                <w:szCs w:val="24"/>
              </w:rPr>
            </w:pPr>
            <w:r w:rsidRPr="00AE3F1B">
              <w:rPr>
                <w:rFonts w:ascii="Garamond" w:hAnsi="Garamond"/>
                <w:sz w:val="24"/>
                <w:szCs w:val="24"/>
              </w:rPr>
              <w:t>Miejsce dostarczania</w:t>
            </w:r>
          </w:p>
        </w:tc>
        <w:tc>
          <w:tcPr>
            <w:tcW w:w="7580" w:type="dxa"/>
            <w:tcBorders>
              <w:top w:val="single" w:sz="2" w:space="0" w:color="000000"/>
              <w:left w:val="single" w:sz="2" w:space="0" w:color="000000"/>
              <w:bottom w:val="single" w:sz="2" w:space="0" w:color="000000"/>
              <w:right w:val="single" w:sz="2" w:space="0" w:color="000000"/>
            </w:tcBorders>
          </w:tcPr>
          <w:p w14:paraId="2877AF63" w14:textId="77777777" w:rsidR="0021654E" w:rsidRPr="00AE3F1B" w:rsidRDefault="0021654E" w:rsidP="00AA279F">
            <w:pPr>
              <w:spacing w:line="259" w:lineRule="auto"/>
              <w:ind w:right="-3"/>
              <w:jc w:val="left"/>
              <w:rPr>
                <w:rFonts w:ascii="Garamond" w:hAnsi="Garamond"/>
                <w:sz w:val="24"/>
                <w:szCs w:val="24"/>
              </w:rPr>
            </w:pPr>
            <w:r w:rsidRPr="00AE3F1B">
              <w:rPr>
                <w:rFonts w:ascii="Garamond" w:hAnsi="Garamond"/>
                <w:sz w:val="24"/>
                <w:szCs w:val="24"/>
              </w:rPr>
              <w:t>Punkt w sieci, do którego przedsiębiorstwo energetyczne dostarcza energię elektryczną, określony w umowie o przyłączenie, w umowie o świadczenie usług dystrybucji, w umowie sprzedaży energii elektrycznej albo umowie kompleksowej.</w:t>
            </w:r>
          </w:p>
        </w:tc>
      </w:tr>
      <w:tr w:rsidR="0002655A" w:rsidRPr="00AE3F1B" w14:paraId="04ED6955" w14:textId="77777777" w:rsidTr="00012668">
        <w:tblPrEx>
          <w:tblCellMar>
            <w:top w:w="43" w:type="dxa"/>
            <w:left w:w="46" w:type="dxa"/>
            <w:right w:w="55" w:type="dxa"/>
          </w:tblCellMar>
        </w:tblPrEx>
        <w:trPr>
          <w:trHeight w:val="1137"/>
        </w:trPr>
        <w:tc>
          <w:tcPr>
            <w:tcW w:w="2059" w:type="dxa"/>
            <w:tcBorders>
              <w:top w:val="single" w:sz="2" w:space="0" w:color="000000"/>
              <w:left w:val="single" w:sz="2" w:space="0" w:color="000000"/>
              <w:bottom w:val="single" w:sz="2" w:space="0" w:color="000000"/>
              <w:right w:val="single" w:sz="2" w:space="0" w:color="000000"/>
            </w:tcBorders>
            <w:vAlign w:val="center"/>
          </w:tcPr>
          <w:p w14:paraId="3EED5DB9" w14:textId="77777777" w:rsidR="0021654E" w:rsidRPr="00AE3F1B" w:rsidRDefault="0021654E" w:rsidP="00012668">
            <w:pPr>
              <w:spacing w:line="259" w:lineRule="auto"/>
              <w:ind w:left="24" w:right="-3" w:hanging="24"/>
              <w:jc w:val="left"/>
              <w:rPr>
                <w:rFonts w:ascii="Garamond" w:hAnsi="Garamond"/>
                <w:sz w:val="24"/>
                <w:szCs w:val="24"/>
              </w:rPr>
            </w:pPr>
            <w:r w:rsidRPr="00AE3F1B">
              <w:rPr>
                <w:rFonts w:ascii="Garamond" w:hAnsi="Garamond"/>
                <w:sz w:val="24"/>
                <w:szCs w:val="24"/>
              </w:rPr>
              <w:t>Miejsce dostarczania energii rynku bilansującego (MB)</w:t>
            </w:r>
          </w:p>
        </w:tc>
        <w:tc>
          <w:tcPr>
            <w:tcW w:w="7580" w:type="dxa"/>
            <w:tcBorders>
              <w:top w:val="single" w:sz="2" w:space="0" w:color="000000"/>
              <w:left w:val="single" w:sz="2" w:space="0" w:color="000000"/>
              <w:bottom w:val="single" w:sz="2" w:space="0" w:color="000000"/>
              <w:right w:val="single" w:sz="2" w:space="0" w:color="000000"/>
            </w:tcBorders>
          </w:tcPr>
          <w:p w14:paraId="333149EA" w14:textId="77777777" w:rsidR="0021654E" w:rsidRPr="00AE3F1B" w:rsidRDefault="0021654E" w:rsidP="00AA279F">
            <w:pPr>
              <w:spacing w:line="259" w:lineRule="auto"/>
              <w:ind w:right="-3"/>
              <w:jc w:val="left"/>
              <w:rPr>
                <w:rFonts w:ascii="Garamond" w:hAnsi="Garamond"/>
                <w:sz w:val="24"/>
                <w:szCs w:val="24"/>
              </w:rPr>
            </w:pPr>
            <w:r w:rsidRPr="00AE3F1B">
              <w:rPr>
                <w:rFonts w:ascii="Garamond" w:hAnsi="Garamond"/>
                <w:sz w:val="24"/>
                <w:szCs w:val="24"/>
              </w:rPr>
              <w:t>Określany przez OSP punkt w sieci objętej obszarem Rynku Bilansującego reprezentujący pojedynczy węzeł albo grupę węzłów w sieci, lub umowny punkt „ponad siecią”, w którym następuje przekazanie energii pomiędzy Uczestnikiem Rynku Bilansującego a Rynkiem Bilansującym.</w:t>
            </w:r>
          </w:p>
        </w:tc>
      </w:tr>
      <w:tr w:rsidR="0002655A" w:rsidRPr="00AE3F1B" w14:paraId="4592F700" w14:textId="77777777" w:rsidTr="00012668">
        <w:tblPrEx>
          <w:tblCellMar>
            <w:top w:w="46" w:type="dxa"/>
            <w:left w:w="43" w:type="dxa"/>
            <w:right w:w="50" w:type="dxa"/>
          </w:tblCellMar>
        </w:tblPrEx>
        <w:trPr>
          <w:trHeight w:val="870"/>
        </w:trPr>
        <w:tc>
          <w:tcPr>
            <w:tcW w:w="2059" w:type="dxa"/>
            <w:tcBorders>
              <w:top w:val="nil"/>
              <w:left w:val="single" w:sz="2" w:space="0" w:color="000000"/>
              <w:bottom w:val="single" w:sz="2" w:space="0" w:color="000000"/>
              <w:right w:val="single" w:sz="2" w:space="0" w:color="000000"/>
            </w:tcBorders>
          </w:tcPr>
          <w:p w14:paraId="22EE94C2" w14:textId="77777777" w:rsidR="0021654E" w:rsidRPr="00AE3F1B" w:rsidRDefault="0021654E" w:rsidP="00012668">
            <w:pPr>
              <w:spacing w:line="259" w:lineRule="auto"/>
              <w:ind w:left="24" w:right="-3" w:hanging="24"/>
              <w:jc w:val="left"/>
              <w:rPr>
                <w:rFonts w:ascii="Garamond" w:hAnsi="Garamond"/>
                <w:sz w:val="24"/>
                <w:szCs w:val="24"/>
              </w:rPr>
            </w:pPr>
            <w:r w:rsidRPr="00AE3F1B">
              <w:rPr>
                <w:rFonts w:ascii="Garamond" w:hAnsi="Garamond"/>
                <w:sz w:val="24"/>
                <w:szCs w:val="24"/>
              </w:rPr>
              <w:t>Miejsce Dostarczania</w:t>
            </w:r>
          </w:p>
          <w:p w14:paraId="35CD96C4" w14:textId="77777777" w:rsidR="0021654E" w:rsidRPr="00AE3F1B" w:rsidRDefault="0021654E" w:rsidP="00012668">
            <w:pPr>
              <w:spacing w:line="259" w:lineRule="auto"/>
              <w:ind w:left="24" w:right="-3" w:hanging="24"/>
              <w:jc w:val="left"/>
              <w:rPr>
                <w:rFonts w:ascii="Garamond" w:hAnsi="Garamond"/>
                <w:sz w:val="24"/>
                <w:szCs w:val="24"/>
              </w:rPr>
            </w:pPr>
            <w:r w:rsidRPr="00AE3F1B">
              <w:rPr>
                <w:rFonts w:ascii="Garamond" w:hAnsi="Garamond"/>
                <w:sz w:val="24"/>
                <w:szCs w:val="24"/>
              </w:rPr>
              <w:t>Energii Rynku</w:t>
            </w:r>
          </w:p>
          <w:p w14:paraId="2B1DB133" w14:textId="77777777" w:rsidR="0021654E" w:rsidRPr="00AE3F1B" w:rsidRDefault="0021654E" w:rsidP="00012668">
            <w:pPr>
              <w:spacing w:line="259" w:lineRule="auto"/>
              <w:ind w:left="24" w:right="-3" w:hanging="24"/>
              <w:jc w:val="left"/>
              <w:rPr>
                <w:rFonts w:ascii="Garamond" w:hAnsi="Garamond"/>
                <w:sz w:val="24"/>
                <w:szCs w:val="24"/>
              </w:rPr>
            </w:pPr>
            <w:r w:rsidRPr="00AE3F1B">
              <w:rPr>
                <w:rFonts w:ascii="Garamond" w:hAnsi="Garamond"/>
                <w:sz w:val="24"/>
                <w:szCs w:val="24"/>
              </w:rPr>
              <w:t>Detalicznego (MDD)</w:t>
            </w:r>
          </w:p>
        </w:tc>
        <w:tc>
          <w:tcPr>
            <w:tcW w:w="7580" w:type="dxa"/>
            <w:tcBorders>
              <w:top w:val="nil"/>
              <w:left w:val="single" w:sz="2" w:space="0" w:color="000000"/>
              <w:bottom w:val="single" w:sz="2" w:space="0" w:color="000000"/>
              <w:right w:val="single" w:sz="2" w:space="0" w:color="000000"/>
            </w:tcBorders>
          </w:tcPr>
          <w:p w14:paraId="2D23BCC2" w14:textId="77777777" w:rsidR="0021654E" w:rsidRPr="00AE3F1B" w:rsidRDefault="0021654E" w:rsidP="00AA279F">
            <w:pPr>
              <w:spacing w:after="2" w:line="241" w:lineRule="auto"/>
              <w:ind w:right="-3"/>
              <w:jc w:val="left"/>
              <w:rPr>
                <w:rFonts w:ascii="Garamond" w:hAnsi="Garamond"/>
                <w:sz w:val="24"/>
                <w:szCs w:val="24"/>
              </w:rPr>
            </w:pPr>
            <w:r w:rsidRPr="00AE3F1B">
              <w:rPr>
                <w:rFonts w:ascii="Garamond" w:hAnsi="Garamond"/>
                <w:sz w:val="24"/>
                <w:szCs w:val="24"/>
              </w:rPr>
              <w:t>Określony przez OSD punkt w sieci dystrybucyjnej poza obszarem Rynku Bilansującego, którym następuje przekazanie energii pomiędzy Sprzedawcą lub</w:t>
            </w:r>
          </w:p>
          <w:p w14:paraId="4F0D200A" w14:textId="77777777" w:rsidR="0021654E" w:rsidRPr="00AE3F1B" w:rsidRDefault="0021654E" w:rsidP="00AA279F">
            <w:pPr>
              <w:spacing w:line="259" w:lineRule="auto"/>
              <w:ind w:right="-3"/>
              <w:jc w:val="left"/>
              <w:rPr>
                <w:rFonts w:ascii="Garamond" w:hAnsi="Garamond"/>
                <w:sz w:val="24"/>
                <w:szCs w:val="24"/>
              </w:rPr>
            </w:pPr>
            <w:r w:rsidRPr="00AE3F1B">
              <w:rPr>
                <w:rFonts w:ascii="Garamond" w:hAnsi="Garamond"/>
                <w:sz w:val="24"/>
                <w:szCs w:val="24"/>
              </w:rPr>
              <w:t>POB a URD.</w:t>
            </w:r>
          </w:p>
        </w:tc>
      </w:tr>
      <w:tr w:rsidR="0002655A" w:rsidRPr="00AE3F1B" w14:paraId="62D74C45" w14:textId="77777777" w:rsidTr="00012668">
        <w:tblPrEx>
          <w:tblCellMar>
            <w:top w:w="46" w:type="dxa"/>
            <w:left w:w="43" w:type="dxa"/>
            <w:right w:w="50" w:type="dxa"/>
          </w:tblCellMar>
        </w:tblPrEx>
        <w:trPr>
          <w:trHeight w:val="415"/>
        </w:trPr>
        <w:tc>
          <w:tcPr>
            <w:tcW w:w="2059" w:type="dxa"/>
            <w:tcBorders>
              <w:top w:val="single" w:sz="2" w:space="0" w:color="000000"/>
              <w:left w:val="single" w:sz="2" w:space="0" w:color="000000"/>
              <w:bottom w:val="single" w:sz="2" w:space="0" w:color="000000"/>
              <w:right w:val="single" w:sz="2" w:space="0" w:color="000000"/>
            </w:tcBorders>
          </w:tcPr>
          <w:p w14:paraId="321A8CE6" w14:textId="77777777" w:rsidR="0021654E" w:rsidRPr="00AE3F1B" w:rsidRDefault="0021654E" w:rsidP="00012668">
            <w:pPr>
              <w:spacing w:line="259" w:lineRule="auto"/>
              <w:ind w:left="24" w:right="-3" w:hanging="24"/>
              <w:jc w:val="left"/>
              <w:rPr>
                <w:rFonts w:ascii="Garamond" w:hAnsi="Garamond"/>
                <w:sz w:val="24"/>
                <w:szCs w:val="24"/>
              </w:rPr>
            </w:pPr>
            <w:r w:rsidRPr="00AE3F1B">
              <w:rPr>
                <w:rFonts w:ascii="Garamond" w:hAnsi="Garamond"/>
                <w:sz w:val="24"/>
                <w:szCs w:val="24"/>
              </w:rPr>
              <w:t>Miejsce przyłączenia</w:t>
            </w:r>
          </w:p>
        </w:tc>
        <w:tc>
          <w:tcPr>
            <w:tcW w:w="7580" w:type="dxa"/>
            <w:tcBorders>
              <w:top w:val="single" w:sz="2" w:space="0" w:color="000000"/>
              <w:left w:val="single" w:sz="2" w:space="0" w:color="000000"/>
              <w:bottom w:val="single" w:sz="2" w:space="0" w:color="000000"/>
              <w:right w:val="single" w:sz="2" w:space="0" w:color="000000"/>
            </w:tcBorders>
          </w:tcPr>
          <w:p w14:paraId="3F9C1B7C" w14:textId="77777777" w:rsidR="0021654E" w:rsidRPr="00AE3F1B" w:rsidRDefault="0021654E" w:rsidP="00AA279F">
            <w:pPr>
              <w:spacing w:line="259" w:lineRule="auto"/>
              <w:ind w:right="-3"/>
              <w:jc w:val="left"/>
              <w:rPr>
                <w:rFonts w:ascii="Garamond" w:hAnsi="Garamond"/>
                <w:sz w:val="24"/>
                <w:szCs w:val="24"/>
              </w:rPr>
            </w:pPr>
            <w:r w:rsidRPr="00AE3F1B">
              <w:rPr>
                <w:rFonts w:ascii="Garamond" w:hAnsi="Garamond"/>
                <w:sz w:val="24"/>
                <w:szCs w:val="24"/>
              </w:rPr>
              <w:t>Punkt w sieci, w którym przyłącze łączy się z siecią.</w:t>
            </w:r>
          </w:p>
        </w:tc>
      </w:tr>
      <w:tr w:rsidR="0002655A" w:rsidRPr="00AE3F1B" w14:paraId="0C0FF00B" w14:textId="77777777" w:rsidTr="00012668">
        <w:tblPrEx>
          <w:tblCellMar>
            <w:top w:w="46" w:type="dxa"/>
            <w:left w:w="43" w:type="dxa"/>
            <w:right w:w="50" w:type="dxa"/>
          </w:tblCellMar>
        </w:tblPrEx>
        <w:trPr>
          <w:trHeight w:val="1147"/>
        </w:trPr>
        <w:tc>
          <w:tcPr>
            <w:tcW w:w="2059" w:type="dxa"/>
            <w:tcBorders>
              <w:top w:val="single" w:sz="2" w:space="0" w:color="000000"/>
              <w:left w:val="single" w:sz="2" w:space="0" w:color="000000"/>
              <w:bottom w:val="single" w:sz="2" w:space="0" w:color="000000"/>
              <w:right w:val="single" w:sz="2" w:space="0" w:color="000000"/>
            </w:tcBorders>
          </w:tcPr>
          <w:p w14:paraId="7895E64E" w14:textId="77777777" w:rsidR="0021654E" w:rsidRPr="00AE3F1B" w:rsidRDefault="0021654E" w:rsidP="00012668">
            <w:pPr>
              <w:spacing w:line="259" w:lineRule="auto"/>
              <w:ind w:left="24" w:right="-3" w:hanging="24"/>
              <w:jc w:val="left"/>
              <w:rPr>
                <w:rFonts w:ascii="Garamond" w:hAnsi="Garamond"/>
                <w:sz w:val="24"/>
                <w:szCs w:val="24"/>
              </w:rPr>
            </w:pPr>
            <w:proofErr w:type="spellStart"/>
            <w:r w:rsidRPr="00AE3F1B">
              <w:rPr>
                <w:rFonts w:ascii="Garamond" w:hAnsi="Garamond"/>
                <w:sz w:val="24"/>
                <w:szCs w:val="24"/>
              </w:rPr>
              <w:t>Mikroźródło</w:t>
            </w:r>
            <w:proofErr w:type="spellEnd"/>
          </w:p>
        </w:tc>
        <w:tc>
          <w:tcPr>
            <w:tcW w:w="7580" w:type="dxa"/>
            <w:tcBorders>
              <w:top w:val="single" w:sz="2" w:space="0" w:color="000000"/>
              <w:left w:val="single" w:sz="2" w:space="0" w:color="000000"/>
              <w:bottom w:val="single" w:sz="2" w:space="0" w:color="000000"/>
              <w:right w:val="single" w:sz="2" w:space="0" w:color="000000"/>
            </w:tcBorders>
          </w:tcPr>
          <w:p w14:paraId="29B1261D" w14:textId="3A082DD8" w:rsidR="0021654E" w:rsidRPr="00AE3F1B" w:rsidRDefault="0021654E" w:rsidP="00AA279F">
            <w:pPr>
              <w:spacing w:line="259" w:lineRule="auto"/>
              <w:ind w:right="-3"/>
              <w:jc w:val="left"/>
              <w:rPr>
                <w:rFonts w:ascii="Garamond" w:hAnsi="Garamond"/>
                <w:sz w:val="24"/>
                <w:szCs w:val="24"/>
              </w:rPr>
            </w:pPr>
            <w:r w:rsidRPr="00AE3F1B">
              <w:rPr>
                <w:rFonts w:ascii="Garamond" w:hAnsi="Garamond"/>
                <w:sz w:val="24"/>
                <w:szCs w:val="24"/>
              </w:rPr>
              <w:t>Generator energii elektrycznej niezależnie od źródła energii pierwotnej, zainstalowany na stałe wraz z układami zabezpieczeń, przyłączony jednofazowo lub wielofazowo do sieci niskiego napięcia, o prądzie znamionowym nie większym niż 16A.</w:t>
            </w:r>
          </w:p>
        </w:tc>
      </w:tr>
      <w:tr w:rsidR="0002655A" w:rsidRPr="00AE3F1B" w14:paraId="12EBF146" w14:textId="77777777" w:rsidTr="00012668">
        <w:tblPrEx>
          <w:tblCellMar>
            <w:top w:w="46" w:type="dxa"/>
            <w:left w:w="43" w:type="dxa"/>
            <w:right w:w="50" w:type="dxa"/>
          </w:tblCellMar>
        </w:tblPrEx>
        <w:trPr>
          <w:trHeight w:val="1353"/>
        </w:trPr>
        <w:tc>
          <w:tcPr>
            <w:tcW w:w="2059" w:type="dxa"/>
            <w:tcBorders>
              <w:top w:val="single" w:sz="2" w:space="0" w:color="000000"/>
              <w:left w:val="single" w:sz="2" w:space="0" w:color="000000"/>
              <w:bottom w:val="single" w:sz="2" w:space="0" w:color="000000"/>
              <w:right w:val="single" w:sz="2" w:space="0" w:color="000000"/>
            </w:tcBorders>
          </w:tcPr>
          <w:p w14:paraId="5A7890BD" w14:textId="4C88A141" w:rsidR="0021654E" w:rsidRPr="00AE3F1B" w:rsidRDefault="0021654E" w:rsidP="00012668">
            <w:pPr>
              <w:spacing w:line="259" w:lineRule="auto"/>
              <w:ind w:left="24" w:right="-3" w:hanging="24"/>
              <w:jc w:val="left"/>
              <w:rPr>
                <w:rFonts w:ascii="Garamond" w:hAnsi="Garamond"/>
                <w:sz w:val="24"/>
                <w:szCs w:val="24"/>
              </w:rPr>
            </w:pPr>
            <w:proofErr w:type="spellStart"/>
            <w:r w:rsidRPr="00AE3F1B">
              <w:rPr>
                <w:rFonts w:ascii="Garamond" w:hAnsi="Garamond"/>
                <w:sz w:val="24"/>
                <w:szCs w:val="24"/>
              </w:rPr>
              <w:t>Mikroinstalacja</w:t>
            </w:r>
            <w:proofErr w:type="spellEnd"/>
          </w:p>
        </w:tc>
        <w:tc>
          <w:tcPr>
            <w:tcW w:w="7580" w:type="dxa"/>
            <w:tcBorders>
              <w:top w:val="single" w:sz="2" w:space="0" w:color="000000"/>
              <w:left w:val="single" w:sz="2" w:space="0" w:color="000000"/>
              <w:bottom w:val="single" w:sz="2" w:space="0" w:color="000000"/>
              <w:right w:val="single" w:sz="2" w:space="0" w:color="000000"/>
            </w:tcBorders>
          </w:tcPr>
          <w:p w14:paraId="5E558C15" w14:textId="77777777" w:rsidR="0021654E" w:rsidRPr="00AE3F1B" w:rsidRDefault="0021654E" w:rsidP="00AA279F">
            <w:pPr>
              <w:spacing w:line="259" w:lineRule="auto"/>
              <w:ind w:right="-3"/>
              <w:jc w:val="left"/>
              <w:rPr>
                <w:rFonts w:ascii="Garamond" w:hAnsi="Garamond"/>
                <w:sz w:val="24"/>
                <w:szCs w:val="24"/>
              </w:rPr>
            </w:pPr>
            <w:r w:rsidRPr="00AE3F1B">
              <w:rPr>
                <w:rFonts w:ascii="Garamond" w:hAnsi="Garamond"/>
                <w:sz w:val="24"/>
                <w:szCs w:val="24"/>
              </w:rPr>
              <w:t xml:space="preserve">Instalacja odnawialnego źródła energii o łącznej mocy zainstalowanej elektrycznej nie większej niż 50kW, przyłączona do sieci elektroenergetycznej o napięciu </w:t>
            </w:r>
            <w:r w:rsidR="002E3AFA" w:rsidRPr="00AE3F1B">
              <w:rPr>
                <w:rFonts w:ascii="Garamond" w:hAnsi="Garamond"/>
                <w:sz w:val="24"/>
                <w:szCs w:val="24"/>
              </w:rPr>
              <w:t>znamionowym</w:t>
            </w:r>
            <w:r w:rsidRPr="00AE3F1B">
              <w:rPr>
                <w:rFonts w:ascii="Garamond" w:hAnsi="Garamond"/>
                <w:sz w:val="24"/>
                <w:szCs w:val="24"/>
              </w:rPr>
              <w:t xml:space="preserve"> niższym niż 110kV albo o mocy osiągalnej cieplnej w skojarzeniu nie większej niż 150kW w której łączna moc zainstalowana elektryczna jest nie większa niż 50kW.</w:t>
            </w:r>
          </w:p>
        </w:tc>
      </w:tr>
      <w:tr w:rsidR="0002655A" w:rsidRPr="00AE3F1B" w14:paraId="3BE56FF3" w14:textId="77777777" w:rsidTr="00012668">
        <w:tblPrEx>
          <w:tblCellMar>
            <w:top w:w="46" w:type="dxa"/>
            <w:left w:w="43" w:type="dxa"/>
            <w:right w:w="50" w:type="dxa"/>
          </w:tblCellMar>
        </w:tblPrEx>
        <w:trPr>
          <w:trHeight w:val="751"/>
        </w:trPr>
        <w:tc>
          <w:tcPr>
            <w:tcW w:w="2059" w:type="dxa"/>
            <w:tcBorders>
              <w:top w:val="single" w:sz="2" w:space="0" w:color="000000"/>
              <w:left w:val="single" w:sz="2" w:space="0" w:color="000000"/>
              <w:bottom w:val="single" w:sz="2" w:space="0" w:color="000000"/>
              <w:right w:val="single" w:sz="2" w:space="0" w:color="000000"/>
            </w:tcBorders>
          </w:tcPr>
          <w:p w14:paraId="0093D6A3" w14:textId="77777777" w:rsidR="0021654E" w:rsidRPr="00AE3F1B" w:rsidRDefault="0021654E" w:rsidP="00012668">
            <w:pPr>
              <w:spacing w:line="259" w:lineRule="auto"/>
              <w:ind w:left="24" w:right="-3" w:hanging="24"/>
              <w:jc w:val="left"/>
              <w:rPr>
                <w:rFonts w:ascii="Garamond" w:hAnsi="Garamond"/>
                <w:sz w:val="24"/>
                <w:szCs w:val="24"/>
              </w:rPr>
            </w:pPr>
            <w:r w:rsidRPr="00AE3F1B">
              <w:rPr>
                <w:rFonts w:ascii="Garamond" w:hAnsi="Garamond"/>
                <w:sz w:val="24"/>
                <w:szCs w:val="24"/>
              </w:rPr>
              <w:lastRenderedPageBreak/>
              <w:t>Minimalna moc dyspozycyjna netto</w:t>
            </w:r>
          </w:p>
        </w:tc>
        <w:tc>
          <w:tcPr>
            <w:tcW w:w="7580" w:type="dxa"/>
            <w:tcBorders>
              <w:top w:val="single" w:sz="2" w:space="0" w:color="000000"/>
              <w:left w:val="single" w:sz="2" w:space="0" w:color="000000"/>
              <w:bottom w:val="single" w:sz="2" w:space="0" w:color="000000"/>
              <w:right w:val="single" w:sz="2" w:space="0" w:color="000000"/>
            </w:tcBorders>
          </w:tcPr>
          <w:p w14:paraId="429DD447" w14:textId="77777777" w:rsidR="0021654E" w:rsidRPr="00AE3F1B" w:rsidRDefault="0021654E" w:rsidP="00AA279F">
            <w:pPr>
              <w:spacing w:line="259" w:lineRule="auto"/>
              <w:ind w:right="-3"/>
              <w:jc w:val="left"/>
              <w:rPr>
                <w:rFonts w:ascii="Garamond" w:hAnsi="Garamond"/>
                <w:sz w:val="24"/>
                <w:szCs w:val="24"/>
              </w:rPr>
            </w:pPr>
            <w:r w:rsidRPr="00AE3F1B">
              <w:rPr>
                <w:rFonts w:ascii="Garamond" w:hAnsi="Garamond"/>
                <w:sz w:val="24"/>
                <w:szCs w:val="24"/>
              </w:rPr>
              <w:t>Moc minimum technicznego netto powiększona o planowane lub nieplanowane ubytki mocy.</w:t>
            </w:r>
          </w:p>
        </w:tc>
      </w:tr>
      <w:tr w:rsidR="0002655A" w:rsidRPr="00AE3F1B" w14:paraId="1D30AD56" w14:textId="77777777" w:rsidTr="00012668">
        <w:tblPrEx>
          <w:tblCellMar>
            <w:top w:w="46" w:type="dxa"/>
            <w:left w:w="43" w:type="dxa"/>
            <w:right w:w="50" w:type="dxa"/>
          </w:tblCellMar>
        </w:tblPrEx>
        <w:trPr>
          <w:trHeight w:val="691"/>
        </w:trPr>
        <w:tc>
          <w:tcPr>
            <w:tcW w:w="2059" w:type="dxa"/>
            <w:tcBorders>
              <w:top w:val="single" w:sz="2" w:space="0" w:color="000000"/>
              <w:left w:val="single" w:sz="2" w:space="0" w:color="000000"/>
              <w:bottom w:val="single" w:sz="2" w:space="0" w:color="000000"/>
              <w:right w:val="single" w:sz="2" w:space="0" w:color="000000"/>
            </w:tcBorders>
          </w:tcPr>
          <w:p w14:paraId="6C049F82" w14:textId="77777777" w:rsidR="0021654E" w:rsidRPr="00AE3F1B" w:rsidRDefault="0021654E" w:rsidP="00012668">
            <w:pPr>
              <w:spacing w:line="259" w:lineRule="auto"/>
              <w:ind w:left="24" w:right="-3" w:hanging="24"/>
              <w:jc w:val="left"/>
              <w:rPr>
                <w:rFonts w:ascii="Garamond" w:hAnsi="Garamond"/>
                <w:sz w:val="24"/>
                <w:szCs w:val="24"/>
              </w:rPr>
            </w:pPr>
            <w:r w:rsidRPr="00AE3F1B">
              <w:rPr>
                <w:rFonts w:ascii="Garamond" w:hAnsi="Garamond"/>
                <w:sz w:val="24"/>
                <w:szCs w:val="24"/>
              </w:rPr>
              <w:t>Moc dyspozycyjna</w:t>
            </w:r>
          </w:p>
        </w:tc>
        <w:tc>
          <w:tcPr>
            <w:tcW w:w="7580" w:type="dxa"/>
            <w:tcBorders>
              <w:top w:val="single" w:sz="2" w:space="0" w:color="000000"/>
              <w:left w:val="single" w:sz="2" w:space="0" w:color="000000"/>
              <w:bottom w:val="single" w:sz="2" w:space="0" w:color="000000"/>
              <w:right w:val="single" w:sz="2" w:space="0" w:color="000000"/>
            </w:tcBorders>
          </w:tcPr>
          <w:p w14:paraId="08681D17" w14:textId="77777777" w:rsidR="0021654E" w:rsidRPr="00AE3F1B" w:rsidRDefault="0021654E" w:rsidP="00AA279F">
            <w:pPr>
              <w:spacing w:line="259" w:lineRule="auto"/>
              <w:ind w:right="-3"/>
              <w:jc w:val="left"/>
              <w:rPr>
                <w:rFonts w:ascii="Garamond" w:hAnsi="Garamond"/>
                <w:sz w:val="24"/>
                <w:szCs w:val="24"/>
              </w:rPr>
            </w:pPr>
            <w:r w:rsidRPr="00AE3F1B">
              <w:rPr>
                <w:rFonts w:ascii="Garamond" w:hAnsi="Garamond"/>
                <w:sz w:val="24"/>
                <w:szCs w:val="24"/>
              </w:rPr>
              <w:t>Moc osiągalna pomniejszona o ubytki na remonty planowe, ubytki okresowe, eksploatacyjne i losowe.</w:t>
            </w:r>
          </w:p>
        </w:tc>
      </w:tr>
      <w:tr w:rsidR="0002655A" w:rsidRPr="00AE3F1B" w14:paraId="444FC9C8" w14:textId="77777777" w:rsidTr="00012668">
        <w:tblPrEx>
          <w:tblCellMar>
            <w:top w:w="46" w:type="dxa"/>
            <w:left w:w="43" w:type="dxa"/>
            <w:right w:w="50" w:type="dxa"/>
          </w:tblCellMar>
        </w:tblPrEx>
        <w:trPr>
          <w:trHeight w:val="813"/>
        </w:trPr>
        <w:tc>
          <w:tcPr>
            <w:tcW w:w="2059" w:type="dxa"/>
            <w:tcBorders>
              <w:top w:val="single" w:sz="2" w:space="0" w:color="000000"/>
              <w:left w:val="single" w:sz="2" w:space="0" w:color="000000"/>
              <w:bottom w:val="single" w:sz="2" w:space="0" w:color="000000"/>
              <w:right w:val="single" w:sz="2" w:space="0" w:color="000000"/>
            </w:tcBorders>
          </w:tcPr>
          <w:p w14:paraId="6F7675A2" w14:textId="77777777" w:rsidR="0021654E" w:rsidRPr="00AE3F1B" w:rsidRDefault="0021654E" w:rsidP="00012668">
            <w:pPr>
              <w:spacing w:line="259" w:lineRule="auto"/>
              <w:ind w:left="24" w:right="-3" w:hanging="24"/>
              <w:jc w:val="left"/>
              <w:rPr>
                <w:rFonts w:ascii="Garamond" w:hAnsi="Garamond"/>
                <w:sz w:val="24"/>
                <w:szCs w:val="24"/>
              </w:rPr>
            </w:pPr>
            <w:r w:rsidRPr="00AE3F1B">
              <w:rPr>
                <w:rFonts w:ascii="Garamond" w:hAnsi="Garamond"/>
                <w:sz w:val="24"/>
                <w:szCs w:val="24"/>
              </w:rPr>
              <w:t>Moc osiągalna</w:t>
            </w:r>
          </w:p>
        </w:tc>
        <w:tc>
          <w:tcPr>
            <w:tcW w:w="7580" w:type="dxa"/>
            <w:tcBorders>
              <w:top w:val="single" w:sz="2" w:space="0" w:color="000000"/>
              <w:left w:val="single" w:sz="2" w:space="0" w:color="000000"/>
              <w:bottom w:val="single" w:sz="2" w:space="0" w:color="000000"/>
              <w:right w:val="single" w:sz="2" w:space="0" w:color="000000"/>
            </w:tcBorders>
          </w:tcPr>
          <w:p w14:paraId="2E8BCD4D" w14:textId="77777777" w:rsidR="0021654E" w:rsidRPr="00AE3F1B" w:rsidRDefault="0021654E" w:rsidP="00AA279F">
            <w:pPr>
              <w:spacing w:line="259" w:lineRule="auto"/>
              <w:ind w:right="-3"/>
              <w:jc w:val="left"/>
              <w:rPr>
                <w:rFonts w:ascii="Garamond" w:hAnsi="Garamond"/>
                <w:sz w:val="24"/>
                <w:szCs w:val="24"/>
              </w:rPr>
            </w:pPr>
            <w:r w:rsidRPr="00AE3F1B">
              <w:rPr>
                <w:rFonts w:ascii="Garamond" w:hAnsi="Garamond"/>
                <w:sz w:val="24"/>
                <w:szCs w:val="24"/>
              </w:rPr>
              <w:t>Maksymalna moc czynna, przy której jednostka wytwórcza może pracować przez czas nieograniczony bez uszczerbku dla trwałości tej jednostki przy parametrach nominalnych, potwierdzona testami.</w:t>
            </w:r>
          </w:p>
        </w:tc>
      </w:tr>
      <w:tr w:rsidR="0002655A" w:rsidRPr="00AE3F1B" w14:paraId="09F7782A" w14:textId="77777777" w:rsidTr="00012668">
        <w:tblPrEx>
          <w:tblCellMar>
            <w:top w:w="46" w:type="dxa"/>
            <w:left w:w="43" w:type="dxa"/>
            <w:right w:w="50" w:type="dxa"/>
          </w:tblCellMar>
        </w:tblPrEx>
        <w:trPr>
          <w:trHeight w:val="856"/>
        </w:trPr>
        <w:tc>
          <w:tcPr>
            <w:tcW w:w="2059" w:type="dxa"/>
            <w:tcBorders>
              <w:top w:val="single" w:sz="2" w:space="0" w:color="000000"/>
              <w:left w:val="single" w:sz="2" w:space="0" w:color="000000"/>
              <w:bottom w:val="single" w:sz="2" w:space="0" w:color="000000"/>
              <w:right w:val="single" w:sz="2" w:space="0" w:color="000000"/>
            </w:tcBorders>
          </w:tcPr>
          <w:p w14:paraId="43FCCA15" w14:textId="77777777" w:rsidR="0021654E" w:rsidRPr="00AE3F1B" w:rsidRDefault="0021654E" w:rsidP="00012668">
            <w:pPr>
              <w:spacing w:line="259" w:lineRule="auto"/>
              <w:ind w:left="24" w:right="-3" w:hanging="24"/>
              <w:jc w:val="left"/>
              <w:rPr>
                <w:rFonts w:ascii="Garamond" w:hAnsi="Garamond"/>
                <w:sz w:val="24"/>
                <w:szCs w:val="24"/>
              </w:rPr>
            </w:pPr>
            <w:r w:rsidRPr="00AE3F1B">
              <w:rPr>
                <w:rFonts w:ascii="Garamond" w:hAnsi="Garamond"/>
                <w:sz w:val="24"/>
                <w:szCs w:val="24"/>
              </w:rPr>
              <w:t>Moc przyłączeniowa</w:t>
            </w:r>
          </w:p>
        </w:tc>
        <w:tc>
          <w:tcPr>
            <w:tcW w:w="7580" w:type="dxa"/>
            <w:tcBorders>
              <w:top w:val="single" w:sz="2" w:space="0" w:color="000000"/>
              <w:left w:val="single" w:sz="2" w:space="0" w:color="000000"/>
              <w:bottom w:val="single" w:sz="2" w:space="0" w:color="000000"/>
              <w:right w:val="single" w:sz="2" w:space="0" w:color="000000"/>
            </w:tcBorders>
          </w:tcPr>
          <w:p w14:paraId="53E16BF5" w14:textId="77777777" w:rsidR="0021654E" w:rsidRPr="00AE3F1B" w:rsidRDefault="0021654E" w:rsidP="00AA279F">
            <w:pPr>
              <w:spacing w:line="259" w:lineRule="auto"/>
              <w:ind w:right="-3"/>
              <w:jc w:val="left"/>
              <w:rPr>
                <w:rFonts w:ascii="Garamond" w:hAnsi="Garamond"/>
                <w:sz w:val="24"/>
                <w:szCs w:val="24"/>
              </w:rPr>
            </w:pPr>
            <w:r w:rsidRPr="00AE3F1B">
              <w:rPr>
                <w:rFonts w:ascii="Garamond" w:hAnsi="Garamond"/>
                <w:sz w:val="24"/>
                <w:szCs w:val="24"/>
              </w:rPr>
              <w:t>Moc czynna planowana do pobierania lub wprowadzania do sieci, określona w umowie o przyłączenie jako wartość maksymalna ze średnich wartości tej mocy w okresie 15 minut, służąca do zaprojektowania przyłącza.</w:t>
            </w:r>
          </w:p>
        </w:tc>
      </w:tr>
      <w:tr w:rsidR="0002655A" w:rsidRPr="00AE3F1B" w14:paraId="4913C57C" w14:textId="77777777" w:rsidTr="00012668">
        <w:tblPrEx>
          <w:tblCellMar>
            <w:top w:w="46" w:type="dxa"/>
            <w:left w:w="43" w:type="dxa"/>
            <w:right w:w="50" w:type="dxa"/>
          </w:tblCellMar>
        </w:tblPrEx>
        <w:trPr>
          <w:trHeight w:val="5906"/>
        </w:trPr>
        <w:tc>
          <w:tcPr>
            <w:tcW w:w="2059" w:type="dxa"/>
            <w:tcBorders>
              <w:top w:val="single" w:sz="2" w:space="0" w:color="000000"/>
              <w:left w:val="single" w:sz="2" w:space="0" w:color="000000"/>
              <w:bottom w:val="single" w:sz="2" w:space="0" w:color="000000"/>
              <w:right w:val="single" w:sz="2" w:space="0" w:color="000000"/>
            </w:tcBorders>
          </w:tcPr>
          <w:p w14:paraId="75C994C8" w14:textId="77777777" w:rsidR="0021654E" w:rsidRPr="00AE3F1B" w:rsidRDefault="0021654E" w:rsidP="00012668">
            <w:pPr>
              <w:spacing w:line="259" w:lineRule="auto"/>
              <w:ind w:left="24" w:right="-3" w:hanging="24"/>
              <w:jc w:val="left"/>
              <w:rPr>
                <w:rFonts w:ascii="Garamond" w:hAnsi="Garamond"/>
                <w:sz w:val="24"/>
                <w:szCs w:val="24"/>
              </w:rPr>
            </w:pPr>
            <w:r w:rsidRPr="00AE3F1B">
              <w:rPr>
                <w:rFonts w:ascii="Garamond" w:hAnsi="Garamond"/>
                <w:sz w:val="24"/>
                <w:szCs w:val="24"/>
              </w:rPr>
              <w:t>Moc umowna</w:t>
            </w:r>
          </w:p>
        </w:tc>
        <w:tc>
          <w:tcPr>
            <w:tcW w:w="7580" w:type="dxa"/>
            <w:tcBorders>
              <w:top w:val="single" w:sz="2" w:space="0" w:color="000000"/>
              <w:left w:val="single" w:sz="2" w:space="0" w:color="000000"/>
              <w:bottom w:val="single" w:sz="2" w:space="0" w:color="000000"/>
              <w:right w:val="single" w:sz="2" w:space="0" w:color="000000"/>
            </w:tcBorders>
          </w:tcPr>
          <w:p w14:paraId="515DBF55" w14:textId="77777777" w:rsidR="0021654E" w:rsidRPr="00AE3F1B" w:rsidRDefault="0021654E" w:rsidP="00AA279F">
            <w:pPr>
              <w:spacing w:line="259" w:lineRule="auto"/>
              <w:ind w:right="-3"/>
              <w:jc w:val="left"/>
              <w:rPr>
                <w:rFonts w:ascii="Garamond" w:hAnsi="Garamond"/>
                <w:sz w:val="24"/>
                <w:szCs w:val="24"/>
              </w:rPr>
            </w:pPr>
            <w:r w:rsidRPr="00AE3F1B">
              <w:rPr>
                <w:rFonts w:ascii="Garamond" w:hAnsi="Garamond"/>
                <w:sz w:val="24"/>
                <w:szCs w:val="24"/>
              </w:rPr>
              <w:t>Moc czynna, pobierana lub wprowadzana do sieci, określona w:</w:t>
            </w:r>
          </w:p>
          <w:p w14:paraId="1481F154" w14:textId="1E8DE8AE" w:rsidR="0021654E" w:rsidRPr="0077061D" w:rsidRDefault="0021654E" w:rsidP="00012668">
            <w:pPr>
              <w:numPr>
                <w:ilvl w:val="0"/>
                <w:numId w:val="57"/>
              </w:numPr>
              <w:spacing w:after="15" w:line="238" w:lineRule="auto"/>
              <w:ind w:left="525" w:right="-3" w:hanging="283"/>
              <w:jc w:val="left"/>
              <w:rPr>
                <w:rFonts w:ascii="Garamond" w:hAnsi="Garamond"/>
                <w:sz w:val="24"/>
                <w:szCs w:val="24"/>
              </w:rPr>
            </w:pPr>
            <w:r w:rsidRPr="0077061D">
              <w:rPr>
                <w:rFonts w:ascii="Garamond" w:hAnsi="Garamond"/>
                <w:sz w:val="24"/>
                <w:szCs w:val="24"/>
              </w:rPr>
              <w:t>umowie o świadczenie usług przesyłania lub dystrybucji energii elektrycznej, umowie sprzedaży energii elektrycznej albo umowie kompleksowej jako wartość nie mniejszą niż wyznaczoną jako wartość maksymalną ze średniej wartości mocy w okresie 15 minut, z uwzględnieniem współczynników odzwierciedlających specyfikę układu zasilania odbiorcy, albo</w:t>
            </w:r>
          </w:p>
          <w:p w14:paraId="5813E800" w14:textId="5B556513" w:rsidR="0021654E" w:rsidRPr="00AE3F1B" w:rsidRDefault="0021654E" w:rsidP="00012668">
            <w:pPr>
              <w:numPr>
                <w:ilvl w:val="0"/>
                <w:numId w:val="57"/>
              </w:numPr>
              <w:spacing w:after="17" w:line="243" w:lineRule="auto"/>
              <w:ind w:left="525" w:right="-3" w:hanging="283"/>
              <w:jc w:val="left"/>
              <w:rPr>
                <w:rFonts w:ascii="Garamond" w:hAnsi="Garamond"/>
                <w:sz w:val="24"/>
                <w:szCs w:val="24"/>
              </w:rPr>
            </w:pPr>
            <w:r w:rsidRPr="00AE3F1B">
              <w:rPr>
                <w:rFonts w:ascii="Garamond" w:hAnsi="Garamond"/>
                <w:sz w:val="24"/>
                <w:szCs w:val="24"/>
              </w:rPr>
              <w:t>mowie o świadczenie usług przesyłania energii elektrycznej, zawieranej między operatorem systemu przesyłowego elektroenergetycznego a operatorem systemu dystrybucyjnego elektroenergetycznego posiadającym co najmniej dwa sieciowe miejsca dostarczania energii elektrycznej połączone siecią te-go operatora, jako średnią z maksymalnych łącznych mocy średnio</w:t>
            </w:r>
            <w:r w:rsidR="006316A5">
              <w:rPr>
                <w:rFonts w:ascii="Garamond" w:hAnsi="Garamond"/>
                <w:sz w:val="24"/>
                <w:szCs w:val="24"/>
              </w:rPr>
              <w:t xml:space="preserve"> </w:t>
            </w:r>
            <w:r w:rsidRPr="00AE3F1B">
              <w:rPr>
                <w:rFonts w:ascii="Garamond" w:hAnsi="Garamond"/>
                <w:sz w:val="24"/>
                <w:szCs w:val="24"/>
              </w:rPr>
              <w:t>godzinnych pobieranych przez danego operatora systemu dystrybucyjnego elektroenergetycznego w sieciowych miejscach dostarczania energii elektrycznej, wyznaczoną na podstawie wskazań układów pomiarowo</w:t>
            </w:r>
            <w:r w:rsidR="006316A5">
              <w:rPr>
                <w:rFonts w:ascii="Garamond" w:hAnsi="Garamond"/>
                <w:sz w:val="24"/>
                <w:szCs w:val="24"/>
              </w:rPr>
              <w:t>-</w:t>
            </w:r>
            <w:r w:rsidRPr="00AE3F1B">
              <w:rPr>
                <w:rFonts w:ascii="Garamond" w:hAnsi="Garamond"/>
                <w:sz w:val="24"/>
                <w:szCs w:val="24"/>
              </w:rPr>
              <w:t>rozliczeniowych, albo</w:t>
            </w:r>
          </w:p>
          <w:p w14:paraId="0EB82297" w14:textId="5450F1E9" w:rsidR="0021654E" w:rsidRPr="00AE3F1B" w:rsidRDefault="0021654E" w:rsidP="00012668">
            <w:pPr>
              <w:numPr>
                <w:ilvl w:val="0"/>
                <w:numId w:val="57"/>
              </w:numPr>
              <w:spacing w:line="259" w:lineRule="auto"/>
              <w:ind w:left="525" w:right="-3" w:hanging="283"/>
              <w:jc w:val="left"/>
              <w:rPr>
                <w:rFonts w:ascii="Garamond" w:hAnsi="Garamond"/>
                <w:sz w:val="24"/>
                <w:szCs w:val="24"/>
              </w:rPr>
            </w:pPr>
            <w:r w:rsidRPr="00AE3F1B">
              <w:rPr>
                <w:rFonts w:ascii="Garamond" w:hAnsi="Garamond"/>
                <w:sz w:val="24"/>
                <w:szCs w:val="24"/>
              </w:rPr>
              <w:t xml:space="preserve">umowie o świadczenie usług dystrybucji energii elektrycznej, zawieranej między operatorami systemu dystrybucyjnego elektroenergetycznego posiadającymi co najmniej dwa sieciowe miejsca dostarczania energii elektrycznej połączone siecią tego </w:t>
            </w:r>
            <w:r w:rsidR="0077061D" w:rsidRPr="00AE3F1B">
              <w:rPr>
                <w:rFonts w:ascii="Garamond" w:hAnsi="Garamond"/>
                <w:sz w:val="24"/>
                <w:szCs w:val="24"/>
              </w:rPr>
              <w:t>operatora</w:t>
            </w:r>
            <w:r w:rsidRPr="00AE3F1B">
              <w:rPr>
                <w:rFonts w:ascii="Garamond" w:hAnsi="Garamond"/>
                <w:sz w:val="24"/>
                <w:szCs w:val="24"/>
              </w:rPr>
              <w:t xml:space="preserve"> jako średnią z maksymalnych łącznych mocy średnio</w:t>
            </w:r>
            <w:r w:rsidR="006316A5">
              <w:rPr>
                <w:rFonts w:ascii="Garamond" w:hAnsi="Garamond"/>
                <w:sz w:val="24"/>
                <w:szCs w:val="24"/>
              </w:rPr>
              <w:t xml:space="preserve"> </w:t>
            </w:r>
            <w:r w:rsidRPr="00AE3F1B">
              <w:rPr>
                <w:rFonts w:ascii="Garamond" w:hAnsi="Garamond"/>
                <w:sz w:val="24"/>
                <w:szCs w:val="24"/>
              </w:rPr>
              <w:t>godzinnych pobieranych w miejscach połączeń sieci operatorów systemów dystrybucyjnych, wyznaczoną na podstawie wskazań układów pomiarowo-rozliczeniowych.</w:t>
            </w:r>
          </w:p>
        </w:tc>
      </w:tr>
      <w:tr w:rsidR="0002655A" w:rsidRPr="00AE3F1B" w14:paraId="4AEDD9EA" w14:textId="77777777" w:rsidTr="00012668">
        <w:tblPrEx>
          <w:tblCellMar>
            <w:top w:w="123" w:type="dxa"/>
            <w:left w:w="120" w:type="dxa"/>
            <w:right w:w="115" w:type="dxa"/>
          </w:tblCellMar>
        </w:tblPrEx>
        <w:trPr>
          <w:trHeight w:val="666"/>
        </w:trPr>
        <w:tc>
          <w:tcPr>
            <w:tcW w:w="2059" w:type="dxa"/>
            <w:tcBorders>
              <w:top w:val="single" w:sz="2" w:space="0" w:color="000000"/>
              <w:left w:val="single" w:sz="2" w:space="0" w:color="000000"/>
              <w:bottom w:val="single" w:sz="2" w:space="0" w:color="000000"/>
              <w:right w:val="single" w:sz="2" w:space="0" w:color="000000"/>
            </w:tcBorders>
            <w:vAlign w:val="center"/>
          </w:tcPr>
          <w:p w14:paraId="168BFC98" w14:textId="77777777" w:rsidR="0021654E" w:rsidRPr="00AE3F1B" w:rsidRDefault="002B2B1B" w:rsidP="00012668">
            <w:pPr>
              <w:spacing w:line="259" w:lineRule="auto"/>
              <w:ind w:left="-46" w:right="-3" w:hanging="24"/>
              <w:jc w:val="left"/>
              <w:rPr>
                <w:rFonts w:ascii="Garamond" w:hAnsi="Garamond"/>
                <w:sz w:val="24"/>
                <w:szCs w:val="24"/>
              </w:rPr>
            </w:pPr>
            <w:r w:rsidRPr="00AE3F1B">
              <w:rPr>
                <w:rFonts w:ascii="Garamond" w:hAnsi="Garamond"/>
                <w:sz w:val="24"/>
                <w:szCs w:val="24"/>
              </w:rPr>
              <w:t>Należyta staranność w utrzymaniu sieci dystrybucyjnej</w:t>
            </w:r>
          </w:p>
        </w:tc>
        <w:tc>
          <w:tcPr>
            <w:tcW w:w="7580" w:type="dxa"/>
            <w:tcBorders>
              <w:top w:val="single" w:sz="2" w:space="0" w:color="000000"/>
              <w:left w:val="single" w:sz="2" w:space="0" w:color="000000"/>
              <w:bottom w:val="single" w:sz="2" w:space="0" w:color="000000"/>
              <w:right w:val="single" w:sz="2" w:space="0" w:color="000000"/>
            </w:tcBorders>
            <w:vAlign w:val="center"/>
          </w:tcPr>
          <w:p w14:paraId="1365FED4" w14:textId="77777777" w:rsidR="0021654E" w:rsidRPr="00AE3F1B" w:rsidRDefault="002B2B1B" w:rsidP="00AA279F">
            <w:pPr>
              <w:spacing w:line="259" w:lineRule="auto"/>
              <w:ind w:right="-3"/>
              <w:jc w:val="left"/>
              <w:rPr>
                <w:rFonts w:ascii="Garamond" w:hAnsi="Garamond"/>
                <w:sz w:val="24"/>
                <w:szCs w:val="24"/>
              </w:rPr>
            </w:pPr>
            <w:r w:rsidRPr="00AE3F1B">
              <w:rPr>
                <w:rFonts w:ascii="Garamond" w:hAnsi="Garamond"/>
                <w:sz w:val="24"/>
                <w:szCs w:val="24"/>
              </w:rPr>
              <w:t>Wykonywanie czynności ruchowych oraz prac eksploatacyjnych w obiektach, instalacjach i urządzeniach elektroenergetycznych, w terminach i zakresach zgodnych z obowiązującymi przepisami i instrukcjami w tym Instrukcją Ruchu i Eksploatacji Sieci Dystrybucyjnej, z uwzględnieniem zasad efektywności i minimalizacji kosztów, prowadzących do zachowania wymaganej niezawodności, jakości dostaw i dotrzymywanie ustaleń wynikających z zawartych umów.</w:t>
            </w:r>
          </w:p>
        </w:tc>
      </w:tr>
      <w:tr w:rsidR="002B2B1B" w:rsidRPr="00AE3F1B" w14:paraId="2A990E46" w14:textId="77777777" w:rsidTr="00012668">
        <w:tblPrEx>
          <w:tblCellMar>
            <w:top w:w="46" w:type="dxa"/>
            <w:left w:w="46" w:type="dxa"/>
            <w:right w:w="48" w:type="dxa"/>
          </w:tblCellMar>
        </w:tblPrEx>
        <w:trPr>
          <w:trHeight w:val="748"/>
        </w:trPr>
        <w:tc>
          <w:tcPr>
            <w:tcW w:w="2059" w:type="dxa"/>
            <w:tcBorders>
              <w:top w:val="nil"/>
              <w:left w:val="single" w:sz="2" w:space="0" w:color="000000"/>
              <w:right w:val="single" w:sz="2" w:space="0" w:color="000000"/>
            </w:tcBorders>
          </w:tcPr>
          <w:p w14:paraId="21CDCA1D" w14:textId="77777777" w:rsidR="002B2B1B" w:rsidRPr="00AE3F1B" w:rsidRDefault="002B2B1B" w:rsidP="00012668">
            <w:pPr>
              <w:spacing w:line="259" w:lineRule="auto"/>
              <w:ind w:left="24" w:right="-3" w:hanging="24"/>
              <w:jc w:val="left"/>
              <w:rPr>
                <w:rFonts w:ascii="Garamond" w:hAnsi="Garamond"/>
                <w:sz w:val="24"/>
                <w:szCs w:val="24"/>
              </w:rPr>
            </w:pPr>
            <w:r w:rsidRPr="00AE3F1B">
              <w:rPr>
                <w:rFonts w:ascii="Garamond" w:hAnsi="Garamond"/>
                <w:sz w:val="24"/>
                <w:szCs w:val="24"/>
              </w:rPr>
              <w:t>Napięcie znamionowe</w:t>
            </w:r>
          </w:p>
        </w:tc>
        <w:tc>
          <w:tcPr>
            <w:tcW w:w="7580" w:type="dxa"/>
            <w:tcBorders>
              <w:top w:val="nil"/>
              <w:left w:val="single" w:sz="2" w:space="0" w:color="000000"/>
              <w:right w:val="single" w:sz="2" w:space="0" w:color="000000"/>
            </w:tcBorders>
          </w:tcPr>
          <w:p w14:paraId="6ECF87C9" w14:textId="77777777" w:rsidR="002B2B1B" w:rsidRPr="00AE3F1B" w:rsidRDefault="002B2B1B" w:rsidP="00AA279F">
            <w:pPr>
              <w:spacing w:line="259" w:lineRule="auto"/>
              <w:ind w:right="-3"/>
              <w:jc w:val="left"/>
              <w:rPr>
                <w:rFonts w:ascii="Garamond" w:hAnsi="Garamond"/>
                <w:sz w:val="24"/>
                <w:szCs w:val="24"/>
              </w:rPr>
            </w:pPr>
            <w:r w:rsidRPr="00AE3F1B">
              <w:rPr>
                <w:rFonts w:ascii="Garamond" w:hAnsi="Garamond"/>
                <w:sz w:val="24"/>
                <w:szCs w:val="24"/>
              </w:rPr>
              <w:t>Wartość skuteczna napięcia określająca i identyfikująca sieć elektroenergetyczną.</w:t>
            </w:r>
          </w:p>
        </w:tc>
      </w:tr>
      <w:tr w:rsidR="0021654E" w:rsidRPr="00AE3F1B" w14:paraId="5B7E8EDD" w14:textId="77777777" w:rsidTr="00012668">
        <w:tblPrEx>
          <w:tblCellMar>
            <w:top w:w="46" w:type="dxa"/>
            <w:left w:w="46" w:type="dxa"/>
            <w:right w:w="48" w:type="dxa"/>
          </w:tblCellMar>
        </w:tblPrEx>
        <w:trPr>
          <w:trHeight w:val="691"/>
        </w:trPr>
        <w:tc>
          <w:tcPr>
            <w:tcW w:w="2059" w:type="dxa"/>
            <w:tcBorders>
              <w:top w:val="single" w:sz="2" w:space="0" w:color="000000"/>
              <w:left w:val="single" w:sz="2" w:space="0" w:color="000000"/>
              <w:bottom w:val="single" w:sz="2" w:space="0" w:color="000000"/>
              <w:right w:val="single" w:sz="2" w:space="0" w:color="000000"/>
            </w:tcBorders>
          </w:tcPr>
          <w:p w14:paraId="4CC56EC4" w14:textId="77777777" w:rsidR="0021654E" w:rsidRPr="00AE3F1B" w:rsidRDefault="0021654E" w:rsidP="00012668">
            <w:pPr>
              <w:spacing w:line="259" w:lineRule="auto"/>
              <w:ind w:left="24" w:right="-3" w:hanging="24"/>
              <w:jc w:val="left"/>
              <w:rPr>
                <w:rFonts w:ascii="Garamond" w:hAnsi="Garamond"/>
                <w:sz w:val="24"/>
                <w:szCs w:val="24"/>
              </w:rPr>
            </w:pPr>
            <w:r w:rsidRPr="00AE3F1B">
              <w:rPr>
                <w:rFonts w:ascii="Garamond" w:hAnsi="Garamond"/>
                <w:sz w:val="24"/>
                <w:szCs w:val="24"/>
              </w:rPr>
              <w:lastRenderedPageBreak/>
              <w:t>Napięcie deklarowane</w:t>
            </w:r>
          </w:p>
        </w:tc>
        <w:tc>
          <w:tcPr>
            <w:tcW w:w="7580" w:type="dxa"/>
            <w:tcBorders>
              <w:top w:val="single" w:sz="2" w:space="0" w:color="000000"/>
              <w:left w:val="single" w:sz="2" w:space="0" w:color="000000"/>
              <w:bottom w:val="single" w:sz="2" w:space="0" w:color="000000"/>
              <w:right w:val="single" w:sz="2" w:space="0" w:color="000000"/>
            </w:tcBorders>
          </w:tcPr>
          <w:p w14:paraId="4D373F27" w14:textId="5B10E56B" w:rsidR="0021654E" w:rsidRPr="00AE3F1B" w:rsidRDefault="0021654E" w:rsidP="00AA279F">
            <w:pPr>
              <w:spacing w:line="259" w:lineRule="auto"/>
              <w:ind w:right="-3"/>
              <w:jc w:val="left"/>
              <w:rPr>
                <w:rFonts w:ascii="Garamond" w:hAnsi="Garamond"/>
                <w:sz w:val="24"/>
                <w:szCs w:val="24"/>
              </w:rPr>
            </w:pPr>
            <w:r w:rsidRPr="00AE3F1B">
              <w:rPr>
                <w:rFonts w:ascii="Garamond" w:hAnsi="Garamond"/>
                <w:sz w:val="24"/>
                <w:szCs w:val="24"/>
              </w:rPr>
              <w:t xml:space="preserve">Wartość napięcia zasilającego uzgodniona </w:t>
            </w:r>
            <w:r w:rsidR="0077061D" w:rsidRPr="00AE3F1B">
              <w:rPr>
                <w:rFonts w:ascii="Garamond" w:hAnsi="Garamond"/>
                <w:sz w:val="24"/>
                <w:szCs w:val="24"/>
              </w:rPr>
              <w:t>między</w:t>
            </w:r>
            <w:r w:rsidRPr="00AE3F1B">
              <w:rPr>
                <w:rFonts w:ascii="Garamond" w:hAnsi="Garamond"/>
                <w:sz w:val="24"/>
                <w:szCs w:val="24"/>
              </w:rPr>
              <w:t xml:space="preserve"> OSD i odbiorcą - wartość ta jest zwykle zgodna z napięciem znamionowym.</w:t>
            </w:r>
          </w:p>
        </w:tc>
      </w:tr>
      <w:tr w:rsidR="0021654E" w:rsidRPr="00AE3F1B" w14:paraId="5E440403" w14:textId="77777777" w:rsidTr="00012668">
        <w:tblPrEx>
          <w:tblCellMar>
            <w:top w:w="46" w:type="dxa"/>
            <w:left w:w="46" w:type="dxa"/>
            <w:right w:w="48" w:type="dxa"/>
          </w:tblCellMar>
        </w:tblPrEx>
        <w:trPr>
          <w:trHeight w:val="1139"/>
        </w:trPr>
        <w:tc>
          <w:tcPr>
            <w:tcW w:w="2059" w:type="dxa"/>
            <w:tcBorders>
              <w:top w:val="single" w:sz="2" w:space="0" w:color="000000"/>
              <w:left w:val="single" w:sz="2" w:space="0" w:color="000000"/>
              <w:bottom w:val="single" w:sz="2" w:space="0" w:color="000000"/>
              <w:right w:val="single" w:sz="2" w:space="0" w:color="000000"/>
            </w:tcBorders>
          </w:tcPr>
          <w:p w14:paraId="213B8A01" w14:textId="77777777" w:rsidR="0021654E" w:rsidRPr="00AE3F1B" w:rsidRDefault="0021654E" w:rsidP="00012668">
            <w:pPr>
              <w:spacing w:line="259" w:lineRule="auto"/>
              <w:ind w:left="24" w:right="-3" w:hanging="24"/>
              <w:jc w:val="left"/>
              <w:rPr>
                <w:rFonts w:ascii="Garamond" w:hAnsi="Garamond"/>
                <w:sz w:val="24"/>
                <w:szCs w:val="24"/>
              </w:rPr>
            </w:pPr>
            <w:r w:rsidRPr="00AE3F1B">
              <w:rPr>
                <w:rFonts w:ascii="Garamond" w:hAnsi="Garamond"/>
                <w:sz w:val="24"/>
                <w:szCs w:val="24"/>
              </w:rPr>
              <w:t>Nielegalne pobieranie energii elektrycznej</w:t>
            </w:r>
          </w:p>
        </w:tc>
        <w:tc>
          <w:tcPr>
            <w:tcW w:w="7580" w:type="dxa"/>
            <w:tcBorders>
              <w:top w:val="single" w:sz="2" w:space="0" w:color="000000"/>
              <w:left w:val="single" w:sz="2" w:space="0" w:color="000000"/>
              <w:bottom w:val="single" w:sz="2" w:space="0" w:color="000000"/>
              <w:right w:val="single" w:sz="2" w:space="0" w:color="000000"/>
            </w:tcBorders>
          </w:tcPr>
          <w:p w14:paraId="042A1A6A" w14:textId="77777777" w:rsidR="0021654E" w:rsidRPr="00AE3F1B" w:rsidRDefault="0021654E" w:rsidP="00AA279F">
            <w:pPr>
              <w:spacing w:line="259" w:lineRule="auto"/>
              <w:ind w:right="-3"/>
              <w:jc w:val="left"/>
              <w:rPr>
                <w:rFonts w:ascii="Garamond" w:hAnsi="Garamond"/>
                <w:sz w:val="24"/>
                <w:szCs w:val="24"/>
              </w:rPr>
            </w:pPr>
            <w:r w:rsidRPr="00AE3F1B">
              <w:rPr>
                <w:rFonts w:ascii="Garamond" w:hAnsi="Garamond"/>
                <w:sz w:val="24"/>
                <w:szCs w:val="24"/>
              </w:rPr>
              <w:t>Pobieranie energii elektrycznej bez zawarcia umowy, z całkowitym albo częściowym pominięciem układu pomiarowo- rozliczeniowego lub poprzez ingerencję w ten układ mającą wpływ na zafałszowanie pomiarów dokonywanych przez układ pomiarowo-rozliczeniowy.</w:t>
            </w:r>
          </w:p>
        </w:tc>
      </w:tr>
      <w:tr w:rsidR="0021654E" w:rsidRPr="00AE3F1B" w14:paraId="09A5A8C7" w14:textId="77777777" w:rsidTr="00012668">
        <w:tblPrEx>
          <w:tblCellMar>
            <w:top w:w="46" w:type="dxa"/>
            <w:left w:w="46" w:type="dxa"/>
            <w:right w:w="48" w:type="dxa"/>
          </w:tblCellMar>
        </w:tblPrEx>
        <w:trPr>
          <w:trHeight w:val="918"/>
        </w:trPr>
        <w:tc>
          <w:tcPr>
            <w:tcW w:w="2059" w:type="dxa"/>
            <w:tcBorders>
              <w:top w:val="single" w:sz="2" w:space="0" w:color="000000"/>
              <w:left w:val="single" w:sz="2" w:space="0" w:color="000000"/>
              <w:bottom w:val="single" w:sz="2" w:space="0" w:color="000000"/>
              <w:right w:val="single" w:sz="2" w:space="0" w:color="000000"/>
            </w:tcBorders>
          </w:tcPr>
          <w:p w14:paraId="725AC712" w14:textId="77777777" w:rsidR="0021654E" w:rsidRPr="00AE3F1B" w:rsidRDefault="0021654E" w:rsidP="00012668">
            <w:pPr>
              <w:spacing w:line="259" w:lineRule="auto"/>
              <w:ind w:left="24" w:right="-3" w:hanging="24"/>
              <w:jc w:val="left"/>
              <w:rPr>
                <w:rFonts w:ascii="Garamond" w:hAnsi="Garamond"/>
                <w:sz w:val="24"/>
                <w:szCs w:val="24"/>
              </w:rPr>
            </w:pPr>
            <w:r w:rsidRPr="00AE3F1B">
              <w:rPr>
                <w:rFonts w:ascii="Garamond" w:hAnsi="Garamond"/>
                <w:sz w:val="24"/>
                <w:szCs w:val="24"/>
              </w:rPr>
              <w:t>Niezbilansowanie</w:t>
            </w:r>
          </w:p>
        </w:tc>
        <w:tc>
          <w:tcPr>
            <w:tcW w:w="7580" w:type="dxa"/>
            <w:tcBorders>
              <w:top w:val="single" w:sz="2" w:space="0" w:color="000000"/>
              <w:left w:val="single" w:sz="2" w:space="0" w:color="000000"/>
              <w:bottom w:val="single" w:sz="2" w:space="0" w:color="000000"/>
              <w:right w:val="single" w:sz="2" w:space="0" w:color="000000"/>
            </w:tcBorders>
          </w:tcPr>
          <w:p w14:paraId="1F93F188" w14:textId="77777777" w:rsidR="0021654E" w:rsidRPr="00AE3F1B" w:rsidRDefault="0021654E" w:rsidP="00AA279F">
            <w:pPr>
              <w:spacing w:line="259" w:lineRule="auto"/>
              <w:ind w:right="-3"/>
              <w:jc w:val="left"/>
              <w:rPr>
                <w:rFonts w:ascii="Garamond" w:hAnsi="Garamond"/>
                <w:sz w:val="24"/>
                <w:szCs w:val="24"/>
              </w:rPr>
            </w:pPr>
            <w:r w:rsidRPr="00AE3F1B">
              <w:rPr>
                <w:rFonts w:ascii="Garamond" w:hAnsi="Garamond"/>
                <w:sz w:val="24"/>
                <w:szCs w:val="24"/>
              </w:rPr>
              <w:t>W przypadku odbiorcy — różnica pomiędzy rzeczywistym, a planowanym poborem energii elektrycznej. W przypadku wytwórcy — różnica pomiędzy planowaną, a rzeczywiście wprowadzoną do sieci energią elektryczną.</w:t>
            </w:r>
          </w:p>
        </w:tc>
      </w:tr>
      <w:tr w:rsidR="0021654E" w:rsidRPr="00AE3F1B" w14:paraId="2194C7AC" w14:textId="77777777" w:rsidTr="00012668">
        <w:tblPrEx>
          <w:tblCellMar>
            <w:top w:w="46" w:type="dxa"/>
            <w:left w:w="46" w:type="dxa"/>
            <w:right w:w="48" w:type="dxa"/>
          </w:tblCellMar>
        </w:tblPrEx>
        <w:trPr>
          <w:trHeight w:val="1144"/>
        </w:trPr>
        <w:tc>
          <w:tcPr>
            <w:tcW w:w="2059" w:type="dxa"/>
            <w:tcBorders>
              <w:top w:val="single" w:sz="2" w:space="0" w:color="000000"/>
              <w:left w:val="single" w:sz="2" w:space="0" w:color="000000"/>
              <w:bottom w:val="single" w:sz="2" w:space="0" w:color="000000"/>
              <w:right w:val="single" w:sz="2" w:space="0" w:color="000000"/>
            </w:tcBorders>
          </w:tcPr>
          <w:p w14:paraId="3348A0E0" w14:textId="14C79786" w:rsidR="0021654E" w:rsidRPr="00AE3F1B" w:rsidRDefault="0021654E" w:rsidP="00012668">
            <w:pPr>
              <w:tabs>
                <w:tab w:val="left" w:pos="24"/>
              </w:tabs>
              <w:spacing w:line="259" w:lineRule="auto"/>
              <w:ind w:left="24" w:right="-3" w:hanging="24"/>
              <w:jc w:val="left"/>
              <w:rPr>
                <w:rFonts w:ascii="Garamond" w:hAnsi="Garamond"/>
                <w:sz w:val="24"/>
                <w:szCs w:val="24"/>
              </w:rPr>
            </w:pPr>
            <w:r w:rsidRPr="00AE3F1B">
              <w:rPr>
                <w:rFonts w:ascii="Garamond" w:hAnsi="Garamond"/>
                <w:sz w:val="24"/>
                <w:szCs w:val="24"/>
              </w:rPr>
              <w:t>Normalny układ</w:t>
            </w:r>
            <w:r w:rsidR="00012668">
              <w:rPr>
                <w:rFonts w:ascii="Garamond" w:hAnsi="Garamond"/>
                <w:sz w:val="24"/>
                <w:szCs w:val="24"/>
              </w:rPr>
              <w:t xml:space="preserve"> </w:t>
            </w:r>
            <w:r w:rsidRPr="00AE3F1B">
              <w:rPr>
                <w:rFonts w:ascii="Garamond" w:hAnsi="Garamond"/>
                <w:sz w:val="24"/>
                <w:szCs w:val="24"/>
              </w:rPr>
              <w:t>pracy sieci</w:t>
            </w:r>
          </w:p>
        </w:tc>
        <w:tc>
          <w:tcPr>
            <w:tcW w:w="7580" w:type="dxa"/>
            <w:tcBorders>
              <w:top w:val="single" w:sz="2" w:space="0" w:color="000000"/>
              <w:left w:val="single" w:sz="2" w:space="0" w:color="000000"/>
              <w:bottom w:val="single" w:sz="2" w:space="0" w:color="000000"/>
              <w:right w:val="single" w:sz="2" w:space="0" w:color="000000"/>
            </w:tcBorders>
          </w:tcPr>
          <w:p w14:paraId="04508F44" w14:textId="77777777" w:rsidR="0021654E" w:rsidRPr="00AE3F1B" w:rsidRDefault="0021654E" w:rsidP="00AA279F">
            <w:pPr>
              <w:spacing w:line="259" w:lineRule="auto"/>
              <w:ind w:left="95" w:right="-3" w:hanging="95"/>
              <w:jc w:val="left"/>
              <w:rPr>
                <w:rFonts w:ascii="Garamond" w:hAnsi="Garamond"/>
                <w:sz w:val="24"/>
                <w:szCs w:val="24"/>
              </w:rPr>
            </w:pPr>
            <w:r w:rsidRPr="00AE3F1B">
              <w:rPr>
                <w:rFonts w:ascii="Garamond" w:hAnsi="Garamond"/>
                <w:sz w:val="24"/>
                <w:szCs w:val="24"/>
              </w:rPr>
              <w:t>Układ pracy sieci i przyłączonych źródeł wytwórczych, zapewniający najkorzystniejsze warunki techniczne i ekonomiczne transportu energii elektrycznej oraz spełnienie kryteriów niezawodności pracy sieci i jakości energii elektrycznej dostarczanej użytkownikom sieci.</w:t>
            </w:r>
          </w:p>
        </w:tc>
      </w:tr>
      <w:tr w:rsidR="0021654E" w:rsidRPr="00AE3F1B" w14:paraId="26C0D8F6" w14:textId="77777777" w:rsidTr="00012668">
        <w:tblPrEx>
          <w:tblCellMar>
            <w:top w:w="46" w:type="dxa"/>
            <w:left w:w="46" w:type="dxa"/>
            <w:right w:w="48" w:type="dxa"/>
          </w:tblCellMar>
        </w:tblPrEx>
        <w:trPr>
          <w:trHeight w:val="2686"/>
        </w:trPr>
        <w:tc>
          <w:tcPr>
            <w:tcW w:w="2059" w:type="dxa"/>
            <w:tcBorders>
              <w:top w:val="single" w:sz="2" w:space="0" w:color="000000"/>
              <w:left w:val="single" w:sz="2" w:space="0" w:color="000000"/>
              <w:bottom w:val="single" w:sz="2" w:space="0" w:color="000000"/>
              <w:right w:val="single" w:sz="2" w:space="0" w:color="000000"/>
            </w:tcBorders>
          </w:tcPr>
          <w:p w14:paraId="63BCCC27" w14:textId="77777777" w:rsidR="0021654E" w:rsidRPr="00AE3F1B" w:rsidRDefault="0021654E" w:rsidP="00012668">
            <w:pPr>
              <w:spacing w:line="259" w:lineRule="auto"/>
              <w:ind w:left="24" w:right="-3" w:hanging="24"/>
              <w:jc w:val="left"/>
              <w:rPr>
                <w:rFonts w:ascii="Garamond" w:hAnsi="Garamond"/>
                <w:sz w:val="24"/>
                <w:szCs w:val="24"/>
              </w:rPr>
            </w:pPr>
            <w:r w:rsidRPr="00AE3F1B">
              <w:rPr>
                <w:rFonts w:ascii="Garamond" w:hAnsi="Garamond"/>
                <w:sz w:val="24"/>
                <w:szCs w:val="24"/>
              </w:rPr>
              <w:t>Normalne warunki pracy sieci</w:t>
            </w:r>
          </w:p>
        </w:tc>
        <w:tc>
          <w:tcPr>
            <w:tcW w:w="7580" w:type="dxa"/>
            <w:tcBorders>
              <w:top w:val="single" w:sz="2" w:space="0" w:color="000000"/>
              <w:left w:val="single" w:sz="2" w:space="0" w:color="000000"/>
              <w:bottom w:val="single" w:sz="2" w:space="0" w:color="000000"/>
              <w:right w:val="single" w:sz="2" w:space="0" w:color="000000"/>
            </w:tcBorders>
          </w:tcPr>
          <w:p w14:paraId="5CF0D69F" w14:textId="77777777" w:rsidR="0021654E" w:rsidRPr="00AE3F1B" w:rsidRDefault="0021654E" w:rsidP="006316A5">
            <w:pPr>
              <w:spacing w:after="44" w:line="227" w:lineRule="auto"/>
              <w:ind w:left="33" w:right="-3" w:hanging="33"/>
              <w:jc w:val="left"/>
              <w:rPr>
                <w:rFonts w:ascii="Garamond" w:hAnsi="Garamond"/>
                <w:sz w:val="24"/>
                <w:szCs w:val="24"/>
              </w:rPr>
            </w:pPr>
            <w:r w:rsidRPr="00AE3F1B">
              <w:rPr>
                <w:rFonts w:ascii="Garamond" w:hAnsi="Garamond"/>
                <w:sz w:val="24"/>
                <w:szCs w:val="24"/>
              </w:rPr>
              <w:t>Stan pracy sieci, w którym pokryte jest zapotrzebowanie na moc, obejmujący operacje łączeniowe i eliminację zaburzeń przez automatyczny system zabezpieczeń, przy równoczesnym braku wyjątkowych okoliczności spowodowanych:</w:t>
            </w:r>
          </w:p>
          <w:p w14:paraId="1E668587" w14:textId="17588731" w:rsidR="0021654E" w:rsidRPr="00AE3F1B" w:rsidRDefault="0077061D" w:rsidP="00012668">
            <w:pPr>
              <w:spacing w:line="216" w:lineRule="auto"/>
              <w:ind w:left="525" w:right="-3" w:hanging="283"/>
              <w:jc w:val="left"/>
              <w:rPr>
                <w:rFonts w:ascii="Garamond" w:hAnsi="Garamond"/>
                <w:sz w:val="24"/>
                <w:szCs w:val="24"/>
              </w:rPr>
            </w:pPr>
            <w:r w:rsidRPr="00AE3F1B">
              <w:rPr>
                <w:rFonts w:ascii="Garamond" w:hAnsi="Garamond"/>
                <w:sz w:val="24"/>
                <w:szCs w:val="24"/>
              </w:rPr>
              <w:t>a) wpływami</w:t>
            </w:r>
            <w:r w:rsidR="0021654E" w:rsidRPr="00AE3F1B">
              <w:rPr>
                <w:rFonts w:ascii="Garamond" w:hAnsi="Garamond"/>
                <w:sz w:val="24"/>
                <w:szCs w:val="24"/>
              </w:rPr>
              <w:t xml:space="preserve"> zewnętrznymi takimi jak np.: niezgodność instalacji lub urządzeń odbiorcy z odpowiednimi normami i przepisami,</w:t>
            </w:r>
          </w:p>
          <w:p w14:paraId="5E1D57DE" w14:textId="77777777" w:rsidR="0021654E" w:rsidRPr="00AE3F1B" w:rsidRDefault="0021654E" w:rsidP="00012668">
            <w:pPr>
              <w:spacing w:line="259" w:lineRule="auto"/>
              <w:ind w:left="525" w:right="-3" w:hanging="283"/>
              <w:jc w:val="left"/>
              <w:rPr>
                <w:rFonts w:ascii="Garamond" w:hAnsi="Garamond"/>
                <w:sz w:val="24"/>
                <w:szCs w:val="24"/>
              </w:rPr>
            </w:pPr>
            <w:r w:rsidRPr="00AE3F1B">
              <w:rPr>
                <w:rFonts w:ascii="Garamond" w:hAnsi="Garamond"/>
                <w:sz w:val="24"/>
                <w:szCs w:val="24"/>
              </w:rPr>
              <w:t>b) czynnikami będącymi poza kontrolą OSD takimi jak np.: wyjątkowe warunki atmosferyczne i klęski żywiołowe, zakłócenia spowodowane przez osoby trzecie, działania siły wyższej, wprowadzenie ograniczeń mocy zgodnie z innymi przepisami.</w:t>
            </w:r>
          </w:p>
        </w:tc>
      </w:tr>
      <w:tr w:rsidR="0021654E" w:rsidRPr="00AE3F1B" w14:paraId="50151834" w14:textId="77777777" w:rsidTr="00012668">
        <w:tblPrEx>
          <w:tblCellMar>
            <w:top w:w="46" w:type="dxa"/>
            <w:left w:w="46" w:type="dxa"/>
            <w:right w:w="48" w:type="dxa"/>
          </w:tblCellMar>
        </w:tblPrEx>
        <w:trPr>
          <w:trHeight w:val="691"/>
        </w:trPr>
        <w:tc>
          <w:tcPr>
            <w:tcW w:w="2059" w:type="dxa"/>
            <w:tcBorders>
              <w:top w:val="single" w:sz="2" w:space="0" w:color="000000"/>
              <w:left w:val="single" w:sz="2" w:space="0" w:color="000000"/>
              <w:bottom w:val="single" w:sz="2" w:space="0" w:color="000000"/>
              <w:right w:val="single" w:sz="2" w:space="0" w:color="000000"/>
            </w:tcBorders>
          </w:tcPr>
          <w:p w14:paraId="4F500BC4" w14:textId="77777777" w:rsidR="0021654E" w:rsidRPr="00AE3F1B" w:rsidRDefault="0021654E" w:rsidP="00012668">
            <w:pPr>
              <w:spacing w:line="259" w:lineRule="auto"/>
              <w:ind w:left="24" w:right="-3" w:hanging="24"/>
              <w:jc w:val="left"/>
              <w:rPr>
                <w:rFonts w:ascii="Garamond" w:hAnsi="Garamond"/>
                <w:sz w:val="24"/>
                <w:szCs w:val="24"/>
              </w:rPr>
            </w:pPr>
            <w:r w:rsidRPr="00AE3F1B">
              <w:rPr>
                <w:rFonts w:ascii="Garamond" w:hAnsi="Garamond"/>
                <w:sz w:val="24"/>
                <w:szCs w:val="24"/>
              </w:rPr>
              <w:t>Obrót energią elektryczną</w:t>
            </w:r>
          </w:p>
        </w:tc>
        <w:tc>
          <w:tcPr>
            <w:tcW w:w="7580" w:type="dxa"/>
            <w:tcBorders>
              <w:top w:val="single" w:sz="2" w:space="0" w:color="000000"/>
              <w:left w:val="single" w:sz="2" w:space="0" w:color="000000"/>
              <w:bottom w:val="single" w:sz="2" w:space="0" w:color="000000"/>
              <w:right w:val="single" w:sz="2" w:space="0" w:color="000000"/>
            </w:tcBorders>
          </w:tcPr>
          <w:p w14:paraId="4CE03319" w14:textId="77777777" w:rsidR="0021654E" w:rsidRPr="00AE3F1B" w:rsidRDefault="0021654E" w:rsidP="00AA279F">
            <w:pPr>
              <w:spacing w:line="259" w:lineRule="auto"/>
              <w:ind w:left="95" w:right="-3" w:hanging="95"/>
              <w:jc w:val="left"/>
              <w:rPr>
                <w:rFonts w:ascii="Garamond" w:hAnsi="Garamond"/>
                <w:sz w:val="24"/>
                <w:szCs w:val="24"/>
              </w:rPr>
            </w:pPr>
            <w:r w:rsidRPr="00AE3F1B">
              <w:rPr>
                <w:rFonts w:ascii="Garamond" w:hAnsi="Garamond"/>
                <w:sz w:val="24"/>
                <w:szCs w:val="24"/>
              </w:rPr>
              <w:t>Działalność gospodarcza polegająca na handlu hurtowym albo detalicznym energią elektryczną.</w:t>
            </w:r>
          </w:p>
        </w:tc>
      </w:tr>
      <w:tr w:rsidR="0021654E" w:rsidRPr="00AE3F1B" w14:paraId="6A34AB5C" w14:textId="77777777" w:rsidTr="00012668">
        <w:tblPrEx>
          <w:tblCellMar>
            <w:top w:w="46" w:type="dxa"/>
            <w:left w:w="46" w:type="dxa"/>
            <w:right w:w="48" w:type="dxa"/>
          </w:tblCellMar>
        </w:tblPrEx>
        <w:trPr>
          <w:trHeight w:val="914"/>
        </w:trPr>
        <w:tc>
          <w:tcPr>
            <w:tcW w:w="2059" w:type="dxa"/>
            <w:tcBorders>
              <w:top w:val="single" w:sz="2" w:space="0" w:color="000000"/>
              <w:left w:val="single" w:sz="2" w:space="0" w:color="000000"/>
              <w:bottom w:val="single" w:sz="2" w:space="0" w:color="000000"/>
              <w:right w:val="single" w:sz="2" w:space="0" w:color="000000"/>
            </w:tcBorders>
          </w:tcPr>
          <w:p w14:paraId="544E5FBA" w14:textId="77777777" w:rsidR="0021654E" w:rsidRPr="00AE3F1B" w:rsidRDefault="0021654E" w:rsidP="00012668">
            <w:pPr>
              <w:spacing w:line="259" w:lineRule="auto"/>
              <w:ind w:left="24" w:right="-3" w:hanging="24"/>
              <w:jc w:val="left"/>
              <w:rPr>
                <w:rFonts w:ascii="Garamond" w:hAnsi="Garamond"/>
                <w:sz w:val="24"/>
                <w:szCs w:val="24"/>
              </w:rPr>
            </w:pPr>
            <w:r w:rsidRPr="00AE3F1B">
              <w:rPr>
                <w:rFonts w:ascii="Garamond" w:hAnsi="Garamond"/>
                <w:sz w:val="24"/>
                <w:szCs w:val="24"/>
              </w:rPr>
              <w:t>Obszar OSD</w:t>
            </w:r>
          </w:p>
        </w:tc>
        <w:tc>
          <w:tcPr>
            <w:tcW w:w="7580" w:type="dxa"/>
            <w:tcBorders>
              <w:top w:val="single" w:sz="2" w:space="0" w:color="000000"/>
              <w:left w:val="single" w:sz="2" w:space="0" w:color="000000"/>
              <w:bottom w:val="single" w:sz="2" w:space="0" w:color="000000"/>
              <w:right w:val="single" w:sz="2" w:space="0" w:color="000000"/>
            </w:tcBorders>
            <w:vAlign w:val="center"/>
          </w:tcPr>
          <w:p w14:paraId="7356F652" w14:textId="2ABF5505" w:rsidR="0021654E" w:rsidRPr="00AE3F1B" w:rsidRDefault="0021654E" w:rsidP="00012668">
            <w:pPr>
              <w:spacing w:line="216" w:lineRule="auto"/>
              <w:ind w:left="95" w:right="-3" w:hanging="95"/>
              <w:jc w:val="left"/>
              <w:rPr>
                <w:rFonts w:ascii="Garamond" w:hAnsi="Garamond"/>
                <w:sz w:val="24"/>
                <w:szCs w:val="24"/>
              </w:rPr>
            </w:pPr>
            <w:r w:rsidRPr="00AE3F1B">
              <w:rPr>
                <w:rFonts w:ascii="Garamond" w:hAnsi="Garamond"/>
                <w:sz w:val="24"/>
                <w:szCs w:val="24"/>
              </w:rPr>
              <w:t xml:space="preserve">Posiadana przez OSD sieć elektroenergetyczna na obszarze określonym w koncesji na dystrybucję energii elektrycznej OSD, za której ruch </w:t>
            </w:r>
            <w:r w:rsidR="00F911AF">
              <w:rPr>
                <w:rFonts w:ascii="Garamond" w:hAnsi="Garamond"/>
                <w:sz w:val="24"/>
                <w:szCs w:val="24"/>
              </w:rPr>
              <w:br/>
            </w:r>
            <w:r w:rsidRPr="00AE3F1B">
              <w:rPr>
                <w:rFonts w:ascii="Garamond" w:hAnsi="Garamond"/>
                <w:sz w:val="24"/>
                <w:szCs w:val="24"/>
              </w:rPr>
              <w:t>i eksploatację odpowiada</w:t>
            </w:r>
            <w:r w:rsidR="00012668">
              <w:rPr>
                <w:rFonts w:ascii="Garamond" w:hAnsi="Garamond"/>
                <w:sz w:val="24"/>
                <w:szCs w:val="24"/>
              </w:rPr>
              <w:t xml:space="preserve"> </w:t>
            </w:r>
            <w:r w:rsidRPr="00AE3F1B">
              <w:rPr>
                <w:rFonts w:ascii="Garamond" w:hAnsi="Garamond"/>
                <w:sz w:val="24"/>
                <w:szCs w:val="24"/>
              </w:rPr>
              <w:t>OSD.</w:t>
            </w:r>
          </w:p>
        </w:tc>
      </w:tr>
      <w:tr w:rsidR="002B2B1B" w:rsidRPr="00AE3F1B" w14:paraId="7F370CAF" w14:textId="77777777" w:rsidTr="00012668">
        <w:tblPrEx>
          <w:tblCellMar>
            <w:top w:w="46" w:type="dxa"/>
            <w:left w:w="46" w:type="dxa"/>
            <w:right w:w="48" w:type="dxa"/>
          </w:tblCellMar>
        </w:tblPrEx>
        <w:trPr>
          <w:trHeight w:val="1702"/>
        </w:trPr>
        <w:tc>
          <w:tcPr>
            <w:tcW w:w="2059" w:type="dxa"/>
            <w:tcBorders>
              <w:top w:val="single" w:sz="2" w:space="0" w:color="000000"/>
              <w:left w:val="single" w:sz="2" w:space="0" w:color="000000"/>
              <w:bottom w:val="single" w:sz="2" w:space="0" w:color="000000"/>
              <w:right w:val="single" w:sz="2" w:space="0" w:color="000000"/>
            </w:tcBorders>
          </w:tcPr>
          <w:p w14:paraId="019EE721" w14:textId="77777777" w:rsidR="002B2B1B" w:rsidRPr="00AE3F1B" w:rsidRDefault="00F77545" w:rsidP="00012668">
            <w:pPr>
              <w:spacing w:line="259" w:lineRule="auto"/>
              <w:ind w:left="24" w:right="-3" w:hanging="24"/>
              <w:jc w:val="left"/>
              <w:rPr>
                <w:rFonts w:ascii="Garamond" w:hAnsi="Garamond"/>
                <w:sz w:val="24"/>
                <w:szCs w:val="24"/>
              </w:rPr>
            </w:pPr>
            <w:r w:rsidRPr="00AE3F1B">
              <w:rPr>
                <w:rFonts w:ascii="Garamond" w:hAnsi="Garamond"/>
                <w:sz w:val="24"/>
                <w:szCs w:val="24"/>
              </w:rPr>
              <w:br w:type="page"/>
            </w:r>
            <w:r w:rsidR="002B2B1B" w:rsidRPr="00AE3F1B">
              <w:rPr>
                <w:rFonts w:ascii="Garamond" w:hAnsi="Garamond"/>
                <w:sz w:val="24"/>
                <w:szCs w:val="24"/>
              </w:rPr>
              <w:t>Obszar regulacyjny</w:t>
            </w:r>
          </w:p>
        </w:tc>
        <w:tc>
          <w:tcPr>
            <w:tcW w:w="7580" w:type="dxa"/>
            <w:tcBorders>
              <w:top w:val="single" w:sz="2" w:space="0" w:color="000000"/>
              <w:left w:val="single" w:sz="2" w:space="0" w:color="000000"/>
              <w:bottom w:val="single" w:sz="2" w:space="0" w:color="000000"/>
              <w:right w:val="single" w:sz="2" w:space="0" w:color="000000"/>
            </w:tcBorders>
          </w:tcPr>
          <w:p w14:paraId="48159662" w14:textId="77777777" w:rsidR="002B2B1B" w:rsidRPr="00AE3F1B" w:rsidRDefault="002B2B1B" w:rsidP="00AA279F">
            <w:pPr>
              <w:spacing w:line="259" w:lineRule="auto"/>
              <w:ind w:left="95" w:right="-3" w:hanging="95"/>
              <w:jc w:val="left"/>
              <w:rPr>
                <w:rFonts w:ascii="Garamond" w:hAnsi="Garamond"/>
                <w:sz w:val="24"/>
                <w:szCs w:val="24"/>
              </w:rPr>
            </w:pPr>
            <w:r w:rsidRPr="00AE3F1B">
              <w:rPr>
                <w:rFonts w:ascii="Garamond" w:hAnsi="Garamond"/>
                <w:sz w:val="24"/>
                <w:szCs w:val="24"/>
              </w:rPr>
              <w:t>Sieć elektroenergetyczna wraz z przyłączonymi do niej urządzeniami do wytwarzania lub pobierania energii elektrycznej, współpracujące na zasadach określonych w odrębnych przepisach, zdolne do trwałego utrzymywania określonych parametrów niezawodnościowych i jakościowych dostaw energii elektrycznej oraz spełniania warunków obowiązujących we współpracy z innymi połączonymi systemami elektroenergetycznymi.</w:t>
            </w:r>
          </w:p>
        </w:tc>
      </w:tr>
      <w:tr w:rsidR="0026196A" w:rsidRPr="00AE3F1B" w14:paraId="15BFF592" w14:textId="77777777" w:rsidTr="00012668">
        <w:tblPrEx>
          <w:tblCellMar>
            <w:top w:w="27" w:type="dxa"/>
            <w:left w:w="39" w:type="dxa"/>
            <w:right w:w="29" w:type="dxa"/>
          </w:tblCellMar>
        </w:tblPrEx>
        <w:trPr>
          <w:trHeight w:val="1734"/>
        </w:trPr>
        <w:tc>
          <w:tcPr>
            <w:tcW w:w="2059" w:type="dxa"/>
            <w:tcBorders>
              <w:top w:val="nil"/>
              <w:left w:val="single" w:sz="2" w:space="0" w:color="000000"/>
              <w:bottom w:val="single" w:sz="2" w:space="0" w:color="000000"/>
              <w:right w:val="single" w:sz="2" w:space="0" w:color="000000"/>
            </w:tcBorders>
          </w:tcPr>
          <w:p w14:paraId="7DEE8E21" w14:textId="77777777" w:rsidR="0026196A" w:rsidRPr="00AE3F1B" w:rsidRDefault="0026196A" w:rsidP="00012668">
            <w:pPr>
              <w:spacing w:line="259" w:lineRule="auto"/>
              <w:ind w:left="24" w:right="-3" w:hanging="24"/>
              <w:jc w:val="left"/>
              <w:rPr>
                <w:rFonts w:ascii="Garamond" w:hAnsi="Garamond"/>
                <w:sz w:val="24"/>
                <w:szCs w:val="24"/>
              </w:rPr>
            </w:pPr>
            <w:r w:rsidRPr="00AE3F1B">
              <w:rPr>
                <w:rFonts w:ascii="Garamond" w:eastAsia="Calibri" w:hAnsi="Garamond" w:cs="Calibri"/>
                <w:sz w:val="24"/>
                <w:szCs w:val="24"/>
              </w:rPr>
              <w:t>Obszar Rynku</w:t>
            </w:r>
          </w:p>
          <w:p w14:paraId="43CF923B" w14:textId="77777777" w:rsidR="0026196A" w:rsidRPr="00AE3F1B" w:rsidRDefault="0026196A" w:rsidP="00012668">
            <w:pPr>
              <w:spacing w:line="259" w:lineRule="auto"/>
              <w:ind w:left="24" w:right="-3" w:hanging="24"/>
              <w:jc w:val="left"/>
              <w:rPr>
                <w:rFonts w:ascii="Garamond" w:hAnsi="Garamond"/>
                <w:sz w:val="24"/>
                <w:szCs w:val="24"/>
              </w:rPr>
            </w:pPr>
            <w:r w:rsidRPr="00AE3F1B">
              <w:rPr>
                <w:rFonts w:ascii="Garamond" w:eastAsia="Calibri" w:hAnsi="Garamond" w:cs="Calibri"/>
                <w:sz w:val="24"/>
                <w:szCs w:val="24"/>
              </w:rPr>
              <w:t>Bilansującego</w:t>
            </w:r>
          </w:p>
        </w:tc>
        <w:tc>
          <w:tcPr>
            <w:tcW w:w="7580" w:type="dxa"/>
            <w:tcBorders>
              <w:top w:val="nil"/>
              <w:left w:val="single" w:sz="2" w:space="0" w:color="000000"/>
              <w:bottom w:val="single" w:sz="2" w:space="0" w:color="000000"/>
              <w:right w:val="single" w:sz="2" w:space="0" w:color="000000"/>
            </w:tcBorders>
          </w:tcPr>
          <w:p w14:paraId="0D29C039" w14:textId="77777777" w:rsidR="0026196A" w:rsidRPr="00AE3F1B" w:rsidRDefault="0026196A" w:rsidP="00AA279F">
            <w:pPr>
              <w:spacing w:line="259" w:lineRule="auto"/>
              <w:ind w:left="103" w:right="-3" w:hanging="103"/>
              <w:jc w:val="left"/>
              <w:rPr>
                <w:rFonts w:ascii="Garamond" w:hAnsi="Garamond"/>
                <w:sz w:val="24"/>
                <w:szCs w:val="24"/>
              </w:rPr>
            </w:pPr>
            <w:r w:rsidRPr="00AE3F1B">
              <w:rPr>
                <w:rFonts w:ascii="Garamond" w:eastAsia="Calibri" w:hAnsi="Garamond" w:cs="Calibri"/>
                <w:sz w:val="24"/>
                <w:szCs w:val="24"/>
              </w:rPr>
              <w:t>Część systemu elektroenergetycznego, w której jest prowadzony hurtowy obrót energią elektryczną oraz w ramach której OSP równoważy bieżące zapotrzebowanie na energię elektryczną z dostawami tej energii w krajowym systemie elektroenergetycznym, oraz zarządza ograniczeniami systemowymi i prowadzi wynikające z tego rozliczenia, z podmiotami uczestniczącymi w Rynku Bilansującym.</w:t>
            </w:r>
          </w:p>
        </w:tc>
      </w:tr>
      <w:tr w:rsidR="0026196A" w:rsidRPr="00AE3F1B" w14:paraId="7AF6E333" w14:textId="77777777" w:rsidTr="00012668">
        <w:tblPrEx>
          <w:tblCellMar>
            <w:top w:w="27" w:type="dxa"/>
            <w:left w:w="39" w:type="dxa"/>
            <w:right w:w="29" w:type="dxa"/>
          </w:tblCellMar>
        </w:tblPrEx>
        <w:trPr>
          <w:trHeight w:val="580"/>
        </w:trPr>
        <w:tc>
          <w:tcPr>
            <w:tcW w:w="2059" w:type="dxa"/>
            <w:tcBorders>
              <w:top w:val="single" w:sz="2" w:space="0" w:color="000000"/>
              <w:left w:val="single" w:sz="2" w:space="0" w:color="000000"/>
              <w:bottom w:val="single" w:sz="2" w:space="0" w:color="000000"/>
              <w:right w:val="single" w:sz="2" w:space="0" w:color="000000"/>
            </w:tcBorders>
          </w:tcPr>
          <w:p w14:paraId="003C919F" w14:textId="77777777" w:rsidR="0026196A" w:rsidRPr="00AE3F1B" w:rsidRDefault="0026196A" w:rsidP="00012668">
            <w:pPr>
              <w:spacing w:line="259" w:lineRule="auto"/>
              <w:ind w:left="24" w:right="-3" w:hanging="24"/>
              <w:jc w:val="left"/>
              <w:rPr>
                <w:rFonts w:ascii="Garamond" w:hAnsi="Garamond"/>
                <w:sz w:val="24"/>
                <w:szCs w:val="24"/>
              </w:rPr>
            </w:pPr>
            <w:r w:rsidRPr="00AE3F1B">
              <w:rPr>
                <w:rFonts w:ascii="Garamond" w:eastAsia="Calibri" w:hAnsi="Garamond" w:cs="Calibri"/>
                <w:sz w:val="24"/>
                <w:szCs w:val="24"/>
              </w:rPr>
              <w:t xml:space="preserve">Odbiorca w </w:t>
            </w:r>
            <w:proofErr w:type="spellStart"/>
            <w:r w:rsidRPr="00AE3F1B">
              <w:rPr>
                <w:rFonts w:ascii="Garamond" w:eastAsia="Calibri" w:hAnsi="Garamond" w:cs="Calibri"/>
                <w:sz w:val="24"/>
                <w:szCs w:val="24"/>
              </w:rPr>
              <w:t>ORed</w:t>
            </w:r>
            <w:proofErr w:type="spellEnd"/>
          </w:p>
        </w:tc>
        <w:tc>
          <w:tcPr>
            <w:tcW w:w="7580" w:type="dxa"/>
            <w:tcBorders>
              <w:top w:val="single" w:sz="2" w:space="0" w:color="000000"/>
              <w:left w:val="single" w:sz="2" w:space="0" w:color="000000"/>
              <w:bottom w:val="single" w:sz="2" w:space="0" w:color="000000"/>
              <w:right w:val="single" w:sz="2" w:space="0" w:color="000000"/>
            </w:tcBorders>
          </w:tcPr>
          <w:p w14:paraId="2EAB415A" w14:textId="77777777" w:rsidR="0026196A" w:rsidRPr="00AE3F1B" w:rsidRDefault="0026196A" w:rsidP="00AA279F">
            <w:pPr>
              <w:spacing w:line="259" w:lineRule="auto"/>
              <w:ind w:left="103" w:right="-3" w:hanging="103"/>
              <w:jc w:val="left"/>
              <w:rPr>
                <w:rFonts w:ascii="Garamond" w:hAnsi="Garamond"/>
                <w:sz w:val="24"/>
                <w:szCs w:val="24"/>
              </w:rPr>
            </w:pPr>
            <w:r w:rsidRPr="00AE3F1B">
              <w:rPr>
                <w:rFonts w:ascii="Garamond" w:eastAsia="Calibri" w:hAnsi="Garamond" w:cs="Calibri"/>
                <w:sz w:val="24"/>
                <w:szCs w:val="24"/>
              </w:rPr>
              <w:t xml:space="preserve">Podmiot będący stroną umowy o świadczenie usług przesyłania lub umowy regulującej zasady świadczenia usług dystrybucji w danym </w:t>
            </w:r>
            <w:proofErr w:type="spellStart"/>
            <w:r w:rsidRPr="00AE3F1B">
              <w:rPr>
                <w:rFonts w:ascii="Garamond" w:eastAsia="Calibri" w:hAnsi="Garamond" w:cs="Calibri"/>
                <w:sz w:val="24"/>
                <w:szCs w:val="24"/>
              </w:rPr>
              <w:t>ORed</w:t>
            </w:r>
            <w:proofErr w:type="spellEnd"/>
            <w:r w:rsidRPr="00AE3F1B">
              <w:rPr>
                <w:rFonts w:ascii="Garamond" w:eastAsia="Calibri" w:hAnsi="Garamond" w:cs="Calibri"/>
                <w:sz w:val="24"/>
                <w:szCs w:val="24"/>
              </w:rPr>
              <w:t>.</w:t>
            </w:r>
          </w:p>
        </w:tc>
      </w:tr>
      <w:tr w:rsidR="0026196A" w:rsidRPr="00AE3F1B" w14:paraId="37012428" w14:textId="77777777" w:rsidTr="00012668">
        <w:tblPrEx>
          <w:tblCellMar>
            <w:top w:w="27" w:type="dxa"/>
            <w:left w:w="39" w:type="dxa"/>
            <w:right w:w="29" w:type="dxa"/>
          </w:tblCellMar>
        </w:tblPrEx>
        <w:trPr>
          <w:trHeight w:val="576"/>
        </w:trPr>
        <w:tc>
          <w:tcPr>
            <w:tcW w:w="2059" w:type="dxa"/>
            <w:tcBorders>
              <w:top w:val="single" w:sz="2" w:space="0" w:color="000000"/>
              <w:left w:val="single" w:sz="2" w:space="0" w:color="000000"/>
              <w:bottom w:val="single" w:sz="2" w:space="0" w:color="000000"/>
              <w:right w:val="single" w:sz="2" w:space="0" w:color="000000"/>
            </w:tcBorders>
          </w:tcPr>
          <w:p w14:paraId="6C770B05" w14:textId="77777777" w:rsidR="0026196A" w:rsidRPr="00AE3F1B" w:rsidRDefault="0026196A" w:rsidP="00012668">
            <w:pPr>
              <w:spacing w:line="259" w:lineRule="auto"/>
              <w:ind w:left="24" w:right="-3" w:hanging="24"/>
              <w:jc w:val="left"/>
              <w:rPr>
                <w:rFonts w:ascii="Garamond" w:hAnsi="Garamond"/>
                <w:sz w:val="24"/>
                <w:szCs w:val="24"/>
              </w:rPr>
            </w:pPr>
            <w:r w:rsidRPr="00AE3F1B">
              <w:rPr>
                <w:rFonts w:ascii="Garamond" w:eastAsia="Calibri" w:hAnsi="Garamond" w:cs="Calibri"/>
                <w:sz w:val="24"/>
                <w:szCs w:val="24"/>
              </w:rPr>
              <w:t>Odbiorca</w:t>
            </w:r>
          </w:p>
        </w:tc>
        <w:tc>
          <w:tcPr>
            <w:tcW w:w="7580" w:type="dxa"/>
            <w:tcBorders>
              <w:top w:val="single" w:sz="2" w:space="0" w:color="000000"/>
              <w:left w:val="single" w:sz="2" w:space="0" w:color="000000"/>
              <w:bottom w:val="single" w:sz="2" w:space="0" w:color="000000"/>
              <w:right w:val="single" w:sz="2" w:space="0" w:color="000000"/>
            </w:tcBorders>
          </w:tcPr>
          <w:p w14:paraId="2DEEA372" w14:textId="77777777" w:rsidR="0026196A" w:rsidRPr="00AE3F1B" w:rsidRDefault="0026196A" w:rsidP="00AA279F">
            <w:pPr>
              <w:spacing w:line="259" w:lineRule="auto"/>
              <w:ind w:left="103" w:right="-3" w:hanging="103"/>
              <w:jc w:val="left"/>
              <w:rPr>
                <w:rFonts w:ascii="Garamond" w:hAnsi="Garamond"/>
                <w:sz w:val="24"/>
                <w:szCs w:val="24"/>
              </w:rPr>
            </w:pPr>
            <w:r w:rsidRPr="00AE3F1B">
              <w:rPr>
                <w:rFonts w:ascii="Garamond" w:eastAsia="Calibri" w:hAnsi="Garamond" w:cs="Calibri"/>
                <w:sz w:val="24"/>
                <w:szCs w:val="24"/>
              </w:rPr>
              <w:t>Każdy, kto otrzymuje lub pobiera energię elektryczną na podstawie umowy z przedsiębiorstwem energetycznym.</w:t>
            </w:r>
          </w:p>
        </w:tc>
      </w:tr>
      <w:tr w:rsidR="0026196A" w:rsidRPr="00AE3F1B" w14:paraId="064FFD32" w14:textId="77777777" w:rsidTr="00012668">
        <w:tblPrEx>
          <w:tblCellMar>
            <w:top w:w="27" w:type="dxa"/>
            <w:left w:w="39" w:type="dxa"/>
            <w:right w:w="29" w:type="dxa"/>
          </w:tblCellMar>
        </w:tblPrEx>
        <w:trPr>
          <w:trHeight w:val="1082"/>
        </w:trPr>
        <w:tc>
          <w:tcPr>
            <w:tcW w:w="2059" w:type="dxa"/>
            <w:tcBorders>
              <w:top w:val="single" w:sz="2" w:space="0" w:color="000000"/>
              <w:left w:val="single" w:sz="2" w:space="0" w:color="000000"/>
              <w:bottom w:val="single" w:sz="2" w:space="0" w:color="000000"/>
              <w:right w:val="single" w:sz="2" w:space="0" w:color="000000"/>
            </w:tcBorders>
          </w:tcPr>
          <w:p w14:paraId="41D4E0E8" w14:textId="77777777" w:rsidR="0026196A" w:rsidRPr="00AE3F1B" w:rsidRDefault="0026196A" w:rsidP="00012668">
            <w:pPr>
              <w:spacing w:line="259" w:lineRule="auto"/>
              <w:ind w:left="24" w:right="-3" w:hanging="24"/>
              <w:jc w:val="left"/>
              <w:rPr>
                <w:rFonts w:ascii="Garamond" w:hAnsi="Garamond"/>
                <w:sz w:val="24"/>
                <w:szCs w:val="24"/>
              </w:rPr>
            </w:pPr>
            <w:r w:rsidRPr="00AE3F1B">
              <w:rPr>
                <w:rFonts w:ascii="Garamond" w:eastAsia="Calibri" w:hAnsi="Garamond" w:cs="Calibri"/>
                <w:sz w:val="24"/>
                <w:szCs w:val="24"/>
              </w:rPr>
              <w:lastRenderedPageBreak/>
              <w:t>Odbiorca energii elektrycznej w gospodarstwie domowym</w:t>
            </w:r>
          </w:p>
        </w:tc>
        <w:tc>
          <w:tcPr>
            <w:tcW w:w="7580" w:type="dxa"/>
            <w:tcBorders>
              <w:top w:val="single" w:sz="2" w:space="0" w:color="000000"/>
              <w:left w:val="single" w:sz="2" w:space="0" w:color="000000"/>
              <w:bottom w:val="single" w:sz="2" w:space="0" w:color="000000"/>
              <w:right w:val="single" w:sz="2" w:space="0" w:color="000000"/>
            </w:tcBorders>
            <w:vAlign w:val="center"/>
          </w:tcPr>
          <w:p w14:paraId="1EC4FDF9" w14:textId="7CB9D8BD" w:rsidR="0026196A" w:rsidRPr="00AE3F1B" w:rsidRDefault="0026196A" w:rsidP="00AA279F">
            <w:pPr>
              <w:spacing w:line="259" w:lineRule="auto"/>
              <w:ind w:left="103" w:right="-3" w:hanging="103"/>
              <w:jc w:val="left"/>
              <w:rPr>
                <w:rFonts w:ascii="Garamond" w:hAnsi="Garamond"/>
                <w:sz w:val="24"/>
                <w:szCs w:val="24"/>
              </w:rPr>
            </w:pPr>
            <w:r w:rsidRPr="00AE3F1B">
              <w:rPr>
                <w:rFonts w:ascii="Garamond" w:eastAsia="Calibri" w:hAnsi="Garamond" w:cs="Calibri"/>
                <w:sz w:val="24"/>
                <w:szCs w:val="24"/>
              </w:rPr>
              <w:t>Odbiorca końcowy dokonujący zakupu energii elektrycznej wyłącznie w celu jej</w:t>
            </w:r>
            <w:r w:rsidR="00012668">
              <w:rPr>
                <w:rFonts w:ascii="Garamond" w:eastAsia="Calibri" w:hAnsi="Garamond" w:cs="Calibri"/>
                <w:sz w:val="24"/>
                <w:szCs w:val="24"/>
              </w:rPr>
              <w:t xml:space="preserve"> </w:t>
            </w:r>
            <w:r w:rsidRPr="00AE3F1B">
              <w:rPr>
                <w:rFonts w:ascii="Garamond" w:eastAsia="Calibri" w:hAnsi="Garamond" w:cs="Calibri"/>
                <w:sz w:val="24"/>
                <w:szCs w:val="24"/>
              </w:rPr>
              <w:t>zużycia w gospodarstwie domowym.</w:t>
            </w:r>
          </w:p>
        </w:tc>
      </w:tr>
      <w:tr w:rsidR="0026196A" w:rsidRPr="00AE3F1B" w14:paraId="2F849045" w14:textId="77777777" w:rsidTr="00012668">
        <w:tblPrEx>
          <w:tblCellMar>
            <w:top w:w="27" w:type="dxa"/>
            <w:left w:w="39" w:type="dxa"/>
            <w:right w:w="29" w:type="dxa"/>
          </w:tblCellMar>
        </w:tblPrEx>
        <w:trPr>
          <w:trHeight w:val="410"/>
        </w:trPr>
        <w:tc>
          <w:tcPr>
            <w:tcW w:w="2059" w:type="dxa"/>
            <w:tcBorders>
              <w:top w:val="single" w:sz="2" w:space="0" w:color="000000"/>
              <w:left w:val="single" w:sz="2" w:space="0" w:color="000000"/>
              <w:bottom w:val="single" w:sz="2" w:space="0" w:color="000000"/>
              <w:right w:val="single" w:sz="2" w:space="0" w:color="000000"/>
            </w:tcBorders>
          </w:tcPr>
          <w:p w14:paraId="45B1226F" w14:textId="77777777" w:rsidR="0026196A" w:rsidRPr="00AE3F1B" w:rsidRDefault="0026196A" w:rsidP="00012668">
            <w:pPr>
              <w:spacing w:line="259" w:lineRule="auto"/>
              <w:ind w:left="24" w:right="-3" w:hanging="24"/>
              <w:jc w:val="left"/>
              <w:rPr>
                <w:rFonts w:ascii="Garamond" w:hAnsi="Garamond"/>
                <w:sz w:val="24"/>
                <w:szCs w:val="24"/>
              </w:rPr>
            </w:pPr>
            <w:r w:rsidRPr="00AE3F1B">
              <w:rPr>
                <w:rFonts w:ascii="Garamond" w:eastAsia="Calibri" w:hAnsi="Garamond" w:cs="Calibri"/>
                <w:sz w:val="24"/>
                <w:szCs w:val="24"/>
              </w:rPr>
              <w:t>Odbiorca końcowy</w:t>
            </w:r>
          </w:p>
        </w:tc>
        <w:tc>
          <w:tcPr>
            <w:tcW w:w="7580" w:type="dxa"/>
            <w:tcBorders>
              <w:top w:val="single" w:sz="2" w:space="0" w:color="000000"/>
              <w:left w:val="single" w:sz="2" w:space="0" w:color="000000"/>
              <w:bottom w:val="single" w:sz="2" w:space="0" w:color="000000"/>
              <w:right w:val="single" w:sz="2" w:space="0" w:color="000000"/>
            </w:tcBorders>
          </w:tcPr>
          <w:p w14:paraId="3782C9CD" w14:textId="77777777" w:rsidR="0026196A" w:rsidRPr="00AE3F1B" w:rsidRDefault="0026196A" w:rsidP="00AA279F">
            <w:pPr>
              <w:spacing w:line="259" w:lineRule="auto"/>
              <w:ind w:left="103" w:right="-3" w:hanging="103"/>
              <w:jc w:val="left"/>
              <w:rPr>
                <w:rFonts w:ascii="Garamond" w:hAnsi="Garamond"/>
                <w:sz w:val="24"/>
                <w:szCs w:val="24"/>
              </w:rPr>
            </w:pPr>
            <w:r w:rsidRPr="00AE3F1B">
              <w:rPr>
                <w:rFonts w:ascii="Garamond" w:eastAsia="Calibri" w:hAnsi="Garamond" w:cs="Calibri"/>
                <w:sz w:val="24"/>
                <w:szCs w:val="24"/>
              </w:rPr>
              <w:t>Odbiorca dokonujący zakupu energii elektrycznej na własny użytek.</w:t>
            </w:r>
          </w:p>
        </w:tc>
      </w:tr>
      <w:tr w:rsidR="0026196A" w:rsidRPr="00AE3F1B" w14:paraId="1AE53D1B" w14:textId="77777777" w:rsidTr="00012668">
        <w:tblPrEx>
          <w:tblCellMar>
            <w:top w:w="27" w:type="dxa"/>
            <w:left w:w="39" w:type="dxa"/>
            <w:right w:w="29" w:type="dxa"/>
          </w:tblCellMar>
        </w:tblPrEx>
        <w:trPr>
          <w:trHeight w:val="691"/>
        </w:trPr>
        <w:tc>
          <w:tcPr>
            <w:tcW w:w="2059" w:type="dxa"/>
            <w:tcBorders>
              <w:top w:val="single" w:sz="2" w:space="0" w:color="000000"/>
              <w:left w:val="single" w:sz="2" w:space="0" w:color="000000"/>
              <w:bottom w:val="single" w:sz="2" w:space="0" w:color="000000"/>
              <w:right w:val="single" w:sz="2" w:space="0" w:color="000000"/>
            </w:tcBorders>
          </w:tcPr>
          <w:p w14:paraId="0B9F75E5" w14:textId="77777777" w:rsidR="0026196A" w:rsidRPr="00AE3F1B" w:rsidRDefault="0026196A" w:rsidP="00012668">
            <w:pPr>
              <w:spacing w:line="259" w:lineRule="auto"/>
              <w:ind w:left="24" w:right="-3" w:hanging="24"/>
              <w:jc w:val="left"/>
              <w:rPr>
                <w:rFonts w:ascii="Garamond" w:hAnsi="Garamond"/>
                <w:sz w:val="24"/>
                <w:szCs w:val="24"/>
              </w:rPr>
            </w:pPr>
            <w:r w:rsidRPr="00AE3F1B">
              <w:rPr>
                <w:rFonts w:ascii="Garamond" w:eastAsia="Calibri" w:hAnsi="Garamond" w:cs="Calibri"/>
                <w:sz w:val="24"/>
                <w:szCs w:val="24"/>
              </w:rPr>
              <w:t>Odłączenie od sieci</w:t>
            </w:r>
          </w:p>
        </w:tc>
        <w:tc>
          <w:tcPr>
            <w:tcW w:w="7580" w:type="dxa"/>
            <w:tcBorders>
              <w:top w:val="single" w:sz="2" w:space="0" w:color="000000"/>
              <w:left w:val="single" w:sz="2" w:space="0" w:color="000000"/>
              <w:bottom w:val="single" w:sz="2" w:space="0" w:color="000000"/>
              <w:right w:val="single" w:sz="2" w:space="0" w:color="000000"/>
            </w:tcBorders>
          </w:tcPr>
          <w:p w14:paraId="7F7A88F6" w14:textId="77777777" w:rsidR="0026196A" w:rsidRPr="00AE3F1B" w:rsidRDefault="0026196A" w:rsidP="00AA279F">
            <w:pPr>
              <w:spacing w:line="259" w:lineRule="auto"/>
              <w:ind w:left="103" w:right="-3" w:hanging="103"/>
              <w:jc w:val="left"/>
              <w:rPr>
                <w:rFonts w:ascii="Garamond" w:hAnsi="Garamond"/>
                <w:sz w:val="24"/>
                <w:szCs w:val="24"/>
              </w:rPr>
            </w:pPr>
            <w:r w:rsidRPr="00AE3F1B">
              <w:rPr>
                <w:rFonts w:ascii="Garamond" w:eastAsia="Calibri" w:hAnsi="Garamond" w:cs="Calibri"/>
                <w:sz w:val="24"/>
                <w:szCs w:val="24"/>
              </w:rPr>
              <w:t>Trwałe rozdzielenie urządzeń, instalacji lub sieci podmiotu przyłączonego do sieci dystrybucyjnej, obejmujące m.in. trwały demontaż elementów przyłącza.</w:t>
            </w:r>
          </w:p>
        </w:tc>
      </w:tr>
      <w:tr w:rsidR="0026196A" w:rsidRPr="00AE3F1B" w14:paraId="12351453" w14:textId="77777777" w:rsidTr="00012668">
        <w:tblPrEx>
          <w:tblCellMar>
            <w:top w:w="27" w:type="dxa"/>
            <w:left w:w="39" w:type="dxa"/>
            <w:right w:w="29" w:type="dxa"/>
          </w:tblCellMar>
        </w:tblPrEx>
        <w:trPr>
          <w:trHeight w:val="1086"/>
        </w:trPr>
        <w:tc>
          <w:tcPr>
            <w:tcW w:w="2059" w:type="dxa"/>
            <w:tcBorders>
              <w:top w:val="single" w:sz="2" w:space="0" w:color="000000"/>
              <w:left w:val="single" w:sz="2" w:space="0" w:color="000000"/>
              <w:bottom w:val="single" w:sz="2" w:space="0" w:color="000000"/>
              <w:right w:val="single" w:sz="2" w:space="0" w:color="000000"/>
            </w:tcBorders>
          </w:tcPr>
          <w:p w14:paraId="6765F279" w14:textId="77777777" w:rsidR="0026196A" w:rsidRPr="00AE3F1B" w:rsidRDefault="0026196A" w:rsidP="00012668">
            <w:pPr>
              <w:spacing w:line="259" w:lineRule="auto"/>
              <w:ind w:left="24" w:right="-3" w:hanging="24"/>
              <w:jc w:val="left"/>
              <w:rPr>
                <w:rFonts w:ascii="Garamond" w:hAnsi="Garamond"/>
                <w:sz w:val="24"/>
                <w:szCs w:val="24"/>
              </w:rPr>
            </w:pPr>
            <w:r w:rsidRPr="00AE3F1B">
              <w:rPr>
                <w:rFonts w:ascii="Garamond" w:eastAsia="Calibri" w:hAnsi="Garamond" w:cs="Calibri"/>
                <w:sz w:val="24"/>
                <w:szCs w:val="24"/>
              </w:rPr>
              <w:t>Odnawialne źródło energii (OZE)</w:t>
            </w:r>
          </w:p>
        </w:tc>
        <w:tc>
          <w:tcPr>
            <w:tcW w:w="7580" w:type="dxa"/>
            <w:tcBorders>
              <w:top w:val="single" w:sz="2" w:space="0" w:color="000000"/>
              <w:left w:val="single" w:sz="2" w:space="0" w:color="000000"/>
              <w:bottom w:val="single" w:sz="2" w:space="0" w:color="000000"/>
              <w:right w:val="single" w:sz="2" w:space="0" w:color="000000"/>
            </w:tcBorders>
          </w:tcPr>
          <w:p w14:paraId="4D13F89A" w14:textId="77777777" w:rsidR="0026196A" w:rsidRPr="00AE3F1B" w:rsidRDefault="0026196A" w:rsidP="00AA279F">
            <w:pPr>
              <w:spacing w:line="259" w:lineRule="auto"/>
              <w:ind w:left="106" w:right="-3"/>
              <w:jc w:val="left"/>
              <w:rPr>
                <w:rFonts w:ascii="Garamond" w:hAnsi="Garamond"/>
                <w:sz w:val="24"/>
                <w:szCs w:val="24"/>
              </w:rPr>
            </w:pPr>
            <w:r w:rsidRPr="00AE3F1B">
              <w:rPr>
                <w:rFonts w:ascii="Garamond" w:eastAsia="Calibri" w:hAnsi="Garamond" w:cs="Calibri"/>
                <w:sz w:val="24"/>
                <w:szCs w:val="24"/>
              </w:rPr>
              <w:t>Odnawialne, niekopalne źródła energii obejmujące energię wiatru, promieniowania słonecznego, energię areotermalną, energię geotermalną, energię hydrotermalną, hydroenergię, energię fal/prądów/pływów morskich, e</w:t>
            </w:r>
            <w:r w:rsidR="0002655A" w:rsidRPr="00AE3F1B">
              <w:rPr>
                <w:rFonts w:ascii="Garamond" w:eastAsia="Calibri" w:hAnsi="Garamond" w:cs="Calibri"/>
                <w:sz w:val="24"/>
                <w:szCs w:val="24"/>
              </w:rPr>
              <w:t>ne</w:t>
            </w:r>
            <w:r w:rsidRPr="00AE3F1B">
              <w:rPr>
                <w:rFonts w:ascii="Garamond" w:eastAsia="Calibri" w:hAnsi="Garamond" w:cs="Calibri"/>
                <w:sz w:val="24"/>
                <w:szCs w:val="24"/>
              </w:rPr>
              <w:t xml:space="preserve">rgię otrzymaną z biomasy, biogazu rolniczego oraz </w:t>
            </w:r>
            <w:proofErr w:type="spellStart"/>
            <w:r w:rsidRPr="00AE3F1B">
              <w:rPr>
                <w:rFonts w:ascii="Garamond" w:eastAsia="Calibri" w:hAnsi="Garamond" w:cs="Calibri"/>
                <w:sz w:val="24"/>
                <w:szCs w:val="24"/>
              </w:rPr>
              <w:t>biopłynów</w:t>
            </w:r>
            <w:proofErr w:type="spellEnd"/>
            <w:r w:rsidRPr="00AE3F1B">
              <w:rPr>
                <w:rFonts w:ascii="Garamond" w:eastAsia="Calibri" w:hAnsi="Garamond" w:cs="Calibri"/>
                <w:sz w:val="24"/>
                <w:szCs w:val="24"/>
              </w:rPr>
              <w:t>.</w:t>
            </w:r>
          </w:p>
        </w:tc>
      </w:tr>
      <w:tr w:rsidR="0026196A" w:rsidRPr="00AE3F1B" w14:paraId="4E3B27DD" w14:textId="77777777" w:rsidTr="00012668">
        <w:tblPrEx>
          <w:tblCellMar>
            <w:top w:w="27" w:type="dxa"/>
            <w:left w:w="39" w:type="dxa"/>
            <w:right w:w="29" w:type="dxa"/>
          </w:tblCellMar>
        </w:tblPrEx>
        <w:trPr>
          <w:trHeight w:val="683"/>
        </w:trPr>
        <w:tc>
          <w:tcPr>
            <w:tcW w:w="2059" w:type="dxa"/>
            <w:tcBorders>
              <w:top w:val="single" w:sz="2" w:space="0" w:color="000000"/>
              <w:left w:val="single" w:sz="2" w:space="0" w:color="000000"/>
              <w:bottom w:val="single" w:sz="2" w:space="0" w:color="000000"/>
              <w:right w:val="single" w:sz="2" w:space="0" w:color="000000"/>
            </w:tcBorders>
          </w:tcPr>
          <w:p w14:paraId="1959689B" w14:textId="77777777" w:rsidR="0026196A" w:rsidRPr="00AE3F1B" w:rsidRDefault="0026196A" w:rsidP="00012668">
            <w:pPr>
              <w:spacing w:line="259" w:lineRule="auto"/>
              <w:ind w:left="24" w:right="-3" w:hanging="24"/>
              <w:jc w:val="left"/>
              <w:rPr>
                <w:rFonts w:ascii="Garamond" w:hAnsi="Garamond"/>
                <w:sz w:val="24"/>
                <w:szCs w:val="24"/>
              </w:rPr>
            </w:pPr>
            <w:r w:rsidRPr="00AE3F1B">
              <w:rPr>
                <w:rFonts w:ascii="Garamond" w:eastAsia="Calibri" w:hAnsi="Garamond" w:cs="Calibri"/>
                <w:sz w:val="24"/>
                <w:szCs w:val="24"/>
              </w:rPr>
              <w:t xml:space="preserve">Ograniczenia </w:t>
            </w:r>
            <w:proofErr w:type="spellStart"/>
            <w:r w:rsidRPr="00AE3F1B">
              <w:rPr>
                <w:rFonts w:ascii="Garamond" w:eastAsia="Calibri" w:hAnsi="Garamond" w:cs="Calibri"/>
                <w:sz w:val="24"/>
                <w:szCs w:val="24"/>
              </w:rPr>
              <w:t>elektrowniane</w:t>
            </w:r>
            <w:proofErr w:type="spellEnd"/>
          </w:p>
        </w:tc>
        <w:tc>
          <w:tcPr>
            <w:tcW w:w="7580" w:type="dxa"/>
            <w:tcBorders>
              <w:top w:val="single" w:sz="2" w:space="0" w:color="000000"/>
              <w:left w:val="single" w:sz="2" w:space="0" w:color="000000"/>
              <w:bottom w:val="single" w:sz="2" w:space="0" w:color="000000"/>
              <w:right w:val="single" w:sz="2" w:space="0" w:color="000000"/>
            </w:tcBorders>
          </w:tcPr>
          <w:p w14:paraId="160EBB7B" w14:textId="3596622A" w:rsidR="0026196A" w:rsidRPr="00AE3F1B" w:rsidRDefault="0026196A" w:rsidP="00AA279F">
            <w:pPr>
              <w:spacing w:line="259" w:lineRule="auto"/>
              <w:ind w:left="106" w:right="-3"/>
              <w:jc w:val="left"/>
              <w:rPr>
                <w:rFonts w:ascii="Garamond" w:hAnsi="Garamond"/>
                <w:sz w:val="24"/>
                <w:szCs w:val="24"/>
              </w:rPr>
            </w:pPr>
            <w:r w:rsidRPr="00AE3F1B">
              <w:rPr>
                <w:rFonts w:ascii="Garamond" w:eastAsia="Calibri" w:hAnsi="Garamond" w:cs="Calibri"/>
                <w:sz w:val="24"/>
                <w:szCs w:val="24"/>
              </w:rPr>
              <w:t>Ograniczenia</w:t>
            </w:r>
            <w:r w:rsidRPr="00AE3F1B">
              <w:rPr>
                <w:rFonts w:ascii="Garamond" w:eastAsia="Calibri" w:hAnsi="Garamond" w:cs="Calibri"/>
                <w:sz w:val="24"/>
                <w:szCs w:val="24"/>
              </w:rPr>
              <w:tab/>
              <w:t>wynikające</w:t>
            </w:r>
            <w:r w:rsidR="00F911AF">
              <w:rPr>
                <w:rFonts w:ascii="Garamond" w:eastAsia="Calibri" w:hAnsi="Garamond" w:cs="Calibri"/>
                <w:sz w:val="24"/>
                <w:szCs w:val="24"/>
              </w:rPr>
              <w:t xml:space="preserve"> </w:t>
            </w:r>
            <w:r w:rsidRPr="00AE3F1B">
              <w:rPr>
                <w:rFonts w:ascii="Garamond" w:eastAsia="Calibri" w:hAnsi="Garamond" w:cs="Calibri"/>
                <w:sz w:val="24"/>
                <w:szCs w:val="24"/>
              </w:rPr>
              <w:t>z</w:t>
            </w:r>
            <w:r w:rsidR="00F911AF">
              <w:rPr>
                <w:rFonts w:ascii="Garamond" w:eastAsia="Calibri" w:hAnsi="Garamond" w:cs="Calibri"/>
                <w:sz w:val="24"/>
                <w:szCs w:val="24"/>
              </w:rPr>
              <w:t xml:space="preserve"> </w:t>
            </w:r>
            <w:r w:rsidRPr="00AE3F1B">
              <w:rPr>
                <w:rFonts w:ascii="Garamond" w:eastAsia="Calibri" w:hAnsi="Garamond" w:cs="Calibri"/>
                <w:sz w:val="24"/>
                <w:szCs w:val="24"/>
              </w:rPr>
              <w:t>technicznych</w:t>
            </w:r>
            <w:r w:rsidR="00F911AF">
              <w:rPr>
                <w:rFonts w:ascii="Garamond" w:eastAsia="Calibri" w:hAnsi="Garamond" w:cs="Calibri"/>
                <w:sz w:val="24"/>
                <w:szCs w:val="24"/>
              </w:rPr>
              <w:t xml:space="preserve"> </w:t>
            </w:r>
            <w:r w:rsidRPr="00AE3F1B">
              <w:rPr>
                <w:rFonts w:ascii="Garamond" w:eastAsia="Calibri" w:hAnsi="Garamond" w:cs="Calibri"/>
                <w:sz w:val="24"/>
                <w:szCs w:val="24"/>
              </w:rPr>
              <w:t xml:space="preserve">warunków </w:t>
            </w:r>
            <w:r w:rsidRPr="00AE3F1B">
              <w:rPr>
                <w:rFonts w:ascii="Garamond" w:eastAsia="Calibri" w:hAnsi="Garamond" w:cs="Calibri"/>
                <w:sz w:val="24"/>
                <w:szCs w:val="24"/>
              </w:rPr>
              <w:tab/>
              <w:t>pracy jednostek</w:t>
            </w:r>
            <w:r w:rsidR="00012668">
              <w:rPr>
                <w:rFonts w:ascii="Garamond" w:eastAsia="Calibri" w:hAnsi="Garamond" w:cs="Calibri"/>
                <w:sz w:val="24"/>
                <w:szCs w:val="24"/>
              </w:rPr>
              <w:t xml:space="preserve"> </w:t>
            </w:r>
            <w:r w:rsidRPr="00AE3F1B">
              <w:rPr>
                <w:rFonts w:ascii="Garamond" w:eastAsia="Calibri" w:hAnsi="Garamond" w:cs="Calibri"/>
                <w:sz w:val="24"/>
                <w:szCs w:val="24"/>
              </w:rPr>
              <w:t>wytwórczych.</w:t>
            </w:r>
          </w:p>
        </w:tc>
      </w:tr>
      <w:tr w:rsidR="0026196A" w:rsidRPr="00AE3F1B" w14:paraId="7ADA86D6" w14:textId="77777777" w:rsidTr="00012668">
        <w:tblPrEx>
          <w:tblCellMar>
            <w:top w:w="27" w:type="dxa"/>
            <w:left w:w="39" w:type="dxa"/>
            <w:right w:w="29" w:type="dxa"/>
          </w:tblCellMar>
        </w:tblPrEx>
        <w:trPr>
          <w:trHeight w:val="1122"/>
        </w:trPr>
        <w:tc>
          <w:tcPr>
            <w:tcW w:w="2059" w:type="dxa"/>
            <w:tcBorders>
              <w:top w:val="single" w:sz="2" w:space="0" w:color="000000"/>
              <w:left w:val="single" w:sz="2" w:space="0" w:color="000000"/>
              <w:bottom w:val="single" w:sz="2" w:space="0" w:color="000000"/>
              <w:right w:val="single" w:sz="2" w:space="0" w:color="000000"/>
            </w:tcBorders>
          </w:tcPr>
          <w:p w14:paraId="4E751C61" w14:textId="77777777" w:rsidR="0026196A" w:rsidRPr="00AE3F1B" w:rsidRDefault="0026196A" w:rsidP="00012668">
            <w:pPr>
              <w:spacing w:line="259" w:lineRule="auto"/>
              <w:ind w:left="24" w:right="-3" w:hanging="24"/>
              <w:jc w:val="left"/>
              <w:rPr>
                <w:rFonts w:ascii="Garamond" w:hAnsi="Garamond"/>
                <w:sz w:val="24"/>
                <w:szCs w:val="24"/>
              </w:rPr>
            </w:pPr>
            <w:r w:rsidRPr="00AE3F1B">
              <w:rPr>
                <w:rFonts w:ascii="Garamond" w:eastAsia="Calibri" w:hAnsi="Garamond" w:cs="Calibri"/>
                <w:sz w:val="24"/>
                <w:szCs w:val="24"/>
              </w:rPr>
              <w:t>Ograniczenia sieciowe</w:t>
            </w:r>
          </w:p>
        </w:tc>
        <w:tc>
          <w:tcPr>
            <w:tcW w:w="7580" w:type="dxa"/>
            <w:tcBorders>
              <w:top w:val="single" w:sz="2" w:space="0" w:color="000000"/>
              <w:left w:val="single" w:sz="2" w:space="0" w:color="000000"/>
              <w:bottom w:val="single" w:sz="2" w:space="0" w:color="000000"/>
              <w:right w:val="single" w:sz="2" w:space="0" w:color="000000"/>
            </w:tcBorders>
          </w:tcPr>
          <w:p w14:paraId="7DCE9FEF" w14:textId="77777777" w:rsidR="0026196A" w:rsidRPr="00AE3F1B" w:rsidRDefault="0026196A" w:rsidP="00AA279F">
            <w:pPr>
              <w:spacing w:line="259" w:lineRule="auto"/>
              <w:ind w:left="106" w:right="-3"/>
              <w:jc w:val="left"/>
              <w:rPr>
                <w:rFonts w:ascii="Garamond" w:hAnsi="Garamond"/>
                <w:sz w:val="24"/>
                <w:szCs w:val="24"/>
              </w:rPr>
            </w:pPr>
            <w:r w:rsidRPr="00AE3F1B">
              <w:rPr>
                <w:rFonts w:ascii="Garamond" w:eastAsia="Calibri" w:hAnsi="Garamond" w:cs="Calibri"/>
                <w:sz w:val="24"/>
                <w:szCs w:val="24"/>
              </w:rPr>
              <w:t xml:space="preserve">Maksymalne dopuszczalne lub minimalnie niezbędne wytwarzanie mocy w danym węźle, lub w danym obszarze, lub maksymalny dopuszczalny przesył mocy przez dany przekrój sieciowy, w tym dla wymiany międzysystemowej, </w:t>
            </w:r>
            <w:r w:rsidR="0002655A" w:rsidRPr="00AE3F1B">
              <w:rPr>
                <w:rFonts w:ascii="Garamond" w:eastAsia="Calibri" w:hAnsi="Garamond" w:cs="Calibri"/>
                <w:sz w:val="24"/>
                <w:szCs w:val="24"/>
              </w:rPr>
              <w:br/>
            </w:r>
            <w:r w:rsidRPr="00AE3F1B">
              <w:rPr>
                <w:rFonts w:ascii="Garamond" w:eastAsia="Calibri" w:hAnsi="Garamond" w:cs="Calibri"/>
                <w:sz w:val="24"/>
                <w:szCs w:val="24"/>
              </w:rPr>
              <w:t>z uwzględnieniem bieżących warunków eksploatacji KSE.</w:t>
            </w:r>
          </w:p>
        </w:tc>
      </w:tr>
      <w:tr w:rsidR="0026196A" w:rsidRPr="00AE3F1B" w14:paraId="7FAEBDCF" w14:textId="77777777" w:rsidTr="00012668">
        <w:tblPrEx>
          <w:tblCellMar>
            <w:top w:w="27" w:type="dxa"/>
            <w:left w:w="39" w:type="dxa"/>
            <w:right w:w="29" w:type="dxa"/>
          </w:tblCellMar>
        </w:tblPrEx>
        <w:trPr>
          <w:trHeight w:val="353"/>
        </w:trPr>
        <w:tc>
          <w:tcPr>
            <w:tcW w:w="2059" w:type="dxa"/>
            <w:tcBorders>
              <w:top w:val="single" w:sz="2" w:space="0" w:color="000000"/>
              <w:left w:val="single" w:sz="2" w:space="0" w:color="000000"/>
              <w:bottom w:val="single" w:sz="2" w:space="0" w:color="000000"/>
              <w:right w:val="single" w:sz="2" w:space="0" w:color="000000"/>
            </w:tcBorders>
          </w:tcPr>
          <w:p w14:paraId="2C73B90D" w14:textId="77777777" w:rsidR="0026196A" w:rsidRPr="00AE3F1B" w:rsidRDefault="0026196A" w:rsidP="00012668">
            <w:pPr>
              <w:spacing w:line="259" w:lineRule="auto"/>
              <w:ind w:left="24" w:right="-3" w:hanging="24"/>
              <w:jc w:val="left"/>
              <w:rPr>
                <w:rFonts w:ascii="Garamond" w:hAnsi="Garamond"/>
                <w:sz w:val="24"/>
                <w:szCs w:val="24"/>
              </w:rPr>
            </w:pPr>
            <w:r w:rsidRPr="00AE3F1B">
              <w:rPr>
                <w:rFonts w:ascii="Garamond" w:eastAsia="Calibri" w:hAnsi="Garamond" w:cs="Calibri"/>
                <w:sz w:val="24"/>
                <w:szCs w:val="24"/>
              </w:rPr>
              <w:t>Operator</w:t>
            </w:r>
          </w:p>
        </w:tc>
        <w:tc>
          <w:tcPr>
            <w:tcW w:w="7580" w:type="dxa"/>
            <w:tcBorders>
              <w:top w:val="single" w:sz="2" w:space="0" w:color="000000"/>
              <w:left w:val="single" w:sz="2" w:space="0" w:color="000000"/>
              <w:bottom w:val="single" w:sz="2" w:space="0" w:color="000000"/>
              <w:right w:val="single" w:sz="2" w:space="0" w:color="000000"/>
            </w:tcBorders>
          </w:tcPr>
          <w:p w14:paraId="6E8F048E" w14:textId="57944601" w:rsidR="0026196A" w:rsidRPr="00AE3F1B" w:rsidRDefault="0026196A" w:rsidP="00AA279F">
            <w:pPr>
              <w:spacing w:line="259" w:lineRule="auto"/>
              <w:ind w:left="106" w:right="-3"/>
              <w:jc w:val="left"/>
              <w:rPr>
                <w:rFonts w:ascii="Garamond" w:hAnsi="Garamond"/>
                <w:sz w:val="24"/>
                <w:szCs w:val="24"/>
              </w:rPr>
            </w:pPr>
            <w:r w:rsidRPr="00AE3F1B">
              <w:rPr>
                <w:rFonts w:ascii="Garamond" w:eastAsia="Calibri" w:hAnsi="Garamond" w:cs="Calibri"/>
                <w:sz w:val="24"/>
                <w:szCs w:val="24"/>
              </w:rPr>
              <w:t>Operator</w:t>
            </w:r>
            <w:r w:rsidR="00F911AF">
              <w:rPr>
                <w:rFonts w:ascii="Garamond" w:eastAsia="Calibri" w:hAnsi="Garamond" w:cs="Calibri"/>
                <w:sz w:val="24"/>
                <w:szCs w:val="24"/>
              </w:rPr>
              <w:t xml:space="preserve"> </w:t>
            </w:r>
            <w:r w:rsidRPr="00AE3F1B">
              <w:rPr>
                <w:rFonts w:ascii="Garamond" w:eastAsia="Calibri" w:hAnsi="Garamond" w:cs="Calibri"/>
                <w:sz w:val="24"/>
                <w:szCs w:val="24"/>
              </w:rPr>
              <w:t>systemu</w:t>
            </w:r>
            <w:r w:rsidR="00F911AF">
              <w:rPr>
                <w:rFonts w:ascii="Garamond" w:eastAsia="Calibri" w:hAnsi="Garamond" w:cs="Calibri"/>
                <w:sz w:val="24"/>
                <w:szCs w:val="24"/>
              </w:rPr>
              <w:t xml:space="preserve"> </w:t>
            </w:r>
            <w:r w:rsidRPr="00AE3F1B">
              <w:rPr>
                <w:rFonts w:ascii="Garamond" w:eastAsia="Calibri" w:hAnsi="Garamond" w:cs="Calibri"/>
                <w:sz w:val="24"/>
                <w:szCs w:val="24"/>
              </w:rPr>
              <w:t>przesyłowego</w:t>
            </w:r>
            <w:r w:rsidR="00F911AF">
              <w:rPr>
                <w:rFonts w:ascii="Garamond" w:eastAsia="Calibri" w:hAnsi="Garamond" w:cs="Calibri"/>
                <w:sz w:val="24"/>
                <w:szCs w:val="24"/>
              </w:rPr>
              <w:t xml:space="preserve"> </w:t>
            </w:r>
            <w:r w:rsidRPr="00AE3F1B">
              <w:rPr>
                <w:rFonts w:ascii="Garamond" w:eastAsia="Calibri" w:hAnsi="Garamond" w:cs="Calibri"/>
                <w:sz w:val="24"/>
                <w:szCs w:val="24"/>
              </w:rPr>
              <w:t>lub</w:t>
            </w:r>
            <w:r w:rsidR="00F911AF">
              <w:rPr>
                <w:rFonts w:ascii="Garamond" w:eastAsia="Calibri" w:hAnsi="Garamond" w:cs="Calibri"/>
                <w:sz w:val="24"/>
                <w:szCs w:val="24"/>
              </w:rPr>
              <w:t xml:space="preserve"> </w:t>
            </w:r>
            <w:r w:rsidRPr="00AE3F1B">
              <w:rPr>
                <w:rFonts w:ascii="Garamond" w:eastAsia="Calibri" w:hAnsi="Garamond" w:cs="Calibri"/>
                <w:sz w:val="24"/>
                <w:szCs w:val="24"/>
              </w:rPr>
              <w:t>operator</w:t>
            </w:r>
            <w:r w:rsidR="00F911AF">
              <w:rPr>
                <w:rFonts w:ascii="Garamond" w:eastAsia="Calibri" w:hAnsi="Garamond" w:cs="Calibri"/>
                <w:sz w:val="24"/>
                <w:szCs w:val="24"/>
              </w:rPr>
              <w:t xml:space="preserve"> </w:t>
            </w:r>
            <w:r w:rsidRPr="00AE3F1B">
              <w:rPr>
                <w:rFonts w:ascii="Garamond" w:eastAsia="Calibri" w:hAnsi="Garamond" w:cs="Calibri"/>
                <w:sz w:val="24"/>
                <w:szCs w:val="24"/>
              </w:rPr>
              <w:t>systemu dystrybucyjnego.</w:t>
            </w:r>
          </w:p>
        </w:tc>
      </w:tr>
      <w:tr w:rsidR="0026196A" w:rsidRPr="00AE3F1B" w14:paraId="4C66DFBF" w14:textId="77777777" w:rsidTr="00012668">
        <w:tblPrEx>
          <w:tblCellMar>
            <w:top w:w="27" w:type="dxa"/>
            <w:left w:w="39" w:type="dxa"/>
            <w:right w:w="29" w:type="dxa"/>
          </w:tblCellMar>
        </w:tblPrEx>
        <w:trPr>
          <w:trHeight w:val="691"/>
        </w:trPr>
        <w:tc>
          <w:tcPr>
            <w:tcW w:w="2059" w:type="dxa"/>
            <w:tcBorders>
              <w:top w:val="single" w:sz="2" w:space="0" w:color="000000"/>
              <w:left w:val="single" w:sz="2" w:space="0" w:color="000000"/>
              <w:bottom w:val="single" w:sz="2" w:space="0" w:color="000000"/>
              <w:right w:val="single" w:sz="2" w:space="0" w:color="000000"/>
            </w:tcBorders>
          </w:tcPr>
          <w:p w14:paraId="6DB4A2B6" w14:textId="77777777" w:rsidR="0026196A" w:rsidRPr="00AE3F1B" w:rsidRDefault="0026196A" w:rsidP="00012668">
            <w:pPr>
              <w:spacing w:line="259" w:lineRule="auto"/>
              <w:ind w:left="24" w:right="-3" w:hanging="24"/>
              <w:jc w:val="left"/>
              <w:rPr>
                <w:rFonts w:ascii="Garamond" w:hAnsi="Garamond"/>
                <w:sz w:val="24"/>
                <w:szCs w:val="24"/>
              </w:rPr>
            </w:pPr>
            <w:r w:rsidRPr="00AE3F1B">
              <w:rPr>
                <w:rFonts w:ascii="Garamond" w:eastAsia="Calibri" w:hAnsi="Garamond" w:cs="Calibri"/>
                <w:sz w:val="24"/>
                <w:szCs w:val="24"/>
              </w:rPr>
              <w:t>Operator handlowy (OH)</w:t>
            </w:r>
          </w:p>
        </w:tc>
        <w:tc>
          <w:tcPr>
            <w:tcW w:w="7580" w:type="dxa"/>
            <w:tcBorders>
              <w:top w:val="single" w:sz="2" w:space="0" w:color="000000"/>
              <w:left w:val="single" w:sz="2" w:space="0" w:color="000000"/>
              <w:bottom w:val="single" w:sz="2" w:space="0" w:color="000000"/>
              <w:right w:val="single" w:sz="2" w:space="0" w:color="000000"/>
            </w:tcBorders>
          </w:tcPr>
          <w:p w14:paraId="45D30B57" w14:textId="77777777" w:rsidR="0026196A" w:rsidRPr="00AE3F1B" w:rsidRDefault="0026196A" w:rsidP="00AA279F">
            <w:pPr>
              <w:spacing w:line="259" w:lineRule="auto"/>
              <w:ind w:left="106" w:right="-3"/>
              <w:jc w:val="left"/>
              <w:rPr>
                <w:rFonts w:ascii="Garamond" w:hAnsi="Garamond"/>
                <w:sz w:val="24"/>
                <w:szCs w:val="24"/>
              </w:rPr>
            </w:pPr>
            <w:r w:rsidRPr="00AE3F1B">
              <w:rPr>
                <w:rFonts w:ascii="Garamond" w:eastAsia="Calibri" w:hAnsi="Garamond" w:cs="Calibri"/>
                <w:sz w:val="24"/>
                <w:szCs w:val="24"/>
              </w:rPr>
              <w:t>Podmiot, który jest odpowiedzialny za dysponowanie Jednostką Grafikową Uczestnika Rynku Bilansującego w zakresie handlowym.</w:t>
            </w:r>
          </w:p>
        </w:tc>
      </w:tr>
      <w:tr w:rsidR="0026196A" w:rsidRPr="00AE3F1B" w14:paraId="3A537087" w14:textId="77777777" w:rsidTr="00012668">
        <w:tblPrEx>
          <w:tblCellMar>
            <w:top w:w="27" w:type="dxa"/>
            <w:left w:w="39" w:type="dxa"/>
            <w:right w:w="29" w:type="dxa"/>
          </w:tblCellMar>
        </w:tblPrEx>
        <w:trPr>
          <w:trHeight w:val="691"/>
        </w:trPr>
        <w:tc>
          <w:tcPr>
            <w:tcW w:w="2059" w:type="dxa"/>
            <w:tcBorders>
              <w:top w:val="single" w:sz="2" w:space="0" w:color="000000"/>
              <w:left w:val="single" w:sz="2" w:space="0" w:color="000000"/>
              <w:bottom w:val="single" w:sz="2" w:space="0" w:color="000000"/>
              <w:right w:val="single" w:sz="2" w:space="0" w:color="000000"/>
            </w:tcBorders>
          </w:tcPr>
          <w:p w14:paraId="21A285BE" w14:textId="77777777" w:rsidR="0026196A" w:rsidRPr="00AE3F1B" w:rsidRDefault="0026196A" w:rsidP="00012668">
            <w:pPr>
              <w:spacing w:line="259" w:lineRule="auto"/>
              <w:ind w:left="24" w:right="-3" w:hanging="24"/>
              <w:jc w:val="left"/>
              <w:rPr>
                <w:rFonts w:ascii="Garamond" w:hAnsi="Garamond"/>
                <w:sz w:val="24"/>
                <w:szCs w:val="24"/>
              </w:rPr>
            </w:pPr>
            <w:r w:rsidRPr="00AE3F1B">
              <w:rPr>
                <w:rFonts w:ascii="Garamond" w:eastAsia="Calibri" w:hAnsi="Garamond" w:cs="Calibri"/>
                <w:sz w:val="24"/>
                <w:szCs w:val="24"/>
              </w:rPr>
              <w:t>Operator handlowo Techniczny (OHT)</w:t>
            </w:r>
          </w:p>
        </w:tc>
        <w:tc>
          <w:tcPr>
            <w:tcW w:w="7580" w:type="dxa"/>
            <w:tcBorders>
              <w:top w:val="single" w:sz="2" w:space="0" w:color="000000"/>
              <w:left w:val="single" w:sz="2" w:space="0" w:color="000000"/>
              <w:bottom w:val="single" w:sz="2" w:space="0" w:color="000000"/>
              <w:right w:val="single" w:sz="2" w:space="0" w:color="000000"/>
            </w:tcBorders>
          </w:tcPr>
          <w:p w14:paraId="72F19E51" w14:textId="77777777" w:rsidR="0026196A" w:rsidRPr="00AE3F1B" w:rsidRDefault="0026196A" w:rsidP="00AA279F">
            <w:pPr>
              <w:spacing w:line="259" w:lineRule="auto"/>
              <w:ind w:left="106" w:right="-3"/>
              <w:jc w:val="left"/>
              <w:rPr>
                <w:rFonts w:ascii="Garamond" w:hAnsi="Garamond"/>
                <w:sz w:val="24"/>
                <w:szCs w:val="24"/>
              </w:rPr>
            </w:pPr>
            <w:r w:rsidRPr="00AE3F1B">
              <w:rPr>
                <w:rFonts w:ascii="Garamond" w:eastAsia="Calibri" w:hAnsi="Garamond" w:cs="Calibri"/>
                <w:sz w:val="24"/>
                <w:szCs w:val="24"/>
              </w:rPr>
              <w:t>Podmiot, który jest odpowiedzialny za dysponowanie Jednostką Grafikową Uczestnika Rynku Bilansującego w zakresie handlowym i technicznym.</w:t>
            </w:r>
          </w:p>
        </w:tc>
      </w:tr>
      <w:tr w:rsidR="0026196A" w:rsidRPr="00AE3F1B" w14:paraId="682ABFD1" w14:textId="77777777" w:rsidTr="00012668">
        <w:tblPrEx>
          <w:tblCellMar>
            <w:top w:w="27" w:type="dxa"/>
            <w:left w:w="39" w:type="dxa"/>
            <w:right w:w="29" w:type="dxa"/>
          </w:tblCellMar>
        </w:tblPrEx>
        <w:trPr>
          <w:trHeight w:val="840"/>
        </w:trPr>
        <w:tc>
          <w:tcPr>
            <w:tcW w:w="2059" w:type="dxa"/>
            <w:tcBorders>
              <w:top w:val="single" w:sz="2" w:space="0" w:color="000000"/>
              <w:left w:val="single" w:sz="2" w:space="0" w:color="000000"/>
              <w:bottom w:val="single" w:sz="2" w:space="0" w:color="000000"/>
              <w:right w:val="single" w:sz="2" w:space="0" w:color="000000"/>
            </w:tcBorders>
          </w:tcPr>
          <w:p w14:paraId="2E10C27C" w14:textId="77777777" w:rsidR="0026196A" w:rsidRPr="00AE3F1B" w:rsidRDefault="0026196A" w:rsidP="00012668">
            <w:pPr>
              <w:spacing w:line="259" w:lineRule="auto"/>
              <w:ind w:left="24" w:right="-3" w:hanging="24"/>
              <w:jc w:val="left"/>
              <w:rPr>
                <w:rFonts w:ascii="Garamond" w:hAnsi="Garamond"/>
                <w:sz w:val="24"/>
                <w:szCs w:val="24"/>
              </w:rPr>
            </w:pPr>
            <w:r w:rsidRPr="00AE3F1B">
              <w:rPr>
                <w:rFonts w:ascii="Garamond" w:eastAsia="Calibri" w:hAnsi="Garamond" w:cs="Calibri"/>
                <w:sz w:val="24"/>
                <w:szCs w:val="24"/>
              </w:rPr>
              <w:t>Operator ogólnodostępnej stacji ładowania</w:t>
            </w:r>
          </w:p>
        </w:tc>
        <w:tc>
          <w:tcPr>
            <w:tcW w:w="7580" w:type="dxa"/>
            <w:tcBorders>
              <w:top w:val="single" w:sz="2" w:space="0" w:color="000000"/>
              <w:left w:val="single" w:sz="2" w:space="0" w:color="000000"/>
              <w:bottom w:val="single" w:sz="2" w:space="0" w:color="000000"/>
              <w:right w:val="single" w:sz="2" w:space="0" w:color="000000"/>
            </w:tcBorders>
            <w:vAlign w:val="center"/>
          </w:tcPr>
          <w:p w14:paraId="5401E7E9" w14:textId="0E2D2177" w:rsidR="0026196A" w:rsidRPr="00AE3F1B" w:rsidRDefault="0026196A" w:rsidP="00012668">
            <w:pPr>
              <w:spacing w:line="259" w:lineRule="auto"/>
              <w:ind w:right="-3"/>
              <w:jc w:val="left"/>
              <w:rPr>
                <w:rFonts w:ascii="Garamond" w:hAnsi="Garamond"/>
                <w:sz w:val="24"/>
                <w:szCs w:val="24"/>
              </w:rPr>
            </w:pPr>
            <w:r w:rsidRPr="00AE3F1B">
              <w:rPr>
                <w:rFonts w:ascii="Garamond" w:eastAsia="Calibri" w:hAnsi="Garamond" w:cs="Calibri"/>
                <w:sz w:val="24"/>
                <w:szCs w:val="24"/>
              </w:rPr>
              <w:t>Podmiot odpowiedzialny za</w:t>
            </w:r>
            <w:r w:rsidR="00012668">
              <w:rPr>
                <w:rFonts w:ascii="Garamond" w:eastAsia="Calibri" w:hAnsi="Garamond" w:cs="Calibri"/>
                <w:sz w:val="24"/>
                <w:szCs w:val="24"/>
              </w:rPr>
              <w:t xml:space="preserve"> </w:t>
            </w:r>
            <w:r w:rsidRPr="00AE3F1B">
              <w:rPr>
                <w:rFonts w:ascii="Garamond" w:eastAsia="Calibri" w:hAnsi="Garamond" w:cs="Calibri"/>
                <w:sz w:val="24"/>
                <w:szCs w:val="24"/>
              </w:rPr>
              <w:t>budowę,</w:t>
            </w:r>
            <w:r w:rsidR="00F911AF">
              <w:rPr>
                <w:rFonts w:ascii="Garamond" w:eastAsia="Calibri" w:hAnsi="Garamond" w:cs="Calibri"/>
                <w:sz w:val="24"/>
                <w:szCs w:val="24"/>
              </w:rPr>
              <w:t xml:space="preserve"> </w:t>
            </w:r>
            <w:r w:rsidRPr="00AE3F1B">
              <w:rPr>
                <w:rFonts w:ascii="Garamond" w:eastAsia="Calibri" w:hAnsi="Garamond" w:cs="Calibri"/>
                <w:sz w:val="24"/>
                <w:szCs w:val="24"/>
              </w:rPr>
              <w:t>zarządzanie,</w:t>
            </w:r>
            <w:r w:rsidR="00012668">
              <w:rPr>
                <w:rFonts w:ascii="Garamond" w:eastAsia="Calibri" w:hAnsi="Garamond" w:cs="Calibri"/>
                <w:sz w:val="24"/>
                <w:szCs w:val="24"/>
              </w:rPr>
              <w:t xml:space="preserve"> </w:t>
            </w:r>
            <w:r w:rsidRPr="00AE3F1B">
              <w:rPr>
                <w:rFonts w:ascii="Garamond" w:eastAsia="Calibri" w:hAnsi="Garamond" w:cs="Calibri"/>
                <w:sz w:val="24"/>
                <w:szCs w:val="24"/>
              </w:rPr>
              <w:t>bezpieczeńst</w:t>
            </w:r>
            <w:r w:rsidR="00012668">
              <w:rPr>
                <w:rFonts w:ascii="Garamond" w:eastAsia="Calibri" w:hAnsi="Garamond" w:cs="Calibri"/>
                <w:sz w:val="24"/>
                <w:szCs w:val="24"/>
              </w:rPr>
              <w:t xml:space="preserve">wo </w:t>
            </w:r>
            <w:r w:rsidRPr="00AE3F1B">
              <w:rPr>
                <w:rFonts w:ascii="Garamond" w:eastAsia="Calibri" w:hAnsi="Garamond" w:cs="Calibri"/>
                <w:sz w:val="24"/>
                <w:szCs w:val="24"/>
              </w:rPr>
              <w:t>funkcjonowania, eksploatację, konserwację i remonty ogólnodostępnej stacji ładowania.</w:t>
            </w:r>
          </w:p>
        </w:tc>
      </w:tr>
      <w:tr w:rsidR="0026196A" w:rsidRPr="00AE3F1B" w14:paraId="7A4BD539" w14:textId="77777777" w:rsidTr="00012668">
        <w:tblPrEx>
          <w:tblCellMar>
            <w:top w:w="27" w:type="dxa"/>
            <w:left w:w="39" w:type="dxa"/>
            <w:right w:w="29" w:type="dxa"/>
          </w:tblCellMar>
        </w:tblPrEx>
        <w:trPr>
          <w:trHeight w:val="1022"/>
        </w:trPr>
        <w:tc>
          <w:tcPr>
            <w:tcW w:w="2059" w:type="dxa"/>
            <w:tcBorders>
              <w:top w:val="single" w:sz="2" w:space="0" w:color="000000"/>
              <w:left w:val="single" w:sz="2" w:space="0" w:color="000000"/>
              <w:bottom w:val="single" w:sz="2" w:space="0" w:color="000000"/>
              <w:right w:val="single" w:sz="2" w:space="0" w:color="000000"/>
            </w:tcBorders>
          </w:tcPr>
          <w:p w14:paraId="4B0D9D86" w14:textId="77777777" w:rsidR="0026196A" w:rsidRPr="00AE3F1B" w:rsidRDefault="0026196A" w:rsidP="00012668">
            <w:pPr>
              <w:spacing w:line="259" w:lineRule="auto"/>
              <w:ind w:left="24" w:right="-3" w:hanging="24"/>
              <w:jc w:val="left"/>
              <w:rPr>
                <w:rFonts w:ascii="Garamond" w:hAnsi="Garamond"/>
                <w:sz w:val="24"/>
                <w:szCs w:val="24"/>
              </w:rPr>
            </w:pPr>
            <w:r w:rsidRPr="00AE3F1B">
              <w:rPr>
                <w:rFonts w:ascii="Garamond" w:eastAsia="Calibri" w:hAnsi="Garamond" w:cs="Calibri"/>
                <w:sz w:val="24"/>
                <w:szCs w:val="24"/>
              </w:rPr>
              <w:t>Operator pomiarów</w:t>
            </w:r>
          </w:p>
        </w:tc>
        <w:tc>
          <w:tcPr>
            <w:tcW w:w="7580" w:type="dxa"/>
            <w:tcBorders>
              <w:top w:val="single" w:sz="2" w:space="0" w:color="000000"/>
              <w:left w:val="single" w:sz="2" w:space="0" w:color="000000"/>
              <w:bottom w:val="single" w:sz="2" w:space="0" w:color="000000"/>
              <w:right w:val="single" w:sz="2" w:space="0" w:color="000000"/>
            </w:tcBorders>
            <w:vAlign w:val="center"/>
          </w:tcPr>
          <w:p w14:paraId="64610D65" w14:textId="27D0A479" w:rsidR="0026196A" w:rsidRPr="00AE3F1B" w:rsidRDefault="0026196A" w:rsidP="00AA279F">
            <w:pPr>
              <w:spacing w:line="259" w:lineRule="auto"/>
              <w:ind w:left="90" w:right="-3" w:hanging="90"/>
              <w:jc w:val="left"/>
              <w:rPr>
                <w:rFonts w:ascii="Garamond" w:hAnsi="Garamond"/>
                <w:sz w:val="24"/>
                <w:szCs w:val="24"/>
              </w:rPr>
            </w:pPr>
            <w:r w:rsidRPr="00AE3F1B">
              <w:rPr>
                <w:rFonts w:ascii="Garamond" w:eastAsia="Calibri" w:hAnsi="Garamond" w:cs="Calibri"/>
                <w:sz w:val="24"/>
                <w:szCs w:val="24"/>
              </w:rPr>
              <w:t>Podmiot odpowiedzialny za zbieranie, przetwarzanie i udostępnianie danych pomiarowych oraz pomiarowo- rozliczeniowych energii elektrycznej, a także za utrzymanie i eksploatacje układów pomiarowych i pomiarowo-rozliczeniowych.</w:t>
            </w:r>
          </w:p>
        </w:tc>
      </w:tr>
      <w:tr w:rsidR="0026196A" w:rsidRPr="00AE3F1B" w14:paraId="51AD6CE6" w14:textId="77777777" w:rsidTr="00012668">
        <w:tblPrEx>
          <w:tblCellMar>
            <w:top w:w="27" w:type="dxa"/>
            <w:left w:w="39" w:type="dxa"/>
            <w:right w:w="29" w:type="dxa"/>
          </w:tblCellMar>
        </w:tblPrEx>
        <w:trPr>
          <w:trHeight w:val="1353"/>
        </w:trPr>
        <w:tc>
          <w:tcPr>
            <w:tcW w:w="2059" w:type="dxa"/>
            <w:tcBorders>
              <w:top w:val="single" w:sz="2" w:space="0" w:color="000000"/>
              <w:left w:val="single" w:sz="2" w:space="0" w:color="000000"/>
              <w:bottom w:val="single" w:sz="2" w:space="0" w:color="000000"/>
              <w:right w:val="single" w:sz="2" w:space="0" w:color="000000"/>
            </w:tcBorders>
          </w:tcPr>
          <w:p w14:paraId="4A3FDD5F" w14:textId="77777777" w:rsidR="0026196A" w:rsidRPr="00AE3F1B" w:rsidRDefault="0026196A" w:rsidP="00012668">
            <w:pPr>
              <w:spacing w:line="259" w:lineRule="auto"/>
              <w:ind w:left="24" w:right="-3" w:hanging="24"/>
              <w:jc w:val="left"/>
              <w:rPr>
                <w:rFonts w:ascii="Garamond" w:hAnsi="Garamond"/>
                <w:sz w:val="24"/>
                <w:szCs w:val="24"/>
              </w:rPr>
            </w:pPr>
            <w:r w:rsidRPr="00AE3F1B">
              <w:rPr>
                <w:rFonts w:ascii="Garamond" w:eastAsia="Calibri" w:hAnsi="Garamond" w:cs="Calibri"/>
                <w:sz w:val="24"/>
                <w:szCs w:val="24"/>
              </w:rPr>
              <w:t>Operator systemu Dystrybucyjnego</w:t>
            </w:r>
          </w:p>
        </w:tc>
        <w:tc>
          <w:tcPr>
            <w:tcW w:w="7580" w:type="dxa"/>
            <w:tcBorders>
              <w:top w:val="single" w:sz="2" w:space="0" w:color="000000"/>
              <w:left w:val="single" w:sz="2" w:space="0" w:color="000000"/>
              <w:bottom w:val="single" w:sz="2" w:space="0" w:color="000000"/>
              <w:right w:val="single" w:sz="2" w:space="0" w:color="000000"/>
            </w:tcBorders>
          </w:tcPr>
          <w:p w14:paraId="0F1C747C" w14:textId="77777777" w:rsidR="0026196A" w:rsidRPr="00AE3F1B" w:rsidRDefault="0026196A" w:rsidP="00AA279F">
            <w:pPr>
              <w:spacing w:line="259" w:lineRule="auto"/>
              <w:ind w:left="90" w:right="-3" w:hanging="90"/>
              <w:jc w:val="left"/>
              <w:rPr>
                <w:rFonts w:ascii="Garamond" w:hAnsi="Garamond"/>
                <w:sz w:val="24"/>
                <w:szCs w:val="24"/>
              </w:rPr>
            </w:pPr>
            <w:r w:rsidRPr="00AE3F1B">
              <w:rPr>
                <w:rFonts w:ascii="Garamond" w:eastAsia="Calibri" w:hAnsi="Garamond" w:cs="Calibri"/>
                <w:sz w:val="24"/>
                <w:szCs w:val="24"/>
              </w:rPr>
              <w:t>Przedsiębiorstwo energetyczne zajmujące się dystrybucją energii elektrycznej, odpowiedzialne za ruch sieciowy w systemie dystrybucyjnym, bieżące i długookresowe bezpieczeństwo funkcjonowania tego systemu, eksploatację, konserwację, remonty oraz niezbędną rozbudowę sieci dystrybucyjnej, w tym połączeń z innymi systemami elektroenergetycznymi.</w:t>
            </w:r>
          </w:p>
        </w:tc>
      </w:tr>
      <w:tr w:rsidR="0002655A" w:rsidRPr="00AE3F1B" w14:paraId="36489B3B" w14:textId="77777777" w:rsidTr="00012668">
        <w:tblPrEx>
          <w:tblCellMar>
            <w:top w:w="43" w:type="dxa"/>
            <w:left w:w="53" w:type="dxa"/>
            <w:right w:w="55" w:type="dxa"/>
          </w:tblCellMar>
        </w:tblPrEx>
        <w:trPr>
          <w:trHeight w:val="1364"/>
        </w:trPr>
        <w:tc>
          <w:tcPr>
            <w:tcW w:w="2059" w:type="dxa"/>
            <w:tcBorders>
              <w:top w:val="nil"/>
              <w:left w:val="single" w:sz="2" w:space="0" w:color="000000"/>
              <w:bottom w:val="single" w:sz="2" w:space="0" w:color="000000"/>
              <w:right w:val="single" w:sz="2" w:space="0" w:color="000000"/>
            </w:tcBorders>
          </w:tcPr>
          <w:p w14:paraId="053781B5" w14:textId="77777777" w:rsidR="0002655A" w:rsidRPr="00AE3F1B" w:rsidRDefault="0002655A" w:rsidP="00012668">
            <w:pPr>
              <w:spacing w:line="259" w:lineRule="auto"/>
              <w:ind w:left="24" w:right="-3" w:hanging="24"/>
              <w:jc w:val="left"/>
              <w:rPr>
                <w:rFonts w:ascii="Garamond" w:hAnsi="Garamond"/>
                <w:sz w:val="24"/>
                <w:szCs w:val="24"/>
              </w:rPr>
            </w:pPr>
            <w:r w:rsidRPr="00AE3F1B">
              <w:rPr>
                <w:rFonts w:ascii="Garamond" w:hAnsi="Garamond"/>
                <w:sz w:val="24"/>
                <w:szCs w:val="24"/>
              </w:rPr>
              <w:t>Operator systemu przesyłowego</w:t>
            </w:r>
          </w:p>
        </w:tc>
        <w:tc>
          <w:tcPr>
            <w:tcW w:w="7580" w:type="dxa"/>
            <w:tcBorders>
              <w:top w:val="nil"/>
              <w:left w:val="single" w:sz="2" w:space="0" w:color="000000"/>
              <w:bottom w:val="single" w:sz="2" w:space="0" w:color="000000"/>
              <w:right w:val="single" w:sz="2" w:space="0" w:color="000000"/>
            </w:tcBorders>
          </w:tcPr>
          <w:p w14:paraId="3D77C18A" w14:textId="77777777" w:rsidR="0002655A" w:rsidRPr="00AE3F1B" w:rsidRDefault="0002655A" w:rsidP="00AA279F">
            <w:pPr>
              <w:spacing w:line="259" w:lineRule="auto"/>
              <w:ind w:left="90" w:right="-3" w:hanging="90"/>
              <w:jc w:val="left"/>
              <w:rPr>
                <w:rFonts w:ascii="Garamond" w:hAnsi="Garamond"/>
                <w:sz w:val="24"/>
                <w:szCs w:val="24"/>
              </w:rPr>
            </w:pPr>
            <w:r w:rsidRPr="00AE3F1B">
              <w:rPr>
                <w:rFonts w:ascii="Garamond" w:hAnsi="Garamond"/>
                <w:sz w:val="24"/>
                <w:szCs w:val="24"/>
              </w:rPr>
              <w:t>Przedsiębiorstwo energetyczne zajmujące się przesyłaniem energii elektrycznej, odpowiedzialne za ruch sieciowy w systemie przesyłowym, bieżące i długookresowe bezpieczeństwo funkcjonowania tego systemu, eksploatację, konserwację, remonty oraz niezbędną rozbudowę sieci przesyłowej, w tym połączeń z innymi systemami elektroenergetycznymi.</w:t>
            </w:r>
          </w:p>
        </w:tc>
      </w:tr>
      <w:tr w:rsidR="0002655A" w:rsidRPr="00AE3F1B" w14:paraId="1EF5421B" w14:textId="77777777" w:rsidTr="00012668">
        <w:tblPrEx>
          <w:tblCellMar>
            <w:top w:w="43" w:type="dxa"/>
            <w:left w:w="53" w:type="dxa"/>
            <w:right w:w="55" w:type="dxa"/>
          </w:tblCellMar>
        </w:tblPrEx>
        <w:trPr>
          <w:trHeight w:val="1086"/>
        </w:trPr>
        <w:tc>
          <w:tcPr>
            <w:tcW w:w="2059" w:type="dxa"/>
            <w:tcBorders>
              <w:top w:val="single" w:sz="2" w:space="0" w:color="000000"/>
              <w:left w:val="single" w:sz="2" w:space="0" w:color="000000"/>
              <w:bottom w:val="single" w:sz="2" w:space="0" w:color="000000"/>
              <w:right w:val="single" w:sz="2" w:space="0" w:color="000000"/>
            </w:tcBorders>
          </w:tcPr>
          <w:p w14:paraId="1A7806F2" w14:textId="1C7C76B6" w:rsidR="0002655A" w:rsidRPr="00AE3F1B" w:rsidRDefault="0002655A" w:rsidP="00012668">
            <w:pPr>
              <w:spacing w:line="259" w:lineRule="auto"/>
              <w:ind w:left="24" w:right="-3" w:hanging="24"/>
              <w:jc w:val="left"/>
              <w:rPr>
                <w:rFonts w:ascii="Garamond" w:hAnsi="Garamond"/>
                <w:sz w:val="24"/>
                <w:szCs w:val="24"/>
              </w:rPr>
            </w:pPr>
            <w:r w:rsidRPr="00AE3F1B">
              <w:rPr>
                <w:rFonts w:ascii="Garamond" w:hAnsi="Garamond"/>
                <w:sz w:val="24"/>
                <w:szCs w:val="24"/>
              </w:rPr>
              <w:lastRenderedPageBreak/>
              <w:t xml:space="preserve">Podmiot ubiegający się o przyłączenie do </w:t>
            </w:r>
            <w:r w:rsidR="0077061D" w:rsidRPr="00AE3F1B">
              <w:rPr>
                <w:rFonts w:ascii="Garamond" w:hAnsi="Garamond"/>
                <w:sz w:val="24"/>
                <w:szCs w:val="24"/>
              </w:rPr>
              <w:t>sieci (</w:t>
            </w:r>
            <w:r w:rsidRPr="00AE3F1B">
              <w:rPr>
                <w:rFonts w:ascii="Garamond" w:hAnsi="Garamond"/>
                <w:sz w:val="24"/>
                <w:szCs w:val="24"/>
              </w:rPr>
              <w:t>podmiot przyłączony do</w:t>
            </w:r>
            <w:r w:rsidR="00012668">
              <w:rPr>
                <w:rFonts w:ascii="Garamond" w:hAnsi="Garamond"/>
                <w:sz w:val="24"/>
                <w:szCs w:val="24"/>
              </w:rPr>
              <w:t xml:space="preserve"> </w:t>
            </w:r>
            <w:r w:rsidRPr="00AE3F1B">
              <w:rPr>
                <w:rFonts w:ascii="Garamond" w:hAnsi="Garamond"/>
                <w:sz w:val="24"/>
                <w:szCs w:val="24"/>
              </w:rPr>
              <w:t>sieci)</w:t>
            </w:r>
          </w:p>
        </w:tc>
        <w:tc>
          <w:tcPr>
            <w:tcW w:w="7580" w:type="dxa"/>
            <w:tcBorders>
              <w:top w:val="single" w:sz="2" w:space="0" w:color="000000"/>
              <w:left w:val="single" w:sz="2" w:space="0" w:color="000000"/>
              <w:bottom w:val="single" w:sz="2" w:space="0" w:color="000000"/>
              <w:right w:val="single" w:sz="2" w:space="0" w:color="000000"/>
            </w:tcBorders>
            <w:vAlign w:val="center"/>
          </w:tcPr>
          <w:p w14:paraId="09AF2398" w14:textId="0FA7ED52" w:rsidR="0002655A" w:rsidRPr="00AE3F1B" w:rsidRDefault="0002655A" w:rsidP="00AA279F">
            <w:pPr>
              <w:spacing w:line="259" w:lineRule="auto"/>
              <w:ind w:left="90" w:right="-3" w:hanging="90"/>
              <w:jc w:val="left"/>
              <w:rPr>
                <w:rFonts w:ascii="Garamond" w:hAnsi="Garamond"/>
                <w:sz w:val="24"/>
                <w:szCs w:val="24"/>
              </w:rPr>
            </w:pPr>
            <w:r w:rsidRPr="00AE3F1B">
              <w:rPr>
                <w:rFonts w:ascii="Garamond" w:hAnsi="Garamond"/>
                <w:sz w:val="24"/>
                <w:szCs w:val="24"/>
              </w:rPr>
              <w:t>Podmiot ubiegający się o przyłączenie do sieci swoich urządzeń, instalacji lub sieci elektroenergetycznej (</w:t>
            </w:r>
            <w:r w:rsidR="0077061D" w:rsidRPr="00AE3F1B">
              <w:rPr>
                <w:rFonts w:ascii="Garamond" w:hAnsi="Garamond"/>
                <w:sz w:val="24"/>
                <w:szCs w:val="24"/>
              </w:rPr>
              <w:t>podmiot,</w:t>
            </w:r>
            <w:r w:rsidRPr="00AE3F1B">
              <w:rPr>
                <w:rFonts w:ascii="Garamond" w:hAnsi="Garamond"/>
                <w:sz w:val="24"/>
                <w:szCs w:val="24"/>
              </w:rPr>
              <w:t xml:space="preserve"> którego urządzenia, instalacje i sieci są przyłączone do sieci elektroenergetycznej).</w:t>
            </w:r>
          </w:p>
        </w:tc>
      </w:tr>
      <w:tr w:rsidR="0002655A" w:rsidRPr="00AE3F1B" w14:paraId="1FC8E07C" w14:textId="77777777" w:rsidTr="00012668">
        <w:tblPrEx>
          <w:tblCellMar>
            <w:top w:w="43" w:type="dxa"/>
            <w:left w:w="53" w:type="dxa"/>
            <w:right w:w="55" w:type="dxa"/>
          </w:tblCellMar>
        </w:tblPrEx>
        <w:trPr>
          <w:trHeight w:val="1708"/>
        </w:trPr>
        <w:tc>
          <w:tcPr>
            <w:tcW w:w="2059" w:type="dxa"/>
            <w:tcBorders>
              <w:top w:val="single" w:sz="2" w:space="0" w:color="000000"/>
              <w:left w:val="single" w:sz="2" w:space="0" w:color="000000"/>
              <w:bottom w:val="single" w:sz="2" w:space="0" w:color="000000"/>
              <w:right w:val="single" w:sz="2" w:space="0" w:color="000000"/>
            </w:tcBorders>
          </w:tcPr>
          <w:p w14:paraId="41F5CF04" w14:textId="77777777" w:rsidR="0002655A" w:rsidRPr="00AE3F1B" w:rsidRDefault="0002655A" w:rsidP="00012668">
            <w:pPr>
              <w:spacing w:line="259" w:lineRule="auto"/>
              <w:ind w:left="24" w:right="-3" w:hanging="24"/>
              <w:jc w:val="left"/>
              <w:rPr>
                <w:rFonts w:ascii="Garamond" w:hAnsi="Garamond"/>
                <w:sz w:val="24"/>
                <w:szCs w:val="24"/>
              </w:rPr>
            </w:pPr>
            <w:r w:rsidRPr="00AE3F1B">
              <w:rPr>
                <w:rFonts w:ascii="Garamond" w:hAnsi="Garamond"/>
                <w:sz w:val="24"/>
                <w:szCs w:val="24"/>
              </w:rPr>
              <w:t>Procedura zmiany sprzedawcy</w:t>
            </w:r>
          </w:p>
        </w:tc>
        <w:tc>
          <w:tcPr>
            <w:tcW w:w="7580" w:type="dxa"/>
            <w:tcBorders>
              <w:top w:val="single" w:sz="2" w:space="0" w:color="000000"/>
              <w:left w:val="single" w:sz="2" w:space="0" w:color="000000"/>
              <w:bottom w:val="single" w:sz="2" w:space="0" w:color="000000"/>
              <w:right w:val="single" w:sz="2" w:space="0" w:color="000000"/>
            </w:tcBorders>
          </w:tcPr>
          <w:p w14:paraId="0E1391B1" w14:textId="77CDA8C6" w:rsidR="0002655A" w:rsidRPr="00AE3F1B" w:rsidRDefault="0002655A" w:rsidP="00AA279F">
            <w:pPr>
              <w:spacing w:line="259" w:lineRule="auto"/>
              <w:ind w:left="90" w:right="-3" w:hanging="90"/>
              <w:jc w:val="left"/>
              <w:rPr>
                <w:rFonts w:ascii="Garamond" w:hAnsi="Garamond"/>
                <w:sz w:val="24"/>
                <w:szCs w:val="24"/>
              </w:rPr>
            </w:pPr>
            <w:r w:rsidRPr="00AE3F1B">
              <w:rPr>
                <w:rFonts w:ascii="Garamond" w:hAnsi="Garamond"/>
                <w:sz w:val="24"/>
                <w:szCs w:val="24"/>
              </w:rPr>
              <w:t>Zbiór działań zapoczątkowany w dniu złożenia przez odbiorcę (lub sprzedawcę w imieniu odbiorcy) wniosku o zmianę sprzedawcy, który w konsekwencji podjętych przez OSD prac, doprowadza do zmiany sprzedawcy przez odbiorcę, lub w przypadku nie spełnienia warunków koniecznych i</w:t>
            </w:r>
            <w:r w:rsidR="00012668">
              <w:rPr>
                <w:rFonts w:ascii="Garamond" w:hAnsi="Garamond"/>
                <w:sz w:val="24"/>
                <w:szCs w:val="24"/>
              </w:rPr>
              <w:t xml:space="preserve"> </w:t>
            </w:r>
            <w:r w:rsidRPr="00AE3F1B">
              <w:rPr>
                <w:rFonts w:ascii="Garamond" w:hAnsi="Garamond"/>
                <w:sz w:val="24"/>
                <w:szCs w:val="24"/>
              </w:rPr>
              <w:t>niezbędnych do realizacji procedury, do przekazania odbiorcy oraz nowemu sprzedawcy informacji o przerwaniu procesu zmiany sprzedawcy wraz z podaniem przyczyn.</w:t>
            </w:r>
          </w:p>
        </w:tc>
      </w:tr>
      <w:tr w:rsidR="0002655A" w:rsidRPr="00AE3F1B" w14:paraId="5E5FE487" w14:textId="77777777" w:rsidTr="00012668">
        <w:tblPrEx>
          <w:tblCellMar>
            <w:top w:w="43" w:type="dxa"/>
            <w:left w:w="53" w:type="dxa"/>
            <w:right w:w="55" w:type="dxa"/>
          </w:tblCellMar>
        </w:tblPrEx>
        <w:trPr>
          <w:trHeight w:val="1353"/>
        </w:trPr>
        <w:tc>
          <w:tcPr>
            <w:tcW w:w="2059" w:type="dxa"/>
            <w:tcBorders>
              <w:top w:val="single" w:sz="2" w:space="0" w:color="000000"/>
              <w:left w:val="single" w:sz="2" w:space="0" w:color="000000"/>
              <w:bottom w:val="single" w:sz="2" w:space="0" w:color="000000"/>
              <w:right w:val="single" w:sz="2" w:space="0" w:color="000000"/>
            </w:tcBorders>
          </w:tcPr>
          <w:p w14:paraId="7858BCD3" w14:textId="77777777" w:rsidR="0002655A" w:rsidRPr="00AE3F1B" w:rsidRDefault="0002655A" w:rsidP="00012668">
            <w:pPr>
              <w:spacing w:line="259" w:lineRule="auto"/>
              <w:ind w:left="24" w:right="-3" w:hanging="24"/>
              <w:jc w:val="left"/>
              <w:rPr>
                <w:rFonts w:ascii="Garamond" w:hAnsi="Garamond"/>
                <w:sz w:val="24"/>
                <w:szCs w:val="24"/>
              </w:rPr>
            </w:pPr>
            <w:r w:rsidRPr="00AE3F1B">
              <w:rPr>
                <w:rFonts w:ascii="Garamond" w:hAnsi="Garamond"/>
                <w:sz w:val="24"/>
                <w:szCs w:val="24"/>
              </w:rPr>
              <w:t>Prosument</w:t>
            </w:r>
          </w:p>
        </w:tc>
        <w:tc>
          <w:tcPr>
            <w:tcW w:w="7580" w:type="dxa"/>
            <w:tcBorders>
              <w:top w:val="single" w:sz="2" w:space="0" w:color="000000"/>
              <w:left w:val="single" w:sz="2" w:space="0" w:color="000000"/>
              <w:bottom w:val="single" w:sz="2" w:space="0" w:color="000000"/>
              <w:right w:val="single" w:sz="2" w:space="0" w:color="000000"/>
            </w:tcBorders>
          </w:tcPr>
          <w:p w14:paraId="7F50EB4D" w14:textId="22017779" w:rsidR="0002655A" w:rsidRPr="00AE3F1B" w:rsidRDefault="0002655A" w:rsidP="0075066D">
            <w:pPr>
              <w:spacing w:line="259" w:lineRule="auto"/>
              <w:ind w:left="90" w:right="-3" w:hanging="90"/>
              <w:jc w:val="left"/>
              <w:rPr>
                <w:rFonts w:ascii="Garamond" w:hAnsi="Garamond"/>
                <w:sz w:val="24"/>
                <w:szCs w:val="24"/>
              </w:rPr>
            </w:pPr>
            <w:r w:rsidRPr="00AE3F1B">
              <w:rPr>
                <w:rFonts w:ascii="Garamond" w:hAnsi="Garamond"/>
                <w:sz w:val="24"/>
                <w:szCs w:val="24"/>
              </w:rPr>
              <w:t xml:space="preserve">Odbiorca końcowy dokonujący zakupu energii elektrycznej na podstawie umowy kompleksowej, wytwarzający energię elektryczną wyłącznie z odnawialnych źródeł energii w mikroinstalacji w celu jej zużycia na potrzeby własne, niezwiązane z wykonywaną działalnością gospodarczą regulowaną ustawą z dnia 6 marca </w:t>
            </w:r>
            <w:r w:rsidR="0077061D" w:rsidRPr="00AE3F1B">
              <w:rPr>
                <w:rFonts w:ascii="Garamond" w:hAnsi="Garamond"/>
                <w:sz w:val="24"/>
                <w:szCs w:val="24"/>
              </w:rPr>
              <w:t>2018 r.</w:t>
            </w:r>
            <w:r w:rsidRPr="00AE3F1B">
              <w:rPr>
                <w:rFonts w:ascii="Garamond" w:hAnsi="Garamond"/>
                <w:sz w:val="24"/>
                <w:szCs w:val="24"/>
              </w:rPr>
              <w:t xml:space="preserve"> — Prawo przedsiębiorców (Dz.U. </w:t>
            </w:r>
            <w:r w:rsidR="0075066D">
              <w:rPr>
                <w:rFonts w:ascii="Garamond" w:hAnsi="Garamond"/>
                <w:sz w:val="24"/>
                <w:szCs w:val="24"/>
              </w:rPr>
              <w:t xml:space="preserve">z 2024 r., </w:t>
            </w:r>
            <w:r w:rsidRPr="00AE3F1B">
              <w:rPr>
                <w:rFonts w:ascii="Garamond" w:hAnsi="Garamond"/>
                <w:sz w:val="24"/>
                <w:szCs w:val="24"/>
              </w:rPr>
              <w:t>poz.</w:t>
            </w:r>
            <w:r w:rsidR="0075066D">
              <w:rPr>
                <w:rFonts w:ascii="Garamond" w:hAnsi="Garamond"/>
                <w:sz w:val="24"/>
                <w:szCs w:val="24"/>
              </w:rPr>
              <w:t>236</w:t>
            </w:r>
            <w:r w:rsidRPr="00AE3F1B">
              <w:rPr>
                <w:rFonts w:ascii="Garamond" w:hAnsi="Garamond"/>
                <w:sz w:val="24"/>
                <w:szCs w:val="24"/>
              </w:rPr>
              <w:t>).</w:t>
            </w:r>
          </w:p>
        </w:tc>
      </w:tr>
      <w:tr w:rsidR="0002655A" w:rsidRPr="00AE3F1B" w14:paraId="0A19EECD" w14:textId="77777777" w:rsidTr="00012668">
        <w:tblPrEx>
          <w:tblCellMar>
            <w:top w:w="43" w:type="dxa"/>
            <w:left w:w="53" w:type="dxa"/>
            <w:right w:w="55" w:type="dxa"/>
          </w:tblCellMar>
        </w:tblPrEx>
        <w:trPr>
          <w:trHeight w:val="1144"/>
        </w:trPr>
        <w:tc>
          <w:tcPr>
            <w:tcW w:w="2059" w:type="dxa"/>
            <w:tcBorders>
              <w:top w:val="single" w:sz="2" w:space="0" w:color="000000"/>
              <w:left w:val="single" w:sz="2" w:space="0" w:color="000000"/>
              <w:bottom w:val="single" w:sz="2" w:space="0" w:color="000000"/>
              <w:right w:val="single" w:sz="2" w:space="0" w:color="000000"/>
            </w:tcBorders>
          </w:tcPr>
          <w:p w14:paraId="1FCEFD1D" w14:textId="77777777" w:rsidR="0002655A" w:rsidRPr="00AE3F1B" w:rsidRDefault="0002655A" w:rsidP="00012668">
            <w:pPr>
              <w:spacing w:line="259" w:lineRule="auto"/>
              <w:ind w:left="24" w:right="-3" w:hanging="24"/>
              <w:jc w:val="left"/>
              <w:rPr>
                <w:rFonts w:ascii="Garamond" w:hAnsi="Garamond"/>
                <w:sz w:val="24"/>
                <w:szCs w:val="24"/>
              </w:rPr>
            </w:pPr>
            <w:r w:rsidRPr="00AE3F1B">
              <w:rPr>
                <w:rFonts w:ascii="Garamond" w:hAnsi="Garamond"/>
                <w:sz w:val="24"/>
                <w:szCs w:val="24"/>
              </w:rPr>
              <w:t>Programy łączeniowe</w:t>
            </w:r>
          </w:p>
        </w:tc>
        <w:tc>
          <w:tcPr>
            <w:tcW w:w="7580" w:type="dxa"/>
            <w:tcBorders>
              <w:top w:val="single" w:sz="2" w:space="0" w:color="000000"/>
              <w:left w:val="single" w:sz="2" w:space="0" w:color="000000"/>
              <w:bottom w:val="single" w:sz="2" w:space="0" w:color="000000"/>
              <w:right w:val="single" w:sz="2" w:space="0" w:color="000000"/>
            </w:tcBorders>
          </w:tcPr>
          <w:p w14:paraId="62D114DB" w14:textId="77777777" w:rsidR="0002655A" w:rsidRPr="00AE3F1B" w:rsidRDefault="0002655A" w:rsidP="00AA279F">
            <w:pPr>
              <w:spacing w:line="259" w:lineRule="auto"/>
              <w:ind w:left="90" w:right="-3" w:hanging="90"/>
              <w:jc w:val="left"/>
              <w:rPr>
                <w:rFonts w:ascii="Garamond" w:hAnsi="Garamond"/>
                <w:sz w:val="24"/>
                <w:szCs w:val="24"/>
              </w:rPr>
            </w:pPr>
            <w:r w:rsidRPr="00AE3F1B">
              <w:rPr>
                <w:rFonts w:ascii="Garamond" w:hAnsi="Garamond"/>
                <w:sz w:val="24"/>
                <w:szCs w:val="24"/>
              </w:rPr>
              <w:t>Procedury i czynności związane z operacjami łączeniowymi, próbami napięciowymi, tworzeniem układów przejściowych oraz włączeniami do systemu elektroenergetycznego nowych obiektów, a także po dłuższym postoju związanym z modernizacją lub przebudową.</w:t>
            </w:r>
          </w:p>
        </w:tc>
      </w:tr>
      <w:tr w:rsidR="0002655A" w:rsidRPr="00AE3F1B" w14:paraId="4A6616F8" w14:textId="77777777" w:rsidTr="00012668">
        <w:tblPrEx>
          <w:tblCellMar>
            <w:top w:w="43" w:type="dxa"/>
            <w:left w:w="53" w:type="dxa"/>
            <w:right w:w="55" w:type="dxa"/>
          </w:tblCellMar>
        </w:tblPrEx>
        <w:trPr>
          <w:trHeight w:val="576"/>
        </w:trPr>
        <w:tc>
          <w:tcPr>
            <w:tcW w:w="2059" w:type="dxa"/>
            <w:tcBorders>
              <w:top w:val="single" w:sz="2" w:space="0" w:color="000000"/>
              <w:left w:val="single" w:sz="2" w:space="0" w:color="000000"/>
              <w:bottom w:val="single" w:sz="2" w:space="0" w:color="000000"/>
              <w:right w:val="single" w:sz="2" w:space="0" w:color="000000"/>
            </w:tcBorders>
          </w:tcPr>
          <w:p w14:paraId="1FEAEEC3" w14:textId="77777777" w:rsidR="0002655A" w:rsidRPr="00AE3F1B" w:rsidRDefault="0002655A" w:rsidP="00012668">
            <w:pPr>
              <w:spacing w:line="259" w:lineRule="auto"/>
              <w:ind w:left="24" w:right="-3" w:hanging="24"/>
              <w:jc w:val="left"/>
              <w:rPr>
                <w:rFonts w:ascii="Garamond" w:hAnsi="Garamond"/>
                <w:sz w:val="24"/>
                <w:szCs w:val="24"/>
              </w:rPr>
            </w:pPr>
            <w:r w:rsidRPr="00AE3F1B">
              <w:rPr>
                <w:rFonts w:ascii="Garamond" w:hAnsi="Garamond"/>
                <w:sz w:val="24"/>
                <w:szCs w:val="24"/>
              </w:rPr>
              <w:t>Przedsiębiorstwo Energetyczne</w:t>
            </w:r>
          </w:p>
        </w:tc>
        <w:tc>
          <w:tcPr>
            <w:tcW w:w="7580" w:type="dxa"/>
            <w:tcBorders>
              <w:top w:val="single" w:sz="2" w:space="0" w:color="000000"/>
              <w:left w:val="single" w:sz="2" w:space="0" w:color="000000"/>
              <w:bottom w:val="single" w:sz="2" w:space="0" w:color="000000"/>
              <w:right w:val="single" w:sz="2" w:space="0" w:color="000000"/>
            </w:tcBorders>
          </w:tcPr>
          <w:p w14:paraId="12D682D6" w14:textId="77777777" w:rsidR="0002655A" w:rsidRPr="00AE3F1B" w:rsidRDefault="0002655A" w:rsidP="00AA279F">
            <w:pPr>
              <w:spacing w:line="259" w:lineRule="auto"/>
              <w:ind w:left="90" w:right="-3" w:hanging="90"/>
              <w:jc w:val="left"/>
              <w:rPr>
                <w:rFonts w:ascii="Garamond" w:hAnsi="Garamond"/>
                <w:sz w:val="24"/>
                <w:szCs w:val="24"/>
              </w:rPr>
            </w:pPr>
            <w:r w:rsidRPr="00AE3F1B">
              <w:rPr>
                <w:rFonts w:ascii="Garamond" w:hAnsi="Garamond"/>
                <w:sz w:val="24"/>
                <w:szCs w:val="24"/>
              </w:rPr>
              <w:t>Podmiot prowadzący działalność gospodarczą w zakresie wytwarzania, przesyłania, dystrybucji energii lub obrotu nią.</w:t>
            </w:r>
          </w:p>
        </w:tc>
      </w:tr>
      <w:tr w:rsidR="0002655A" w:rsidRPr="00AE3F1B" w14:paraId="0A3647F9" w14:textId="77777777" w:rsidTr="00012668">
        <w:tblPrEx>
          <w:tblCellMar>
            <w:top w:w="43" w:type="dxa"/>
            <w:left w:w="53" w:type="dxa"/>
            <w:right w:w="55" w:type="dxa"/>
          </w:tblCellMar>
        </w:tblPrEx>
        <w:trPr>
          <w:trHeight w:val="856"/>
        </w:trPr>
        <w:tc>
          <w:tcPr>
            <w:tcW w:w="2059" w:type="dxa"/>
            <w:tcBorders>
              <w:top w:val="single" w:sz="2" w:space="0" w:color="000000"/>
              <w:left w:val="single" w:sz="2" w:space="0" w:color="000000"/>
              <w:bottom w:val="single" w:sz="2" w:space="0" w:color="000000"/>
              <w:right w:val="single" w:sz="2" w:space="0" w:color="000000"/>
            </w:tcBorders>
          </w:tcPr>
          <w:p w14:paraId="498C1005" w14:textId="77777777" w:rsidR="0002655A" w:rsidRPr="00AE3F1B" w:rsidRDefault="0002655A" w:rsidP="00012668">
            <w:pPr>
              <w:spacing w:line="259" w:lineRule="auto"/>
              <w:ind w:left="24" w:right="-3" w:hanging="24"/>
              <w:jc w:val="left"/>
              <w:rPr>
                <w:rFonts w:ascii="Garamond" w:hAnsi="Garamond"/>
                <w:sz w:val="24"/>
                <w:szCs w:val="24"/>
              </w:rPr>
            </w:pPr>
            <w:r w:rsidRPr="00AE3F1B">
              <w:rPr>
                <w:rFonts w:ascii="Garamond" w:hAnsi="Garamond"/>
                <w:sz w:val="24"/>
                <w:szCs w:val="24"/>
              </w:rPr>
              <w:t>Przedsiębiorstwo obrotu</w:t>
            </w:r>
          </w:p>
        </w:tc>
        <w:tc>
          <w:tcPr>
            <w:tcW w:w="7580" w:type="dxa"/>
            <w:tcBorders>
              <w:top w:val="single" w:sz="2" w:space="0" w:color="000000"/>
              <w:left w:val="single" w:sz="2" w:space="0" w:color="000000"/>
              <w:bottom w:val="single" w:sz="2" w:space="0" w:color="000000"/>
              <w:right w:val="single" w:sz="2" w:space="0" w:color="000000"/>
            </w:tcBorders>
          </w:tcPr>
          <w:p w14:paraId="1D4F672F" w14:textId="77777777" w:rsidR="0002655A" w:rsidRPr="00AE3F1B" w:rsidRDefault="0002655A" w:rsidP="00C20264">
            <w:pPr>
              <w:spacing w:line="259" w:lineRule="auto"/>
              <w:ind w:left="87" w:right="-3" w:hanging="87"/>
              <w:jc w:val="left"/>
              <w:rPr>
                <w:rFonts w:ascii="Garamond" w:hAnsi="Garamond"/>
                <w:sz w:val="24"/>
                <w:szCs w:val="24"/>
              </w:rPr>
            </w:pPr>
            <w:r w:rsidRPr="00AE3F1B">
              <w:rPr>
                <w:rFonts w:ascii="Garamond" w:hAnsi="Garamond"/>
                <w:sz w:val="24"/>
                <w:szCs w:val="24"/>
              </w:rPr>
              <w:t>Przedsiębiorstwo energetyczne prowadzące działalność gospodarczą polegającą na handlu hurtowym lub detalicznym energią elektryczną, niezależnie od innych rodzajów prowadzonych działalności.</w:t>
            </w:r>
          </w:p>
        </w:tc>
      </w:tr>
      <w:tr w:rsidR="0002655A" w:rsidRPr="00AE3F1B" w14:paraId="6FF065AD" w14:textId="77777777" w:rsidTr="00012668">
        <w:tblPrEx>
          <w:tblCellMar>
            <w:top w:w="43" w:type="dxa"/>
            <w:left w:w="53" w:type="dxa"/>
            <w:right w:w="55" w:type="dxa"/>
          </w:tblCellMar>
        </w:tblPrEx>
        <w:trPr>
          <w:trHeight w:val="1086"/>
        </w:trPr>
        <w:tc>
          <w:tcPr>
            <w:tcW w:w="2059" w:type="dxa"/>
            <w:tcBorders>
              <w:top w:val="single" w:sz="2" w:space="0" w:color="000000"/>
              <w:left w:val="single" w:sz="2" w:space="0" w:color="000000"/>
              <w:bottom w:val="single" w:sz="2" w:space="0" w:color="000000"/>
              <w:right w:val="single" w:sz="2" w:space="0" w:color="000000"/>
            </w:tcBorders>
          </w:tcPr>
          <w:p w14:paraId="5F73E363" w14:textId="77777777" w:rsidR="0002655A" w:rsidRPr="00AE3F1B" w:rsidRDefault="0002655A" w:rsidP="00012668">
            <w:pPr>
              <w:spacing w:line="259" w:lineRule="auto"/>
              <w:ind w:left="24" w:right="-3" w:hanging="24"/>
              <w:jc w:val="left"/>
              <w:rPr>
                <w:rFonts w:ascii="Garamond" w:hAnsi="Garamond"/>
                <w:sz w:val="24"/>
                <w:szCs w:val="24"/>
              </w:rPr>
            </w:pPr>
            <w:r w:rsidRPr="00AE3F1B">
              <w:rPr>
                <w:rFonts w:ascii="Garamond" w:hAnsi="Garamond"/>
                <w:sz w:val="24"/>
                <w:szCs w:val="24"/>
              </w:rPr>
              <w:t>Przerwa w dostarczaniu energii elektrycznej planowana</w:t>
            </w:r>
          </w:p>
        </w:tc>
        <w:tc>
          <w:tcPr>
            <w:tcW w:w="7580" w:type="dxa"/>
            <w:tcBorders>
              <w:top w:val="single" w:sz="2" w:space="0" w:color="000000"/>
              <w:left w:val="single" w:sz="2" w:space="0" w:color="000000"/>
              <w:bottom w:val="single" w:sz="2" w:space="0" w:color="000000"/>
              <w:right w:val="single" w:sz="2" w:space="0" w:color="000000"/>
            </w:tcBorders>
            <w:vAlign w:val="center"/>
          </w:tcPr>
          <w:p w14:paraId="7BE73530" w14:textId="77777777" w:rsidR="0002655A" w:rsidRPr="00AE3F1B" w:rsidRDefault="0002655A" w:rsidP="00C20264">
            <w:pPr>
              <w:spacing w:line="259" w:lineRule="auto"/>
              <w:ind w:left="87" w:right="-3" w:hanging="87"/>
              <w:jc w:val="left"/>
              <w:rPr>
                <w:rFonts w:ascii="Garamond" w:hAnsi="Garamond"/>
                <w:sz w:val="24"/>
                <w:szCs w:val="24"/>
              </w:rPr>
            </w:pPr>
            <w:r w:rsidRPr="00AE3F1B">
              <w:rPr>
                <w:rFonts w:ascii="Garamond" w:hAnsi="Garamond"/>
                <w:sz w:val="24"/>
                <w:szCs w:val="24"/>
              </w:rPr>
              <w:t>Przerwa wynikająca z programu prac eksploatacyjnych sieci elektroenergetycznej; czas trwania tej przerwy jest liczony od momentu otwarcia wyłącznika do czasu wznowienia dostarczania energii elektrycznej.</w:t>
            </w:r>
          </w:p>
        </w:tc>
      </w:tr>
      <w:tr w:rsidR="0002655A" w:rsidRPr="00AE3F1B" w14:paraId="2E991974" w14:textId="77777777" w:rsidTr="00012668">
        <w:tblPrEx>
          <w:tblCellMar>
            <w:top w:w="43" w:type="dxa"/>
            <w:left w:w="53" w:type="dxa"/>
            <w:right w:w="55" w:type="dxa"/>
          </w:tblCellMar>
        </w:tblPrEx>
        <w:trPr>
          <w:trHeight w:val="1422"/>
        </w:trPr>
        <w:tc>
          <w:tcPr>
            <w:tcW w:w="2059" w:type="dxa"/>
            <w:tcBorders>
              <w:top w:val="single" w:sz="2" w:space="0" w:color="000000"/>
              <w:left w:val="single" w:sz="2" w:space="0" w:color="000000"/>
              <w:bottom w:val="single" w:sz="2" w:space="0" w:color="000000"/>
              <w:right w:val="single" w:sz="2" w:space="0" w:color="000000"/>
            </w:tcBorders>
          </w:tcPr>
          <w:p w14:paraId="747985C5" w14:textId="77777777" w:rsidR="0002655A" w:rsidRPr="00AE3F1B" w:rsidRDefault="0002655A" w:rsidP="00012668">
            <w:pPr>
              <w:spacing w:line="259" w:lineRule="auto"/>
              <w:ind w:left="24" w:right="-3" w:hanging="24"/>
              <w:jc w:val="left"/>
              <w:rPr>
                <w:rFonts w:ascii="Garamond" w:hAnsi="Garamond"/>
                <w:sz w:val="24"/>
                <w:szCs w:val="24"/>
              </w:rPr>
            </w:pPr>
            <w:r w:rsidRPr="00AE3F1B">
              <w:rPr>
                <w:rFonts w:ascii="Garamond" w:hAnsi="Garamond"/>
                <w:sz w:val="24"/>
                <w:szCs w:val="24"/>
              </w:rPr>
              <w:t>Przerwa w dostarczaniu energii elektrycznej nieplanowana</w:t>
            </w:r>
          </w:p>
        </w:tc>
        <w:tc>
          <w:tcPr>
            <w:tcW w:w="7580" w:type="dxa"/>
            <w:tcBorders>
              <w:top w:val="single" w:sz="2" w:space="0" w:color="000000"/>
              <w:left w:val="single" w:sz="2" w:space="0" w:color="000000"/>
              <w:bottom w:val="single" w:sz="2" w:space="0" w:color="000000"/>
              <w:right w:val="single" w:sz="2" w:space="0" w:color="000000"/>
            </w:tcBorders>
          </w:tcPr>
          <w:p w14:paraId="750DD45E" w14:textId="77777777" w:rsidR="0002655A" w:rsidRPr="00AE3F1B" w:rsidRDefault="0002655A" w:rsidP="00C20264">
            <w:pPr>
              <w:spacing w:line="259" w:lineRule="auto"/>
              <w:ind w:left="87" w:right="-3" w:hanging="87"/>
              <w:jc w:val="left"/>
              <w:rPr>
                <w:rFonts w:ascii="Garamond" w:hAnsi="Garamond"/>
                <w:sz w:val="24"/>
                <w:szCs w:val="24"/>
              </w:rPr>
            </w:pPr>
            <w:r w:rsidRPr="00AE3F1B">
              <w:rPr>
                <w:rFonts w:ascii="Garamond" w:hAnsi="Garamond"/>
                <w:sz w:val="24"/>
                <w:szCs w:val="24"/>
              </w:rPr>
              <w:t>Przerwa spowodowana wystąpieniem awarii w sieci elektroenergetycznej, przy czym czas trwania tej przerwy jest liczony od momentu uzyskania przez przedsiębiorstwo energetyczne zajmujące się przesyłaniem lub dystrybucją energii elektrycznej informacji o jej wystąpieniu do czasu wznowienia dostarczania energii elektrycznej.</w:t>
            </w:r>
          </w:p>
        </w:tc>
      </w:tr>
      <w:tr w:rsidR="0002655A" w:rsidRPr="00AE3F1B" w14:paraId="12A1B6D2" w14:textId="77777777" w:rsidTr="00012668">
        <w:tblPrEx>
          <w:tblCellMar>
            <w:top w:w="43" w:type="dxa"/>
            <w:left w:w="53" w:type="dxa"/>
            <w:right w:w="55" w:type="dxa"/>
          </w:tblCellMar>
        </w:tblPrEx>
        <w:trPr>
          <w:trHeight w:val="859"/>
        </w:trPr>
        <w:tc>
          <w:tcPr>
            <w:tcW w:w="2059" w:type="dxa"/>
            <w:tcBorders>
              <w:top w:val="single" w:sz="2" w:space="0" w:color="000000"/>
              <w:left w:val="single" w:sz="2" w:space="0" w:color="000000"/>
              <w:bottom w:val="single" w:sz="2" w:space="0" w:color="000000"/>
              <w:right w:val="single" w:sz="2" w:space="0" w:color="000000"/>
            </w:tcBorders>
          </w:tcPr>
          <w:p w14:paraId="427241FF" w14:textId="77777777" w:rsidR="0002655A" w:rsidRPr="00AE3F1B" w:rsidRDefault="0002655A" w:rsidP="00012668">
            <w:pPr>
              <w:spacing w:line="259" w:lineRule="auto"/>
              <w:ind w:left="24" w:right="-3" w:hanging="24"/>
              <w:jc w:val="left"/>
              <w:rPr>
                <w:rFonts w:ascii="Garamond" w:hAnsi="Garamond"/>
                <w:sz w:val="24"/>
                <w:szCs w:val="24"/>
              </w:rPr>
            </w:pPr>
            <w:r w:rsidRPr="00AE3F1B">
              <w:rPr>
                <w:rFonts w:ascii="Garamond" w:hAnsi="Garamond"/>
                <w:sz w:val="24"/>
                <w:szCs w:val="24"/>
              </w:rPr>
              <w:t>Przesyłanie - transport energii elektrycznej</w:t>
            </w:r>
          </w:p>
        </w:tc>
        <w:tc>
          <w:tcPr>
            <w:tcW w:w="7580" w:type="dxa"/>
            <w:tcBorders>
              <w:top w:val="single" w:sz="2" w:space="0" w:color="000000"/>
              <w:left w:val="single" w:sz="2" w:space="0" w:color="000000"/>
              <w:bottom w:val="single" w:sz="2" w:space="0" w:color="000000"/>
              <w:right w:val="single" w:sz="2" w:space="0" w:color="000000"/>
            </w:tcBorders>
          </w:tcPr>
          <w:p w14:paraId="345A98B9" w14:textId="77777777" w:rsidR="0002655A" w:rsidRPr="00AE3F1B" w:rsidRDefault="0002655A" w:rsidP="00C20264">
            <w:pPr>
              <w:spacing w:line="259" w:lineRule="auto"/>
              <w:ind w:left="87" w:right="-3" w:hanging="87"/>
              <w:jc w:val="left"/>
              <w:rPr>
                <w:rFonts w:ascii="Garamond" w:hAnsi="Garamond"/>
                <w:sz w:val="24"/>
                <w:szCs w:val="24"/>
              </w:rPr>
            </w:pPr>
            <w:r w:rsidRPr="00AE3F1B">
              <w:rPr>
                <w:rFonts w:ascii="Garamond" w:hAnsi="Garamond"/>
                <w:sz w:val="24"/>
                <w:szCs w:val="24"/>
              </w:rPr>
              <w:t>Przesyłanie-transport energii elektrycznej sieciami przesyłowymi w celu jej dostarczania do sieci dystrybucyjnych lub odbiorcom końcowym przyłączonym do sieci przesyłowych, z wyłączeniem sprzedaży energii</w:t>
            </w:r>
          </w:p>
        </w:tc>
      </w:tr>
      <w:tr w:rsidR="0002655A" w:rsidRPr="00AE3F1B" w14:paraId="0A5EFC17" w14:textId="77777777" w:rsidTr="00012668">
        <w:tblPrEx>
          <w:tblCellMar>
            <w:top w:w="43" w:type="dxa"/>
            <w:left w:w="53" w:type="dxa"/>
            <w:right w:w="55" w:type="dxa"/>
          </w:tblCellMar>
        </w:tblPrEx>
        <w:trPr>
          <w:trHeight w:val="1194"/>
        </w:trPr>
        <w:tc>
          <w:tcPr>
            <w:tcW w:w="2059" w:type="dxa"/>
            <w:tcBorders>
              <w:top w:val="single" w:sz="2" w:space="0" w:color="000000"/>
              <w:left w:val="single" w:sz="2" w:space="0" w:color="000000"/>
              <w:bottom w:val="single" w:sz="2" w:space="0" w:color="000000"/>
              <w:right w:val="single" w:sz="2" w:space="0" w:color="000000"/>
            </w:tcBorders>
          </w:tcPr>
          <w:p w14:paraId="60EF3FF3" w14:textId="77777777" w:rsidR="0002655A" w:rsidRPr="00AE3F1B" w:rsidRDefault="0002655A" w:rsidP="00012668">
            <w:pPr>
              <w:spacing w:line="259" w:lineRule="auto"/>
              <w:ind w:left="24" w:right="-3" w:hanging="24"/>
              <w:jc w:val="left"/>
              <w:rPr>
                <w:rFonts w:ascii="Garamond" w:hAnsi="Garamond"/>
                <w:sz w:val="24"/>
                <w:szCs w:val="24"/>
              </w:rPr>
            </w:pPr>
            <w:r w:rsidRPr="00AE3F1B">
              <w:rPr>
                <w:rFonts w:ascii="Garamond" w:hAnsi="Garamond"/>
                <w:sz w:val="24"/>
                <w:szCs w:val="24"/>
              </w:rPr>
              <w:t>Przyłącze</w:t>
            </w:r>
          </w:p>
        </w:tc>
        <w:tc>
          <w:tcPr>
            <w:tcW w:w="7580" w:type="dxa"/>
            <w:tcBorders>
              <w:top w:val="single" w:sz="2" w:space="0" w:color="000000"/>
              <w:left w:val="single" w:sz="2" w:space="0" w:color="000000"/>
              <w:bottom w:val="single" w:sz="2" w:space="0" w:color="000000"/>
              <w:right w:val="single" w:sz="2" w:space="0" w:color="000000"/>
            </w:tcBorders>
          </w:tcPr>
          <w:p w14:paraId="557526D1" w14:textId="77777777" w:rsidR="0002655A" w:rsidRPr="00AE3F1B" w:rsidRDefault="0002655A" w:rsidP="00C20264">
            <w:pPr>
              <w:spacing w:line="259" w:lineRule="auto"/>
              <w:ind w:left="87" w:right="-3" w:hanging="87"/>
              <w:jc w:val="left"/>
              <w:rPr>
                <w:rFonts w:ascii="Garamond" w:hAnsi="Garamond"/>
                <w:sz w:val="24"/>
                <w:szCs w:val="24"/>
              </w:rPr>
            </w:pPr>
            <w:r w:rsidRPr="00AE3F1B">
              <w:rPr>
                <w:rFonts w:ascii="Garamond" w:hAnsi="Garamond"/>
                <w:sz w:val="24"/>
                <w:szCs w:val="24"/>
              </w:rPr>
              <w:t>Odcinek lub element sieci służący do połączenia urządzeń, instalacji lub sieci odbiorcy o wymaganej przez niego mocy przyłączeniowej z siecią przedsiębiorstwa energetycznego świadczącego na rzecz tego odbiorcy usługę przesyłania lub dystrybucji.</w:t>
            </w:r>
          </w:p>
        </w:tc>
      </w:tr>
      <w:tr w:rsidR="0002655A" w:rsidRPr="00AE3F1B" w14:paraId="2FF2F2B7" w14:textId="77777777" w:rsidTr="00012668">
        <w:tblPrEx>
          <w:tblCellMar>
            <w:top w:w="43" w:type="dxa"/>
            <w:left w:w="53" w:type="dxa"/>
            <w:right w:w="55" w:type="dxa"/>
          </w:tblCellMar>
        </w:tblPrEx>
        <w:trPr>
          <w:trHeight w:val="856"/>
        </w:trPr>
        <w:tc>
          <w:tcPr>
            <w:tcW w:w="2059" w:type="dxa"/>
            <w:tcBorders>
              <w:top w:val="single" w:sz="2" w:space="0" w:color="000000"/>
              <w:left w:val="single" w:sz="2" w:space="0" w:color="000000"/>
              <w:bottom w:val="single" w:sz="2" w:space="0" w:color="000000"/>
              <w:right w:val="single" w:sz="2" w:space="0" w:color="000000"/>
            </w:tcBorders>
          </w:tcPr>
          <w:p w14:paraId="78F9C1DD" w14:textId="77777777" w:rsidR="0002655A" w:rsidRPr="00AE3F1B" w:rsidRDefault="0002655A" w:rsidP="00012668">
            <w:pPr>
              <w:spacing w:line="259" w:lineRule="auto"/>
              <w:ind w:left="24" w:right="-3" w:hanging="24"/>
              <w:jc w:val="left"/>
              <w:rPr>
                <w:rFonts w:ascii="Garamond" w:hAnsi="Garamond"/>
                <w:sz w:val="24"/>
                <w:szCs w:val="24"/>
              </w:rPr>
            </w:pPr>
            <w:r w:rsidRPr="00AE3F1B">
              <w:rPr>
                <w:rFonts w:ascii="Garamond" w:hAnsi="Garamond"/>
                <w:sz w:val="24"/>
                <w:szCs w:val="24"/>
              </w:rPr>
              <w:lastRenderedPageBreak/>
              <w:t>Punkt Dostarczania Energii</w:t>
            </w:r>
          </w:p>
        </w:tc>
        <w:tc>
          <w:tcPr>
            <w:tcW w:w="7580" w:type="dxa"/>
            <w:tcBorders>
              <w:top w:val="single" w:sz="2" w:space="0" w:color="000000"/>
              <w:left w:val="single" w:sz="2" w:space="0" w:color="000000"/>
              <w:bottom w:val="single" w:sz="2" w:space="0" w:color="000000"/>
              <w:right w:val="single" w:sz="2" w:space="0" w:color="000000"/>
            </w:tcBorders>
          </w:tcPr>
          <w:p w14:paraId="208F2E61" w14:textId="77777777" w:rsidR="0002655A" w:rsidRPr="00AE3F1B" w:rsidRDefault="0002655A" w:rsidP="00AA279F">
            <w:pPr>
              <w:spacing w:line="259" w:lineRule="auto"/>
              <w:ind w:right="-3"/>
              <w:jc w:val="left"/>
              <w:rPr>
                <w:rFonts w:ascii="Garamond" w:hAnsi="Garamond"/>
                <w:sz w:val="24"/>
                <w:szCs w:val="24"/>
              </w:rPr>
            </w:pPr>
            <w:r w:rsidRPr="00AE3F1B">
              <w:rPr>
                <w:rFonts w:ascii="Garamond" w:hAnsi="Garamond"/>
                <w:sz w:val="24"/>
                <w:szCs w:val="24"/>
              </w:rPr>
              <w:t>Miejsce przyłączenia URD do sieci dystrybucyjnej poza obszarem Rynku Bilansującego, obejmujące jeden lub więcej fizycznych punktów przyłączenia do sieci, dla których realizowany jest proces bilansowania handlowego.</w:t>
            </w:r>
          </w:p>
        </w:tc>
      </w:tr>
      <w:tr w:rsidR="0002655A" w:rsidRPr="00AE3F1B" w14:paraId="345FF12D" w14:textId="77777777" w:rsidTr="00012668">
        <w:tblPrEx>
          <w:tblCellMar>
            <w:top w:w="43" w:type="dxa"/>
            <w:left w:w="46" w:type="dxa"/>
            <w:right w:w="43" w:type="dxa"/>
          </w:tblCellMar>
        </w:tblPrEx>
        <w:trPr>
          <w:trHeight w:val="1443"/>
        </w:trPr>
        <w:tc>
          <w:tcPr>
            <w:tcW w:w="2059" w:type="dxa"/>
            <w:tcBorders>
              <w:top w:val="nil"/>
              <w:left w:val="single" w:sz="2" w:space="0" w:color="000000"/>
              <w:bottom w:val="single" w:sz="2" w:space="0" w:color="000000"/>
              <w:right w:val="single" w:sz="2" w:space="0" w:color="000000"/>
            </w:tcBorders>
          </w:tcPr>
          <w:p w14:paraId="16562828" w14:textId="77777777" w:rsidR="0002655A" w:rsidRPr="00AE3F1B" w:rsidRDefault="0002655A" w:rsidP="00012668">
            <w:pPr>
              <w:spacing w:line="259" w:lineRule="auto"/>
              <w:ind w:left="24" w:right="-3" w:hanging="24"/>
              <w:jc w:val="left"/>
              <w:rPr>
                <w:rFonts w:ascii="Garamond" w:hAnsi="Garamond"/>
                <w:sz w:val="24"/>
                <w:szCs w:val="24"/>
              </w:rPr>
            </w:pPr>
            <w:r w:rsidRPr="00AE3F1B">
              <w:rPr>
                <w:rFonts w:ascii="Garamond" w:hAnsi="Garamond"/>
                <w:sz w:val="24"/>
                <w:szCs w:val="24"/>
              </w:rPr>
              <w:t>Punkt Poboru Energii</w:t>
            </w:r>
          </w:p>
        </w:tc>
        <w:tc>
          <w:tcPr>
            <w:tcW w:w="7580" w:type="dxa"/>
            <w:tcBorders>
              <w:top w:val="nil"/>
              <w:left w:val="single" w:sz="2" w:space="0" w:color="000000"/>
              <w:bottom w:val="single" w:sz="2" w:space="0" w:color="000000"/>
              <w:right w:val="single" w:sz="2" w:space="0" w:color="000000"/>
            </w:tcBorders>
            <w:vAlign w:val="center"/>
          </w:tcPr>
          <w:p w14:paraId="024F3990" w14:textId="77777777" w:rsidR="0002655A" w:rsidRPr="00AE3F1B" w:rsidRDefault="0002655A" w:rsidP="00AA279F">
            <w:pPr>
              <w:spacing w:line="259" w:lineRule="auto"/>
              <w:ind w:right="-3"/>
              <w:jc w:val="left"/>
              <w:rPr>
                <w:rFonts w:ascii="Garamond" w:hAnsi="Garamond"/>
                <w:sz w:val="24"/>
                <w:szCs w:val="24"/>
              </w:rPr>
            </w:pPr>
            <w:r w:rsidRPr="00AE3F1B">
              <w:rPr>
                <w:rFonts w:ascii="Garamond" w:hAnsi="Garamond"/>
                <w:sz w:val="24"/>
                <w:szCs w:val="24"/>
              </w:rPr>
              <w:t>Punkt, w którym produkty energetyczne (energia, usługi przesyłowe, moc, etc.) są mierzone przez urządzenia umożliwiające rejestrację danych pomiarowych (okresowych lub godzinowych). Jest to najmniejsza jednostka, dla której odbywa się zbilansowanie dostaw, oraz dla której może nastąpić zmiana sprzedawcy.</w:t>
            </w:r>
          </w:p>
        </w:tc>
      </w:tr>
      <w:tr w:rsidR="0002655A" w:rsidRPr="00AE3F1B" w14:paraId="3046E46A" w14:textId="77777777" w:rsidTr="00012668">
        <w:tblPrEx>
          <w:tblCellMar>
            <w:top w:w="43" w:type="dxa"/>
            <w:left w:w="46" w:type="dxa"/>
            <w:right w:w="43" w:type="dxa"/>
          </w:tblCellMar>
        </w:tblPrEx>
        <w:trPr>
          <w:trHeight w:val="1434"/>
        </w:trPr>
        <w:tc>
          <w:tcPr>
            <w:tcW w:w="2059" w:type="dxa"/>
            <w:tcBorders>
              <w:top w:val="single" w:sz="2" w:space="0" w:color="000000"/>
              <w:left w:val="single" w:sz="2" w:space="0" w:color="000000"/>
              <w:bottom w:val="single" w:sz="2" w:space="0" w:color="000000"/>
              <w:right w:val="single" w:sz="2" w:space="0" w:color="000000"/>
            </w:tcBorders>
          </w:tcPr>
          <w:p w14:paraId="5FB4171A" w14:textId="77777777" w:rsidR="0002655A" w:rsidRPr="00AE3F1B" w:rsidRDefault="0002655A" w:rsidP="00012668">
            <w:pPr>
              <w:spacing w:line="259" w:lineRule="auto"/>
              <w:ind w:left="24" w:right="-3" w:hanging="24"/>
              <w:jc w:val="left"/>
              <w:rPr>
                <w:rFonts w:ascii="Garamond" w:hAnsi="Garamond"/>
                <w:sz w:val="24"/>
                <w:szCs w:val="24"/>
              </w:rPr>
            </w:pPr>
            <w:r w:rsidRPr="00AE3F1B">
              <w:rPr>
                <w:rFonts w:ascii="Garamond" w:hAnsi="Garamond"/>
                <w:sz w:val="24"/>
                <w:szCs w:val="24"/>
              </w:rPr>
              <w:t>Regulacyjne usługi systemowe</w:t>
            </w:r>
          </w:p>
        </w:tc>
        <w:tc>
          <w:tcPr>
            <w:tcW w:w="7580" w:type="dxa"/>
            <w:tcBorders>
              <w:top w:val="single" w:sz="2" w:space="0" w:color="000000"/>
              <w:left w:val="single" w:sz="2" w:space="0" w:color="000000"/>
              <w:bottom w:val="single" w:sz="2" w:space="0" w:color="000000"/>
              <w:right w:val="single" w:sz="2" w:space="0" w:color="000000"/>
            </w:tcBorders>
          </w:tcPr>
          <w:p w14:paraId="1AE7236E" w14:textId="77777777" w:rsidR="0002655A" w:rsidRPr="00AE3F1B" w:rsidRDefault="0002655A" w:rsidP="00AA279F">
            <w:pPr>
              <w:spacing w:line="259" w:lineRule="auto"/>
              <w:ind w:right="-3"/>
              <w:jc w:val="left"/>
              <w:rPr>
                <w:rFonts w:ascii="Garamond" w:hAnsi="Garamond"/>
                <w:sz w:val="24"/>
                <w:szCs w:val="24"/>
              </w:rPr>
            </w:pPr>
            <w:r w:rsidRPr="00AE3F1B">
              <w:rPr>
                <w:rFonts w:ascii="Garamond" w:hAnsi="Garamond"/>
                <w:sz w:val="24"/>
                <w:szCs w:val="24"/>
              </w:rPr>
              <w:t>Usługi świadczone przez podmioty na rzecz operatora przesyłowego, umożliwiające operatorowi systemu przesyłowego świadczenie usług systemowych, niezbędne do prawidłowego funkcjonowania KSE, zapewniające zachowanie określonych wartości parametrów niezawodnościowych i jakościowych dostaw energii elektrycznej.</w:t>
            </w:r>
          </w:p>
        </w:tc>
      </w:tr>
      <w:tr w:rsidR="0002655A" w:rsidRPr="00AE3F1B" w14:paraId="00DAC651" w14:textId="77777777" w:rsidTr="00012668">
        <w:tblPrEx>
          <w:tblCellMar>
            <w:top w:w="43" w:type="dxa"/>
            <w:left w:w="46" w:type="dxa"/>
            <w:right w:w="43" w:type="dxa"/>
          </w:tblCellMar>
        </w:tblPrEx>
        <w:trPr>
          <w:trHeight w:val="407"/>
        </w:trPr>
        <w:tc>
          <w:tcPr>
            <w:tcW w:w="2059" w:type="dxa"/>
            <w:tcBorders>
              <w:top w:val="single" w:sz="2" w:space="0" w:color="000000"/>
              <w:left w:val="single" w:sz="2" w:space="0" w:color="000000"/>
              <w:bottom w:val="single" w:sz="2" w:space="0" w:color="000000"/>
              <w:right w:val="single" w:sz="2" w:space="0" w:color="000000"/>
            </w:tcBorders>
          </w:tcPr>
          <w:p w14:paraId="2AB58BDA" w14:textId="77777777" w:rsidR="0002655A" w:rsidRPr="00AE3F1B" w:rsidRDefault="0002655A" w:rsidP="00012668">
            <w:pPr>
              <w:spacing w:line="259" w:lineRule="auto"/>
              <w:ind w:left="24" w:right="-3" w:hanging="24"/>
              <w:jc w:val="left"/>
              <w:rPr>
                <w:rFonts w:ascii="Garamond" w:hAnsi="Garamond"/>
                <w:sz w:val="24"/>
                <w:szCs w:val="24"/>
              </w:rPr>
            </w:pPr>
            <w:r w:rsidRPr="00AE3F1B">
              <w:rPr>
                <w:rFonts w:ascii="Garamond" w:hAnsi="Garamond"/>
                <w:sz w:val="24"/>
                <w:szCs w:val="24"/>
              </w:rPr>
              <w:t>Rejestrator zakłóceń</w:t>
            </w:r>
          </w:p>
        </w:tc>
        <w:tc>
          <w:tcPr>
            <w:tcW w:w="7580" w:type="dxa"/>
            <w:tcBorders>
              <w:top w:val="single" w:sz="2" w:space="0" w:color="000000"/>
              <w:left w:val="single" w:sz="2" w:space="0" w:color="000000"/>
              <w:bottom w:val="single" w:sz="2" w:space="0" w:color="000000"/>
              <w:right w:val="single" w:sz="2" w:space="0" w:color="000000"/>
            </w:tcBorders>
          </w:tcPr>
          <w:p w14:paraId="11C2FFC4" w14:textId="77777777" w:rsidR="0002655A" w:rsidRPr="00AE3F1B" w:rsidRDefault="0002655A" w:rsidP="00AA279F">
            <w:pPr>
              <w:spacing w:line="259" w:lineRule="auto"/>
              <w:ind w:right="-3"/>
              <w:jc w:val="left"/>
              <w:rPr>
                <w:rFonts w:ascii="Garamond" w:hAnsi="Garamond"/>
                <w:sz w:val="24"/>
                <w:szCs w:val="24"/>
              </w:rPr>
            </w:pPr>
            <w:r w:rsidRPr="00AE3F1B">
              <w:rPr>
                <w:rFonts w:ascii="Garamond" w:hAnsi="Garamond"/>
                <w:sz w:val="24"/>
                <w:szCs w:val="24"/>
              </w:rPr>
              <w:t>Rejestrator zapisujący przebiegi chwilowe napięć, prądów i sygnałów logicznych.</w:t>
            </w:r>
          </w:p>
        </w:tc>
      </w:tr>
      <w:tr w:rsidR="0002655A" w:rsidRPr="00AE3F1B" w14:paraId="7AFA5079" w14:textId="77777777" w:rsidTr="00012668">
        <w:tblPrEx>
          <w:tblCellMar>
            <w:top w:w="43" w:type="dxa"/>
            <w:left w:w="46" w:type="dxa"/>
            <w:right w:w="43" w:type="dxa"/>
          </w:tblCellMar>
        </w:tblPrEx>
        <w:trPr>
          <w:trHeight w:val="576"/>
        </w:trPr>
        <w:tc>
          <w:tcPr>
            <w:tcW w:w="2059" w:type="dxa"/>
            <w:tcBorders>
              <w:top w:val="single" w:sz="2" w:space="0" w:color="000000"/>
              <w:left w:val="single" w:sz="2" w:space="0" w:color="000000"/>
              <w:bottom w:val="single" w:sz="2" w:space="0" w:color="000000"/>
              <w:right w:val="single" w:sz="2" w:space="0" w:color="000000"/>
            </w:tcBorders>
          </w:tcPr>
          <w:p w14:paraId="63F6C92C" w14:textId="77777777" w:rsidR="0002655A" w:rsidRPr="00AE3F1B" w:rsidRDefault="0002655A" w:rsidP="00012668">
            <w:pPr>
              <w:spacing w:line="259" w:lineRule="auto"/>
              <w:ind w:left="24" w:right="-3" w:hanging="24"/>
              <w:jc w:val="left"/>
              <w:rPr>
                <w:rFonts w:ascii="Garamond" w:hAnsi="Garamond"/>
                <w:sz w:val="24"/>
                <w:szCs w:val="24"/>
              </w:rPr>
            </w:pPr>
            <w:r w:rsidRPr="00AE3F1B">
              <w:rPr>
                <w:rFonts w:ascii="Garamond" w:hAnsi="Garamond"/>
                <w:sz w:val="24"/>
                <w:szCs w:val="24"/>
              </w:rPr>
              <w:t>Rejestrator zdarzeń</w:t>
            </w:r>
          </w:p>
        </w:tc>
        <w:tc>
          <w:tcPr>
            <w:tcW w:w="7580" w:type="dxa"/>
            <w:tcBorders>
              <w:top w:val="single" w:sz="2" w:space="0" w:color="000000"/>
              <w:left w:val="single" w:sz="2" w:space="0" w:color="000000"/>
              <w:bottom w:val="single" w:sz="2" w:space="0" w:color="000000"/>
              <w:right w:val="single" w:sz="2" w:space="0" w:color="000000"/>
            </w:tcBorders>
          </w:tcPr>
          <w:p w14:paraId="0D907C39" w14:textId="77777777" w:rsidR="0002655A" w:rsidRPr="00AE3F1B" w:rsidRDefault="0002655A" w:rsidP="00AA279F">
            <w:pPr>
              <w:spacing w:line="259" w:lineRule="auto"/>
              <w:ind w:right="-3"/>
              <w:jc w:val="left"/>
              <w:rPr>
                <w:rFonts w:ascii="Garamond" w:hAnsi="Garamond"/>
                <w:sz w:val="24"/>
                <w:szCs w:val="24"/>
              </w:rPr>
            </w:pPr>
            <w:r w:rsidRPr="00AE3F1B">
              <w:rPr>
                <w:rFonts w:ascii="Garamond" w:hAnsi="Garamond"/>
                <w:sz w:val="24"/>
                <w:szCs w:val="24"/>
              </w:rPr>
              <w:t>Rejestrator zapisujący czasy wystąpienia i opisy znakowe zmian stanów urządzeń pola, w którym jest zainstalowany, w tym układów EAZ.</w:t>
            </w:r>
          </w:p>
        </w:tc>
      </w:tr>
      <w:tr w:rsidR="0002655A" w:rsidRPr="00AE3F1B" w14:paraId="34D2775E" w14:textId="77777777" w:rsidTr="00012668">
        <w:tblPrEx>
          <w:tblCellMar>
            <w:top w:w="43" w:type="dxa"/>
            <w:left w:w="46" w:type="dxa"/>
            <w:right w:w="43" w:type="dxa"/>
          </w:tblCellMar>
        </w:tblPrEx>
        <w:trPr>
          <w:trHeight w:val="578"/>
        </w:trPr>
        <w:tc>
          <w:tcPr>
            <w:tcW w:w="2059" w:type="dxa"/>
            <w:tcBorders>
              <w:top w:val="single" w:sz="2" w:space="0" w:color="000000"/>
              <w:left w:val="single" w:sz="2" w:space="0" w:color="000000"/>
              <w:bottom w:val="single" w:sz="2" w:space="0" w:color="000000"/>
              <w:right w:val="single" w:sz="2" w:space="0" w:color="000000"/>
            </w:tcBorders>
          </w:tcPr>
          <w:p w14:paraId="6FEE33E1" w14:textId="77777777" w:rsidR="0002655A" w:rsidRPr="00AE3F1B" w:rsidRDefault="0002655A" w:rsidP="00012668">
            <w:pPr>
              <w:spacing w:line="259" w:lineRule="auto"/>
              <w:ind w:left="24" w:right="-3" w:hanging="24"/>
              <w:jc w:val="left"/>
              <w:rPr>
                <w:rFonts w:ascii="Garamond" w:hAnsi="Garamond"/>
                <w:sz w:val="24"/>
                <w:szCs w:val="24"/>
              </w:rPr>
            </w:pPr>
            <w:r w:rsidRPr="00AE3F1B">
              <w:rPr>
                <w:rFonts w:ascii="Garamond" w:hAnsi="Garamond"/>
                <w:sz w:val="24"/>
                <w:szCs w:val="24"/>
              </w:rPr>
              <w:t>Rezerwa mocy</w:t>
            </w:r>
          </w:p>
        </w:tc>
        <w:tc>
          <w:tcPr>
            <w:tcW w:w="7580" w:type="dxa"/>
            <w:tcBorders>
              <w:top w:val="single" w:sz="2" w:space="0" w:color="000000"/>
              <w:left w:val="single" w:sz="2" w:space="0" w:color="000000"/>
              <w:bottom w:val="single" w:sz="2" w:space="0" w:color="000000"/>
              <w:right w:val="single" w:sz="2" w:space="0" w:color="000000"/>
            </w:tcBorders>
          </w:tcPr>
          <w:p w14:paraId="20493DBE" w14:textId="77777777" w:rsidR="0002655A" w:rsidRPr="00AE3F1B" w:rsidRDefault="0002655A" w:rsidP="00AA279F">
            <w:pPr>
              <w:spacing w:line="259" w:lineRule="auto"/>
              <w:ind w:right="-3"/>
              <w:jc w:val="left"/>
              <w:rPr>
                <w:rFonts w:ascii="Garamond" w:hAnsi="Garamond"/>
                <w:sz w:val="24"/>
                <w:szCs w:val="24"/>
              </w:rPr>
            </w:pPr>
            <w:r w:rsidRPr="00AE3F1B">
              <w:rPr>
                <w:rFonts w:ascii="Garamond" w:hAnsi="Garamond"/>
                <w:sz w:val="24"/>
                <w:szCs w:val="24"/>
              </w:rPr>
              <w:t>Niewykorzystana w danym okresie, zdolność jednostek wytwórczych do wytwarzania i dostarczania energii elektrycznej do sieci.</w:t>
            </w:r>
          </w:p>
        </w:tc>
      </w:tr>
      <w:tr w:rsidR="0002655A" w:rsidRPr="00AE3F1B" w14:paraId="7C5282BF" w14:textId="77777777" w:rsidTr="00012668">
        <w:tblPrEx>
          <w:tblCellMar>
            <w:top w:w="43" w:type="dxa"/>
            <w:left w:w="46" w:type="dxa"/>
            <w:right w:w="43" w:type="dxa"/>
          </w:tblCellMar>
        </w:tblPrEx>
        <w:trPr>
          <w:trHeight w:val="817"/>
        </w:trPr>
        <w:tc>
          <w:tcPr>
            <w:tcW w:w="2059" w:type="dxa"/>
            <w:tcBorders>
              <w:top w:val="single" w:sz="2" w:space="0" w:color="000000"/>
              <w:left w:val="single" w:sz="2" w:space="0" w:color="000000"/>
              <w:bottom w:val="single" w:sz="2" w:space="0" w:color="000000"/>
              <w:right w:val="single" w:sz="2" w:space="0" w:color="000000"/>
            </w:tcBorders>
          </w:tcPr>
          <w:p w14:paraId="093A26B8" w14:textId="77777777" w:rsidR="0002655A" w:rsidRPr="00AE3F1B" w:rsidRDefault="0002655A" w:rsidP="00012668">
            <w:pPr>
              <w:spacing w:line="259" w:lineRule="auto"/>
              <w:ind w:left="24" w:right="-3" w:hanging="24"/>
              <w:jc w:val="left"/>
              <w:rPr>
                <w:rFonts w:ascii="Garamond" w:hAnsi="Garamond"/>
                <w:sz w:val="24"/>
                <w:szCs w:val="24"/>
              </w:rPr>
            </w:pPr>
            <w:r w:rsidRPr="00AE3F1B">
              <w:rPr>
                <w:rFonts w:ascii="Garamond" w:hAnsi="Garamond"/>
                <w:sz w:val="24"/>
                <w:szCs w:val="24"/>
              </w:rPr>
              <w:t>Ruch próbny</w:t>
            </w:r>
          </w:p>
        </w:tc>
        <w:tc>
          <w:tcPr>
            <w:tcW w:w="7580" w:type="dxa"/>
            <w:tcBorders>
              <w:top w:val="single" w:sz="2" w:space="0" w:color="000000"/>
              <w:left w:val="single" w:sz="2" w:space="0" w:color="000000"/>
              <w:bottom w:val="single" w:sz="2" w:space="0" w:color="000000"/>
              <w:right w:val="single" w:sz="2" w:space="0" w:color="000000"/>
            </w:tcBorders>
          </w:tcPr>
          <w:p w14:paraId="16EC24F5" w14:textId="77777777" w:rsidR="0002655A" w:rsidRPr="00AE3F1B" w:rsidRDefault="0002655A" w:rsidP="00AA279F">
            <w:pPr>
              <w:spacing w:line="259" w:lineRule="auto"/>
              <w:ind w:right="-3"/>
              <w:jc w:val="left"/>
              <w:rPr>
                <w:rFonts w:ascii="Garamond" w:hAnsi="Garamond"/>
                <w:sz w:val="24"/>
                <w:szCs w:val="24"/>
              </w:rPr>
            </w:pPr>
            <w:r w:rsidRPr="00AE3F1B">
              <w:rPr>
                <w:rFonts w:ascii="Garamond" w:hAnsi="Garamond"/>
                <w:sz w:val="24"/>
                <w:szCs w:val="24"/>
              </w:rPr>
              <w:t>Nieprzerwana praca urządzeń, instalacji lub sieci, przez okres co najmniej 72 godzin, z parametrami pracy określonymi przez operatora systemu dystrybucyjnego.</w:t>
            </w:r>
          </w:p>
        </w:tc>
      </w:tr>
      <w:tr w:rsidR="0002655A" w:rsidRPr="00AE3F1B" w14:paraId="75FB876E" w14:textId="77777777" w:rsidTr="00012668">
        <w:tblPrEx>
          <w:tblCellMar>
            <w:top w:w="43" w:type="dxa"/>
            <w:left w:w="46" w:type="dxa"/>
            <w:right w:w="43" w:type="dxa"/>
          </w:tblCellMar>
        </w:tblPrEx>
        <w:trPr>
          <w:trHeight w:val="403"/>
        </w:trPr>
        <w:tc>
          <w:tcPr>
            <w:tcW w:w="2059" w:type="dxa"/>
            <w:tcBorders>
              <w:top w:val="single" w:sz="2" w:space="0" w:color="000000"/>
              <w:left w:val="single" w:sz="2" w:space="0" w:color="000000"/>
              <w:bottom w:val="single" w:sz="2" w:space="0" w:color="000000"/>
              <w:right w:val="single" w:sz="2" w:space="0" w:color="000000"/>
            </w:tcBorders>
          </w:tcPr>
          <w:p w14:paraId="046EDEFD" w14:textId="77777777" w:rsidR="0002655A" w:rsidRPr="00AE3F1B" w:rsidRDefault="0002655A" w:rsidP="00012668">
            <w:pPr>
              <w:spacing w:line="259" w:lineRule="auto"/>
              <w:ind w:left="24" w:right="-3" w:hanging="24"/>
              <w:jc w:val="left"/>
              <w:rPr>
                <w:rFonts w:ascii="Garamond" w:hAnsi="Garamond"/>
                <w:sz w:val="24"/>
                <w:szCs w:val="24"/>
              </w:rPr>
            </w:pPr>
            <w:r w:rsidRPr="00AE3F1B">
              <w:rPr>
                <w:rFonts w:ascii="Garamond" w:hAnsi="Garamond"/>
                <w:sz w:val="24"/>
                <w:szCs w:val="24"/>
              </w:rPr>
              <w:t>Ruch sieciowy</w:t>
            </w:r>
          </w:p>
        </w:tc>
        <w:tc>
          <w:tcPr>
            <w:tcW w:w="7580" w:type="dxa"/>
            <w:tcBorders>
              <w:top w:val="single" w:sz="2" w:space="0" w:color="000000"/>
              <w:left w:val="single" w:sz="2" w:space="0" w:color="000000"/>
              <w:bottom w:val="single" w:sz="2" w:space="0" w:color="000000"/>
              <w:right w:val="single" w:sz="2" w:space="0" w:color="000000"/>
            </w:tcBorders>
          </w:tcPr>
          <w:p w14:paraId="2C6D3E4B" w14:textId="77777777" w:rsidR="0002655A" w:rsidRPr="00AE3F1B" w:rsidRDefault="0002655A" w:rsidP="00AA279F">
            <w:pPr>
              <w:spacing w:line="259" w:lineRule="auto"/>
              <w:ind w:right="-3"/>
              <w:jc w:val="left"/>
              <w:rPr>
                <w:rFonts w:ascii="Garamond" w:hAnsi="Garamond"/>
                <w:sz w:val="24"/>
                <w:szCs w:val="24"/>
              </w:rPr>
            </w:pPr>
            <w:r w:rsidRPr="00AE3F1B">
              <w:rPr>
                <w:rFonts w:ascii="Garamond" w:hAnsi="Garamond"/>
                <w:sz w:val="24"/>
                <w:szCs w:val="24"/>
              </w:rPr>
              <w:t>Sterowanie pracą sieci.</w:t>
            </w:r>
          </w:p>
        </w:tc>
      </w:tr>
      <w:tr w:rsidR="0002655A" w:rsidRPr="00AE3F1B" w14:paraId="7ECED24C" w14:textId="77777777" w:rsidTr="00012668">
        <w:tblPrEx>
          <w:tblCellMar>
            <w:top w:w="43" w:type="dxa"/>
            <w:left w:w="46" w:type="dxa"/>
            <w:right w:w="43" w:type="dxa"/>
          </w:tblCellMar>
        </w:tblPrEx>
        <w:trPr>
          <w:trHeight w:val="583"/>
        </w:trPr>
        <w:tc>
          <w:tcPr>
            <w:tcW w:w="2059" w:type="dxa"/>
            <w:tcBorders>
              <w:top w:val="single" w:sz="2" w:space="0" w:color="000000"/>
              <w:left w:val="single" w:sz="2" w:space="0" w:color="000000"/>
              <w:bottom w:val="single" w:sz="2" w:space="0" w:color="000000"/>
              <w:right w:val="single" w:sz="2" w:space="0" w:color="000000"/>
            </w:tcBorders>
          </w:tcPr>
          <w:p w14:paraId="4D876C0A" w14:textId="77777777" w:rsidR="0002655A" w:rsidRPr="00AE3F1B" w:rsidRDefault="0002655A" w:rsidP="00012668">
            <w:pPr>
              <w:spacing w:line="259" w:lineRule="auto"/>
              <w:ind w:left="24" w:right="-3" w:hanging="24"/>
              <w:jc w:val="left"/>
              <w:rPr>
                <w:rFonts w:ascii="Garamond" w:hAnsi="Garamond"/>
                <w:sz w:val="24"/>
                <w:szCs w:val="24"/>
              </w:rPr>
            </w:pPr>
            <w:r w:rsidRPr="00AE3F1B">
              <w:rPr>
                <w:rFonts w:ascii="Garamond" w:hAnsi="Garamond"/>
                <w:sz w:val="24"/>
                <w:szCs w:val="24"/>
              </w:rPr>
              <w:t>Rynek bilansujący</w:t>
            </w:r>
          </w:p>
        </w:tc>
        <w:tc>
          <w:tcPr>
            <w:tcW w:w="7580" w:type="dxa"/>
            <w:tcBorders>
              <w:top w:val="single" w:sz="2" w:space="0" w:color="000000"/>
              <w:left w:val="single" w:sz="2" w:space="0" w:color="000000"/>
              <w:bottom w:val="single" w:sz="2" w:space="0" w:color="000000"/>
              <w:right w:val="single" w:sz="2" w:space="0" w:color="000000"/>
            </w:tcBorders>
          </w:tcPr>
          <w:p w14:paraId="5F4896D2" w14:textId="77777777" w:rsidR="0002655A" w:rsidRPr="00AE3F1B" w:rsidRDefault="0002655A" w:rsidP="00AA279F">
            <w:pPr>
              <w:spacing w:line="259" w:lineRule="auto"/>
              <w:ind w:right="-3"/>
              <w:jc w:val="left"/>
              <w:rPr>
                <w:rFonts w:ascii="Garamond" w:hAnsi="Garamond"/>
                <w:sz w:val="24"/>
                <w:szCs w:val="24"/>
              </w:rPr>
            </w:pPr>
            <w:r w:rsidRPr="00AE3F1B">
              <w:rPr>
                <w:rFonts w:ascii="Garamond" w:hAnsi="Garamond"/>
                <w:sz w:val="24"/>
                <w:szCs w:val="24"/>
              </w:rPr>
              <w:t>Mechanizm bieżącego bilansowania zapotrzebowania na energię elektryczną i wytwarzania tej energii w KSE.</w:t>
            </w:r>
          </w:p>
        </w:tc>
      </w:tr>
      <w:tr w:rsidR="0002655A" w:rsidRPr="00AE3F1B" w14:paraId="31FACF83" w14:textId="77777777" w:rsidTr="00012668">
        <w:tblPrEx>
          <w:tblCellMar>
            <w:top w:w="43" w:type="dxa"/>
            <w:left w:w="46" w:type="dxa"/>
            <w:right w:w="43" w:type="dxa"/>
          </w:tblCellMar>
        </w:tblPrEx>
        <w:trPr>
          <w:trHeight w:val="813"/>
        </w:trPr>
        <w:tc>
          <w:tcPr>
            <w:tcW w:w="2059" w:type="dxa"/>
            <w:tcBorders>
              <w:top w:val="single" w:sz="2" w:space="0" w:color="000000"/>
              <w:left w:val="single" w:sz="2" w:space="0" w:color="000000"/>
              <w:bottom w:val="single" w:sz="2" w:space="0" w:color="000000"/>
              <w:right w:val="single" w:sz="2" w:space="0" w:color="000000"/>
            </w:tcBorders>
          </w:tcPr>
          <w:p w14:paraId="5F66AFE8" w14:textId="77777777" w:rsidR="0002655A" w:rsidRPr="00AE3F1B" w:rsidRDefault="0002655A" w:rsidP="00012668">
            <w:pPr>
              <w:spacing w:line="259" w:lineRule="auto"/>
              <w:ind w:left="24" w:right="-3" w:hanging="24"/>
              <w:jc w:val="left"/>
              <w:rPr>
                <w:rFonts w:ascii="Garamond" w:hAnsi="Garamond"/>
                <w:sz w:val="24"/>
                <w:szCs w:val="24"/>
              </w:rPr>
            </w:pPr>
            <w:r w:rsidRPr="00AE3F1B">
              <w:rPr>
                <w:rFonts w:ascii="Garamond" w:hAnsi="Garamond"/>
                <w:sz w:val="24"/>
                <w:szCs w:val="24"/>
              </w:rPr>
              <w:t>Samoczynne</w:t>
            </w:r>
          </w:p>
          <w:p w14:paraId="017752B1" w14:textId="77777777" w:rsidR="0002655A" w:rsidRPr="00AE3F1B" w:rsidRDefault="0002655A" w:rsidP="00012668">
            <w:pPr>
              <w:spacing w:line="259" w:lineRule="auto"/>
              <w:ind w:left="24" w:right="-3" w:hanging="24"/>
              <w:jc w:val="left"/>
              <w:rPr>
                <w:rFonts w:ascii="Garamond" w:hAnsi="Garamond"/>
                <w:sz w:val="24"/>
                <w:szCs w:val="24"/>
              </w:rPr>
            </w:pPr>
            <w:r w:rsidRPr="00AE3F1B">
              <w:rPr>
                <w:rFonts w:ascii="Garamond" w:hAnsi="Garamond"/>
                <w:sz w:val="24"/>
                <w:szCs w:val="24"/>
              </w:rPr>
              <w:t>Częstotliwościowe</w:t>
            </w:r>
          </w:p>
          <w:p w14:paraId="59AC09FF" w14:textId="77777777" w:rsidR="0002655A" w:rsidRPr="00AE3F1B" w:rsidRDefault="0002655A" w:rsidP="00012668">
            <w:pPr>
              <w:spacing w:line="259" w:lineRule="auto"/>
              <w:ind w:left="24" w:right="-3" w:hanging="24"/>
              <w:jc w:val="left"/>
              <w:rPr>
                <w:rFonts w:ascii="Garamond" w:hAnsi="Garamond"/>
                <w:sz w:val="24"/>
                <w:szCs w:val="24"/>
              </w:rPr>
            </w:pPr>
            <w:r w:rsidRPr="00AE3F1B">
              <w:rPr>
                <w:rFonts w:ascii="Garamond" w:hAnsi="Garamond"/>
                <w:sz w:val="24"/>
                <w:szCs w:val="24"/>
              </w:rPr>
              <w:t>Odciążanie — SCO</w:t>
            </w:r>
          </w:p>
        </w:tc>
        <w:tc>
          <w:tcPr>
            <w:tcW w:w="7580" w:type="dxa"/>
            <w:tcBorders>
              <w:top w:val="single" w:sz="2" w:space="0" w:color="000000"/>
              <w:left w:val="single" w:sz="2" w:space="0" w:color="000000"/>
              <w:bottom w:val="single" w:sz="2" w:space="0" w:color="000000"/>
              <w:right w:val="single" w:sz="2" w:space="0" w:color="000000"/>
            </w:tcBorders>
          </w:tcPr>
          <w:p w14:paraId="3808503C" w14:textId="77777777" w:rsidR="0002655A" w:rsidRPr="00AE3F1B" w:rsidRDefault="0002655A" w:rsidP="00AA279F">
            <w:pPr>
              <w:spacing w:line="259" w:lineRule="auto"/>
              <w:ind w:right="-3"/>
              <w:jc w:val="left"/>
              <w:rPr>
                <w:rFonts w:ascii="Garamond" w:hAnsi="Garamond"/>
                <w:sz w:val="24"/>
                <w:szCs w:val="24"/>
              </w:rPr>
            </w:pPr>
            <w:r w:rsidRPr="00AE3F1B">
              <w:rPr>
                <w:rFonts w:ascii="Garamond" w:hAnsi="Garamond"/>
                <w:sz w:val="24"/>
                <w:szCs w:val="24"/>
              </w:rPr>
              <w:t>Samoczynne wyłączanie odbiorców w przypadku obniżenia się częstotliwości do określonej wielkości, spowodowanego deficytem mocy w systemie elektroenergetycznym.</w:t>
            </w:r>
          </w:p>
        </w:tc>
      </w:tr>
      <w:tr w:rsidR="0002655A" w:rsidRPr="00AE3F1B" w14:paraId="3E673891" w14:textId="77777777" w:rsidTr="00012668">
        <w:tblPrEx>
          <w:tblCellMar>
            <w:top w:w="43" w:type="dxa"/>
            <w:left w:w="46" w:type="dxa"/>
            <w:right w:w="43" w:type="dxa"/>
          </w:tblCellMar>
        </w:tblPrEx>
        <w:trPr>
          <w:trHeight w:val="1079"/>
        </w:trPr>
        <w:tc>
          <w:tcPr>
            <w:tcW w:w="2059" w:type="dxa"/>
            <w:tcBorders>
              <w:top w:val="single" w:sz="2" w:space="0" w:color="000000"/>
              <w:left w:val="single" w:sz="2" w:space="0" w:color="000000"/>
              <w:bottom w:val="single" w:sz="2" w:space="0" w:color="000000"/>
              <w:right w:val="single" w:sz="2" w:space="0" w:color="000000"/>
            </w:tcBorders>
          </w:tcPr>
          <w:p w14:paraId="7DF79387" w14:textId="77777777" w:rsidR="0002655A" w:rsidRPr="00AE3F1B" w:rsidRDefault="0002655A" w:rsidP="00012668">
            <w:pPr>
              <w:spacing w:line="259" w:lineRule="auto"/>
              <w:ind w:left="24" w:right="-3" w:hanging="24"/>
              <w:jc w:val="left"/>
              <w:rPr>
                <w:rFonts w:ascii="Garamond" w:hAnsi="Garamond"/>
                <w:sz w:val="24"/>
                <w:szCs w:val="24"/>
              </w:rPr>
            </w:pPr>
            <w:r w:rsidRPr="00AE3F1B">
              <w:rPr>
                <w:rFonts w:ascii="Garamond" w:hAnsi="Garamond"/>
                <w:sz w:val="24"/>
                <w:szCs w:val="24"/>
              </w:rPr>
              <w:t>Samoczynne ponowne załączanie — SPZ</w:t>
            </w:r>
          </w:p>
        </w:tc>
        <w:tc>
          <w:tcPr>
            <w:tcW w:w="7580" w:type="dxa"/>
            <w:tcBorders>
              <w:top w:val="single" w:sz="2" w:space="0" w:color="000000"/>
              <w:left w:val="single" w:sz="2" w:space="0" w:color="000000"/>
              <w:bottom w:val="single" w:sz="2" w:space="0" w:color="000000"/>
              <w:right w:val="single" w:sz="2" w:space="0" w:color="000000"/>
            </w:tcBorders>
          </w:tcPr>
          <w:p w14:paraId="1DE39210" w14:textId="77777777" w:rsidR="0002655A" w:rsidRPr="00AE3F1B" w:rsidRDefault="0002655A" w:rsidP="00AA279F">
            <w:pPr>
              <w:spacing w:line="259" w:lineRule="auto"/>
              <w:ind w:right="-3"/>
              <w:jc w:val="left"/>
              <w:rPr>
                <w:rFonts w:ascii="Garamond" w:hAnsi="Garamond"/>
                <w:sz w:val="24"/>
                <w:szCs w:val="24"/>
              </w:rPr>
            </w:pPr>
            <w:r w:rsidRPr="00AE3F1B">
              <w:rPr>
                <w:rFonts w:ascii="Garamond" w:hAnsi="Garamond"/>
                <w:sz w:val="24"/>
                <w:szCs w:val="24"/>
              </w:rPr>
              <w:t>Automatyka elektroenergetyczna, której działanie polega na samoczynnym podaniu impulsu załączającego wyłącznik linii po upływie odpowiednio dobranego czasu, po przejściu tego wyłącznika w stan otwarcia z powodu zadziałania zabezpieczenia.</w:t>
            </w:r>
          </w:p>
        </w:tc>
      </w:tr>
      <w:tr w:rsidR="0002655A" w:rsidRPr="00AE3F1B" w14:paraId="5869B5A1" w14:textId="77777777" w:rsidTr="00012668">
        <w:tblPrEx>
          <w:tblCellMar>
            <w:top w:w="43" w:type="dxa"/>
            <w:left w:w="46" w:type="dxa"/>
            <w:right w:w="43" w:type="dxa"/>
          </w:tblCellMar>
        </w:tblPrEx>
        <w:trPr>
          <w:trHeight w:val="578"/>
        </w:trPr>
        <w:tc>
          <w:tcPr>
            <w:tcW w:w="2059" w:type="dxa"/>
            <w:tcBorders>
              <w:top w:val="single" w:sz="2" w:space="0" w:color="000000"/>
              <w:left w:val="single" w:sz="2" w:space="0" w:color="000000"/>
              <w:bottom w:val="single" w:sz="2" w:space="0" w:color="000000"/>
              <w:right w:val="single" w:sz="2" w:space="0" w:color="000000"/>
            </w:tcBorders>
          </w:tcPr>
          <w:p w14:paraId="18F1FAD4" w14:textId="77777777" w:rsidR="0002655A" w:rsidRPr="00AE3F1B" w:rsidRDefault="0002655A" w:rsidP="00012668">
            <w:pPr>
              <w:spacing w:line="259" w:lineRule="auto"/>
              <w:ind w:left="24" w:right="-3" w:hanging="24"/>
              <w:jc w:val="left"/>
              <w:rPr>
                <w:rFonts w:ascii="Garamond" w:hAnsi="Garamond"/>
                <w:sz w:val="24"/>
                <w:szCs w:val="24"/>
              </w:rPr>
            </w:pPr>
            <w:r w:rsidRPr="00AE3F1B">
              <w:rPr>
                <w:rFonts w:ascii="Garamond" w:hAnsi="Garamond"/>
                <w:sz w:val="24"/>
                <w:szCs w:val="24"/>
              </w:rPr>
              <w:t>Sieci</w:t>
            </w:r>
          </w:p>
        </w:tc>
        <w:tc>
          <w:tcPr>
            <w:tcW w:w="7580" w:type="dxa"/>
            <w:tcBorders>
              <w:top w:val="single" w:sz="2" w:space="0" w:color="000000"/>
              <w:left w:val="single" w:sz="2" w:space="0" w:color="000000"/>
              <w:bottom w:val="single" w:sz="2" w:space="0" w:color="000000"/>
              <w:right w:val="single" w:sz="2" w:space="0" w:color="000000"/>
            </w:tcBorders>
          </w:tcPr>
          <w:p w14:paraId="16305CED" w14:textId="77777777" w:rsidR="0002655A" w:rsidRPr="00AE3F1B" w:rsidRDefault="0002655A" w:rsidP="00AA279F">
            <w:pPr>
              <w:spacing w:line="259" w:lineRule="auto"/>
              <w:ind w:right="-3"/>
              <w:jc w:val="left"/>
              <w:rPr>
                <w:rFonts w:ascii="Garamond" w:hAnsi="Garamond"/>
                <w:sz w:val="24"/>
                <w:szCs w:val="24"/>
              </w:rPr>
            </w:pPr>
            <w:r w:rsidRPr="00AE3F1B">
              <w:rPr>
                <w:rFonts w:ascii="Garamond" w:hAnsi="Garamond"/>
                <w:sz w:val="24"/>
                <w:szCs w:val="24"/>
              </w:rPr>
              <w:t>Instalacje połączone i współpracujące ze sobą, służące do przesyłania lub dystrybucji energii elektrycznej, należące do przedsiębiorstwa energetycznego.</w:t>
            </w:r>
          </w:p>
        </w:tc>
      </w:tr>
      <w:tr w:rsidR="0002655A" w:rsidRPr="00AE3F1B" w14:paraId="6908C656" w14:textId="77777777" w:rsidTr="00012668">
        <w:tblPrEx>
          <w:tblCellMar>
            <w:top w:w="43" w:type="dxa"/>
            <w:left w:w="46" w:type="dxa"/>
            <w:right w:w="43" w:type="dxa"/>
          </w:tblCellMar>
        </w:tblPrEx>
        <w:trPr>
          <w:trHeight w:val="576"/>
        </w:trPr>
        <w:tc>
          <w:tcPr>
            <w:tcW w:w="2059" w:type="dxa"/>
            <w:tcBorders>
              <w:top w:val="single" w:sz="2" w:space="0" w:color="000000"/>
              <w:left w:val="single" w:sz="2" w:space="0" w:color="000000"/>
              <w:bottom w:val="single" w:sz="2" w:space="0" w:color="000000"/>
              <w:right w:val="single" w:sz="2" w:space="0" w:color="000000"/>
            </w:tcBorders>
          </w:tcPr>
          <w:p w14:paraId="6A69D0E8" w14:textId="77777777" w:rsidR="0002655A" w:rsidRPr="00AE3F1B" w:rsidRDefault="0002655A" w:rsidP="00012668">
            <w:pPr>
              <w:spacing w:line="259" w:lineRule="auto"/>
              <w:ind w:left="24" w:right="-3" w:hanging="24"/>
              <w:jc w:val="left"/>
              <w:rPr>
                <w:rFonts w:ascii="Garamond" w:hAnsi="Garamond"/>
                <w:sz w:val="24"/>
                <w:szCs w:val="24"/>
              </w:rPr>
            </w:pPr>
            <w:r w:rsidRPr="00AE3F1B">
              <w:rPr>
                <w:rFonts w:ascii="Garamond" w:hAnsi="Garamond"/>
                <w:sz w:val="24"/>
                <w:szCs w:val="24"/>
              </w:rPr>
              <w:t>Sieć przesyłowa</w:t>
            </w:r>
          </w:p>
        </w:tc>
        <w:tc>
          <w:tcPr>
            <w:tcW w:w="7580" w:type="dxa"/>
            <w:tcBorders>
              <w:top w:val="single" w:sz="2" w:space="0" w:color="000000"/>
              <w:left w:val="single" w:sz="2" w:space="0" w:color="000000"/>
              <w:bottom w:val="single" w:sz="2" w:space="0" w:color="000000"/>
              <w:right w:val="single" w:sz="2" w:space="0" w:color="000000"/>
            </w:tcBorders>
          </w:tcPr>
          <w:p w14:paraId="788031F0" w14:textId="77777777" w:rsidR="0002655A" w:rsidRPr="00AE3F1B" w:rsidRDefault="0002655A" w:rsidP="00AA279F">
            <w:pPr>
              <w:spacing w:line="259" w:lineRule="auto"/>
              <w:ind w:right="-3"/>
              <w:jc w:val="left"/>
              <w:rPr>
                <w:rFonts w:ascii="Garamond" w:hAnsi="Garamond"/>
                <w:sz w:val="24"/>
                <w:szCs w:val="24"/>
              </w:rPr>
            </w:pPr>
            <w:r w:rsidRPr="00AE3F1B">
              <w:rPr>
                <w:rFonts w:ascii="Garamond" w:hAnsi="Garamond"/>
                <w:sz w:val="24"/>
                <w:szCs w:val="24"/>
              </w:rPr>
              <w:t>Sieć elektroenergetyczna najwyższych lub wysokich napięć, za której ruch sieciowy jest odpowiedzialny operator systemu przesyłowego.</w:t>
            </w:r>
          </w:p>
        </w:tc>
      </w:tr>
      <w:tr w:rsidR="0002655A" w:rsidRPr="00AE3F1B" w14:paraId="0F39C0B8" w14:textId="77777777" w:rsidTr="00012668">
        <w:tblPrEx>
          <w:tblCellMar>
            <w:top w:w="43" w:type="dxa"/>
            <w:left w:w="46" w:type="dxa"/>
            <w:right w:w="43" w:type="dxa"/>
          </w:tblCellMar>
        </w:tblPrEx>
        <w:trPr>
          <w:trHeight w:val="576"/>
        </w:trPr>
        <w:tc>
          <w:tcPr>
            <w:tcW w:w="2059" w:type="dxa"/>
            <w:tcBorders>
              <w:top w:val="single" w:sz="2" w:space="0" w:color="000000"/>
              <w:left w:val="single" w:sz="2" w:space="0" w:color="000000"/>
              <w:bottom w:val="single" w:sz="2" w:space="0" w:color="000000"/>
              <w:right w:val="single" w:sz="2" w:space="0" w:color="000000"/>
            </w:tcBorders>
          </w:tcPr>
          <w:p w14:paraId="10ADBEB7" w14:textId="77777777" w:rsidR="0002655A" w:rsidRPr="00AE3F1B" w:rsidRDefault="0002655A" w:rsidP="00012668">
            <w:pPr>
              <w:spacing w:line="259" w:lineRule="auto"/>
              <w:ind w:left="24" w:right="-3" w:hanging="24"/>
              <w:jc w:val="left"/>
              <w:rPr>
                <w:rFonts w:ascii="Garamond" w:hAnsi="Garamond"/>
                <w:sz w:val="24"/>
                <w:szCs w:val="24"/>
              </w:rPr>
            </w:pPr>
            <w:r w:rsidRPr="00AE3F1B">
              <w:rPr>
                <w:rFonts w:ascii="Garamond" w:hAnsi="Garamond"/>
                <w:sz w:val="24"/>
                <w:szCs w:val="24"/>
              </w:rPr>
              <w:t>Sieć dystrybucyjna</w:t>
            </w:r>
          </w:p>
        </w:tc>
        <w:tc>
          <w:tcPr>
            <w:tcW w:w="7580" w:type="dxa"/>
            <w:tcBorders>
              <w:top w:val="single" w:sz="2" w:space="0" w:color="000000"/>
              <w:left w:val="single" w:sz="2" w:space="0" w:color="000000"/>
              <w:bottom w:val="single" w:sz="2" w:space="0" w:color="000000"/>
              <w:right w:val="single" w:sz="2" w:space="0" w:color="000000"/>
            </w:tcBorders>
          </w:tcPr>
          <w:p w14:paraId="747A346A" w14:textId="77777777" w:rsidR="0002655A" w:rsidRPr="00AE3F1B" w:rsidRDefault="0002655A" w:rsidP="00AA279F">
            <w:pPr>
              <w:spacing w:line="259" w:lineRule="auto"/>
              <w:ind w:right="-3"/>
              <w:jc w:val="left"/>
              <w:rPr>
                <w:rFonts w:ascii="Garamond" w:hAnsi="Garamond"/>
                <w:sz w:val="24"/>
                <w:szCs w:val="24"/>
              </w:rPr>
            </w:pPr>
            <w:r w:rsidRPr="00AE3F1B">
              <w:rPr>
                <w:rFonts w:ascii="Garamond" w:hAnsi="Garamond"/>
                <w:sz w:val="24"/>
                <w:szCs w:val="24"/>
              </w:rPr>
              <w:t>Sieć elektroenergetyczna wysokich, średnich i niskich napięć, za której ruch sieciowy jest odpowiedzialny operator systemu dystrybucyjnego.</w:t>
            </w:r>
          </w:p>
        </w:tc>
      </w:tr>
      <w:tr w:rsidR="0002655A" w:rsidRPr="00AE3F1B" w14:paraId="7BFBA6D2" w14:textId="77777777" w:rsidTr="00012668">
        <w:tblPrEx>
          <w:tblCellMar>
            <w:top w:w="43" w:type="dxa"/>
            <w:left w:w="46" w:type="dxa"/>
            <w:right w:w="43" w:type="dxa"/>
          </w:tblCellMar>
        </w:tblPrEx>
        <w:trPr>
          <w:trHeight w:val="576"/>
        </w:trPr>
        <w:tc>
          <w:tcPr>
            <w:tcW w:w="2059" w:type="dxa"/>
            <w:tcBorders>
              <w:top w:val="single" w:sz="2" w:space="0" w:color="000000"/>
              <w:left w:val="single" w:sz="2" w:space="0" w:color="000000"/>
              <w:bottom w:val="single" w:sz="2" w:space="0" w:color="000000"/>
              <w:right w:val="single" w:sz="2" w:space="0" w:color="000000"/>
            </w:tcBorders>
          </w:tcPr>
          <w:p w14:paraId="35A31036" w14:textId="77777777" w:rsidR="0002655A" w:rsidRPr="00AE3F1B" w:rsidRDefault="0002655A" w:rsidP="00012668">
            <w:pPr>
              <w:spacing w:line="259" w:lineRule="auto"/>
              <w:ind w:left="24" w:right="-3" w:hanging="24"/>
              <w:jc w:val="left"/>
              <w:rPr>
                <w:rFonts w:ascii="Garamond" w:hAnsi="Garamond"/>
                <w:sz w:val="24"/>
                <w:szCs w:val="24"/>
              </w:rPr>
            </w:pPr>
            <w:r w:rsidRPr="00AE3F1B">
              <w:rPr>
                <w:rFonts w:ascii="Garamond" w:hAnsi="Garamond"/>
                <w:sz w:val="24"/>
                <w:szCs w:val="24"/>
              </w:rPr>
              <w:t>Służba dyspozytorska lub ruchowa</w:t>
            </w:r>
          </w:p>
        </w:tc>
        <w:tc>
          <w:tcPr>
            <w:tcW w:w="7580" w:type="dxa"/>
            <w:tcBorders>
              <w:top w:val="single" w:sz="2" w:space="0" w:color="000000"/>
              <w:left w:val="single" w:sz="2" w:space="0" w:color="000000"/>
              <w:bottom w:val="single" w:sz="2" w:space="0" w:color="000000"/>
              <w:right w:val="single" w:sz="2" w:space="0" w:color="000000"/>
            </w:tcBorders>
          </w:tcPr>
          <w:p w14:paraId="4BB1B864" w14:textId="77777777" w:rsidR="0002655A" w:rsidRPr="00AE3F1B" w:rsidRDefault="0002655A" w:rsidP="00AA279F">
            <w:pPr>
              <w:spacing w:line="259" w:lineRule="auto"/>
              <w:ind w:right="-3"/>
              <w:jc w:val="left"/>
              <w:rPr>
                <w:rFonts w:ascii="Garamond" w:hAnsi="Garamond"/>
                <w:sz w:val="24"/>
                <w:szCs w:val="24"/>
              </w:rPr>
            </w:pPr>
            <w:r w:rsidRPr="00AE3F1B">
              <w:rPr>
                <w:rFonts w:ascii="Garamond" w:hAnsi="Garamond"/>
                <w:sz w:val="24"/>
                <w:szCs w:val="24"/>
              </w:rPr>
              <w:t>Komórka organizacyjna przedsiębiorstwa elektroenergetycznego, uprawniona do prowadzenia ruchu sieci i kierowania pracą jednostek wytwórczych.</w:t>
            </w:r>
          </w:p>
        </w:tc>
      </w:tr>
      <w:tr w:rsidR="0002655A" w:rsidRPr="00AE3F1B" w14:paraId="30638692" w14:textId="77777777" w:rsidTr="00012668">
        <w:tblPrEx>
          <w:tblCellMar>
            <w:top w:w="43" w:type="dxa"/>
            <w:left w:w="46" w:type="dxa"/>
            <w:right w:w="43" w:type="dxa"/>
          </w:tblCellMar>
        </w:tblPrEx>
        <w:trPr>
          <w:trHeight w:val="1084"/>
        </w:trPr>
        <w:tc>
          <w:tcPr>
            <w:tcW w:w="2059" w:type="dxa"/>
            <w:tcBorders>
              <w:top w:val="single" w:sz="2" w:space="0" w:color="000000"/>
              <w:left w:val="single" w:sz="2" w:space="0" w:color="000000"/>
              <w:bottom w:val="single" w:sz="2" w:space="0" w:color="000000"/>
              <w:right w:val="single" w:sz="2" w:space="0" w:color="000000"/>
            </w:tcBorders>
          </w:tcPr>
          <w:p w14:paraId="003BC5F9" w14:textId="77777777" w:rsidR="0002655A" w:rsidRPr="00AE3F1B" w:rsidRDefault="0002655A" w:rsidP="00012668">
            <w:pPr>
              <w:spacing w:line="259" w:lineRule="auto"/>
              <w:ind w:left="24" w:right="-3" w:hanging="24"/>
              <w:jc w:val="left"/>
              <w:rPr>
                <w:rFonts w:ascii="Garamond" w:hAnsi="Garamond"/>
                <w:sz w:val="24"/>
                <w:szCs w:val="24"/>
              </w:rPr>
            </w:pPr>
            <w:r w:rsidRPr="00AE3F1B">
              <w:rPr>
                <w:rFonts w:ascii="Garamond" w:hAnsi="Garamond"/>
                <w:sz w:val="24"/>
                <w:szCs w:val="24"/>
              </w:rPr>
              <w:lastRenderedPageBreak/>
              <w:t>Sprzedawca</w:t>
            </w:r>
          </w:p>
        </w:tc>
        <w:tc>
          <w:tcPr>
            <w:tcW w:w="7580" w:type="dxa"/>
            <w:tcBorders>
              <w:top w:val="single" w:sz="2" w:space="0" w:color="000000"/>
              <w:left w:val="single" w:sz="2" w:space="0" w:color="000000"/>
              <w:bottom w:val="single" w:sz="2" w:space="0" w:color="000000"/>
              <w:right w:val="single" w:sz="2" w:space="0" w:color="000000"/>
            </w:tcBorders>
          </w:tcPr>
          <w:p w14:paraId="1026825B" w14:textId="77777777" w:rsidR="0002655A" w:rsidRPr="00AE3F1B" w:rsidRDefault="0002655A" w:rsidP="00AA279F">
            <w:pPr>
              <w:spacing w:line="259" w:lineRule="auto"/>
              <w:ind w:right="-3"/>
              <w:jc w:val="left"/>
              <w:rPr>
                <w:rFonts w:ascii="Garamond" w:hAnsi="Garamond"/>
                <w:sz w:val="24"/>
                <w:szCs w:val="24"/>
              </w:rPr>
            </w:pPr>
            <w:r w:rsidRPr="00AE3F1B">
              <w:rPr>
                <w:rFonts w:ascii="Garamond" w:hAnsi="Garamond"/>
                <w:sz w:val="24"/>
                <w:szCs w:val="24"/>
              </w:rPr>
              <w:t>Przedsiębiorstwo energetyczne prowadzące działalność gospodarczą polegającą na sprzedaży energii elektrycznej przez niego wytworzonej lub przedsiębiorstwo energetyczne prowadzące działalność gospodarczą polegającą na obrocie energią elektryczną.</w:t>
            </w:r>
          </w:p>
        </w:tc>
      </w:tr>
      <w:tr w:rsidR="005027CA" w:rsidRPr="00AE3F1B" w14:paraId="008DF3E4" w14:textId="77777777" w:rsidTr="00012668">
        <w:tblPrEx>
          <w:tblCellMar>
            <w:top w:w="39" w:type="dxa"/>
            <w:left w:w="46" w:type="dxa"/>
            <w:right w:w="36" w:type="dxa"/>
          </w:tblCellMar>
        </w:tblPrEx>
        <w:trPr>
          <w:trHeight w:val="636"/>
        </w:trPr>
        <w:tc>
          <w:tcPr>
            <w:tcW w:w="2059" w:type="dxa"/>
            <w:tcBorders>
              <w:top w:val="single" w:sz="2" w:space="0" w:color="000000"/>
              <w:left w:val="single" w:sz="2" w:space="0" w:color="000000"/>
              <w:bottom w:val="single" w:sz="2" w:space="0" w:color="000000"/>
              <w:right w:val="single" w:sz="2" w:space="0" w:color="000000"/>
            </w:tcBorders>
          </w:tcPr>
          <w:p w14:paraId="752E6902" w14:textId="77777777" w:rsidR="005027CA" w:rsidRPr="00AE3F1B" w:rsidRDefault="005027CA" w:rsidP="00012668">
            <w:pPr>
              <w:spacing w:line="259" w:lineRule="auto"/>
              <w:ind w:left="24" w:right="-3" w:hanging="24"/>
              <w:jc w:val="left"/>
              <w:rPr>
                <w:rFonts w:ascii="Garamond" w:hAnsi="Garamond"/>
                <w:sz w:val="24"/>
                <w:szCs w:val="24"/>
              </w:rPr>
            </w:pPr>
            <w:r w:rsidRPr="00AE3F1B">
              <w:rPr>
                <w:rFonts w:ascii="Garamond" w:hAnsi="Garamond"/>
                <w:sz w:val="24"/>
                <w:szCs w:val="24"/>
              </w:rPr>
              <w:t>Sprzedaż energii elektrycznej</w:t>
            </w:r>
          </w:p>
        </w:tc>
        <w:tc>
          <w:tcPr>
            <w:tcW w:w="7580" w:type="dxa"/>
            <w:tcBorders>
              <w:top w:val="single" w:sz="2" w:space="0" w:color="000000"/>
              <w:left w:val="single" w:sz="2" w:space="0" w:color="000000"/>
              <w:bottom w:val="single" w:sz="2" w:space="0" w:color="000000"/>
              <w:right w:val="single" w:sz="2" w:space="0" w:color="000000"/>
            </w:tcBorders>
          </w:tcPr>
          <w:p w14:paraId="107F5935" w14:textId="77777777" w:rsidR="005027CA" w:rsidRPr="00AE3F1B" w:rsidRDefault="005027CA" w:rsidP="00AA279F">
            <w:pPr>
              <w:spacing w:line="259" w:lineRule="auto"/>
              <w:ind w:right="-3"/>
              <w:jc w:val="left"/>
              <w:rPr>
                <w:rFonts w:ascii="Garamond" w:hAnsi="Garamond"/>
                <w:sz w:val="24"/>
                <w:szCs w:val="24"/>
              </w:rPr>
            </w:pPr>
            <w:r w:rsidRPr="00AE3F1B">
              <w:rPr>
                <w:rFonts w:ascii="Garamond" w:hAnsi="Garamond"/>
                <w:sz w:val="24"/>
                <w:szCs w:val="24"/>
              </w:rPr>
              <w:t>Bezpośrednia sprzedaż energii przez podmiot zajmujący się jej wytwarzaniem lub odsprzedaż energii przez podmiot zajmujący się jej obrotem.</w:t>
            </w:r>
          </w:p>
        </w:tc>
      </w:tr>
      <w:tr w:rsidR="005027CA" w:rsidRPr="00AE3F1B" w14:paraId="5BEDCFE6" w14:textId="77777777" w:rsidTr="00012668">
        <w:tblPrEx>
          <w:tblCellMar>
            <w:top w:w="39" w:type="dxa"/>
            <w:left w:w="46" w:type="dxa"/>
            <w:right w:w="36" w:type="dxa"/>
          </w:tblCellMar>
        </w:tblPrEx>
        <w:trPr>
          <w:trHeight w:val="636"/>
        </w:trPr>
        <w:tc>
          <w:tcPr>
            <w:tcW w:w="2059" w:type="dxa"/>
            <w:tcBorders>
              <w:top w:val="single" w:sz="2" w:space="0" w:color="000000"/>
              <w:left w:val="single" w:sz="2" w:space="0" w:color="000000"/>
              <w:bottom w:val="single" w:sz="2" w:space="0" w:color="000000"/>
              <w:right w:val="single" w:sz="2" w:space="0" w:color="000000"/>
            </w:tcBorders>
          </w:tcPr>
          <w:p w14:paraId="60D216B1" w14:textId="77777777" w:rsidR="005027CA" w:rsidRPr="00AE3F1B" w:rsidRDefault="005027CA" w:rsidP="00012668">
            <w:pPr>
              <w:spacing w:line="259" w:lineRule="auto"/>
              <w:ind w:left="24" w:right="-3" w:hanging="24"/>
              <w:jc w:val="left"/>
              <w:rPr>
                <w:rFonts w:ascii="Garamond" w:hAnsi="Garamond"/>
                <w:sz w:val="24"/>
                <w:szCs w:val="24"/>
              </w:rPr>
            </w:pPr>
            <w:r w:rsidRPr="00AE3F1B">
              <w:rPr>
                <w:rFonts w:ascii="Garamond" w:hAnsi="Garamond"/>
                <w:sz w:val="24"/>
                <w:szCs w:val="24"/>
              </w:rPr>
              <w:t>Sprzedawca Macierzysty</w:t>
            </w:r>
          </w:p>
        </w:tc>
        <w:tc>
          <w:tcPr>
            <w:tcW w:w="7580" w:type="dxa"/>
            <w:tcBorders>
              <w:top w:val="single" w:sz="2" w:space="0" w:color="000000"/>
              <w:left w:val="single" w:sz="2" w:space="0" w:color="000000"/>
              <w:bottom w:val="single" w:sz="2" w:space="0" w:color="000000"/>
              <w:right w:val="single" w:sz="2" w:space="0" w:color="000000"/>
            </w:tcBorders>
          </w:tcPr>
          <w:p w14:paraId="76BD6C39" w14:textId="77777777" w:rsidR="005027CA" w:rsidRPr="00AE3F1B" w:rsidRDefault="005027CA" w:rsidP="00AA279F">
            <w:pPr>
              <w:spacing w:line="259" w:lineRule="auto"/>
              <w:ind w:right="-3"/>
              <w:jc w:val="left"/>
              <w:rPr>
                <w:rFonts w:ascii="Garamond" w:hAnsi="Garamond"/>
                <w:sz w:val="24"/>
                <w:szCs w:val="24"/>
              </w:rPr>
            </w:pPr>
            <w:r w:rsidRPr="00AE3F1B">
              <w:rPr>
                <w:rFonts w:ascii="Garamond" w:hAnsi="Garamond"/>
                <w:sz w:val="24"/>
                <w:szCs w:val="24"/>
              </w:rPr>
              <w:t>Podmiot sprzedający energię elektryczną odbiorcom niekorzystającym z prawa wyboru sprzedawcy, pełniący jednocześnie na obszarze sieci OSD funkcję Sprzedawcy z Urzędu.</w:t>
            </w:r>
          </w:p>
        </w:tc>
      </w:tr>
      <w:tr w:rsidR="005027CA" w:rsidRPr="00AE3F1B" w14:paraId="3D4F2860" w14:textId="77777777" w:rsidTr="00012668">
        <w:tblPrEx>
          <w:tblCellMar>
            <w:top w:w="39" w:type="dxa"/>
            <w:left w:w="46" w:type="dxa"/>
            <w:right w:w="36" w:type="dxa"/>
          </w:tblCellMar>
        </w:tblPrEx>
        <w:trPr>
          <w:trHeight w:val="636"/>
        </w:trPr>
        <w:tc>
          <w:tcPr>
            <w:tcW w:w="2059" w:type="dxa"/>
            <w:tcBorders>
              <w:top w:val="single" w:sz="2" w:space="0" w:color="000000"/>
              <w:left w:val="single" w:sz="2" w:space="0" w:color="000000"/>
              <w:bottom w:val="single" w:sz="2" w:space="0" w:color="000000"/>
              <w:right w:val="single" w:sz="2" w:space="0" w:color="000000"/>
            </w:tcBorders>
          </w:tcPr>
          <w:p w14:paraId="4D4D9ADF" w14:textId="77777777" w:rsidR="005027CA" w:rsidRPr="00AE3F1B" w:rsidRDefault="005027CA" w:rsidP="00012668">
            <w:pPr>
              <w:spacing w:line="259" w:lineRule="auto"/>
              <w:ind w:left="24" w:right="-3" w:hanging="24"/>
              <w:jc w:val="left"/>
              <w:rPr>
                <w:rFonts w:ascii="Garamond" w:hAnsi="Garamond"/>
                <w:sz w:val="24"/>
                <w:szCs w:val="24"/>
              </w:rPr>
            </w:pPr>
            <w:r w:rsidRPr="00AE3F1B">
              <w:rPr>
                <w:rFonts w:ascii="Garamond" w:hAnsi="Garamond"/>
                <w:sz w:val="24"/>
                <w:szCs w:val="24"/>
              </w:rPr>
              <w:t>Stan zagrożenia KSE</w:t>
            </w:r>
          </w:p>
        </w:tc>
        <w:tc>
          <w:tcPr>
            <w:tcW w:w="7580" w:type="dxa"/>
            <w:tcBorders>
              <w:top w:val="single" w:sz="2" w:space="0" w:color="000000"/>
              <w:left w:val="single" w:sz="2" w:space="0" w:color="000000"/>
              <w:bottom w:val="single" w:sz="2" w:space="0" w:color="000000"/>
              <w:right w:val="single" w:sz="2" w:space="0" w:color="000000"/>
            </w:tcBorders>
          </w:tcPr>
          <w:p w14:paraId="353B4191" w14:textId="77777777" w:rsidR="005027CA" w:rsidRPr="00AE3F1B" w:rsidRDefault="005027CA" w:rsidP="00AA279F">
            <w:pPr>
              <w:spacing w:line="259" w:lineRule="auto"/>
              <w:ind w:right="-3"/>
              <w:jc w:val="left"/>
              <w:rPr>
                <w:rFonts w:ascii="Garamond" w:hAnsi="Garamond"/>
                <w:sz w:val="24"/>
                <w:szCs w:val="24"/>
              </w:rPr>
            </w:pPr>
            <w:r w:rsidRPr="00AE3F1B">
              <w:rPr>
                <w:rFonts w:ascii="Garamond" w:hAnsi="Garamond"/>
                <w:sz w:val="24"/>
                <w:szCs w:val="24"/>
              </w:rPr>
              <w:t>Warunki pracy, w których istnieje niebezpieczeństwo wystąpienia: niestabilności systemu, podziału sieci przesyłowej lub ograniczenia dostaw energii elektrycznej do odbiorców</w:t>
            </w:r>
          </w:p>
        </w:tc>
      </w:tr>
      <w:tr w:rsidR="005027CA" w:rsidRPr="00AE3F1B" w14:paraId="54D61A71" w14:textId="77777777" w:rsidTr="00012668">
        <w:tblPrEx>
          <w:tblCellMar>
            <w:top w:w="39" w:type="dxa"/>
            <w:left w:w="46" w:type="dxa"/>
            <w:right w:w="36" w:type="dxa"/>
          </w:tblCellMar>
        </w:tblPrEx>
        <w:trPr>
          <w:trHeight w:val="636"/>
        </w:trPr>
        <w:tc>
          <w:tcPr>
            <w:tcW w:w="2059" w:type="dxa"/>
            <w:tcBorders>
              <w:top w:val="single" w:sz="2" w:space="0" w:color="000000"/>
              <w:left w:val="single" w:sz="2" w:space="0" w:color="000000"/>
              <w:bottom w:val="single" w:sz="2" w:space="0" w:color="000000"/>
              <w:right w:val="single" w:sz="2" w:space="0" w:color="000000"/>
            </w:tcBorders>
          </w:tcPr>
          <w:p w14:paraId="20CCB668" w14:textId="77777777" w:rsidR="005027CA" w:rsidRPr="00AE3F1B" w:rsidRDefault="005027CA" w:rsidP="00012668">
            <w:pPr>
              <w:spacing w:line="259" w:lineRule="auto"/>
              <w:ind w:left="24" w:right="-3" w:hanging="24"/>
              <w:jc w:val="left"/>
              <w:rPr>
                <w:rFonts w:ascii="Garamond" w:hAnsi="Garamond"/>
                <w:sz w:val="24"/>
                <w:szCs w:val="24"/>
              </w:rPr>
            </w:pPr>
            <w:r w:rsidRPr="00AE3F1B">
              <w:rPr>
                <w:rFonts w:ascii="Garamond" w:hAnsi="Garamond"/>
                <w:sz w:val="24"/>
                <w:szCs w:val="24"/>
              </w:rPr>
              <w:t>Sterownik polowy</w:t>
            </w:r>
          </w:p>
        </w:tc>
        <w:tc>
          <w:tcPr>
            <w:tcW w:w="7580" w:type="dxa"/>
            <w:tcBorders>
              <w:top w:val="single" w:sz="2" w:space="0" w:color="000000"/>
              <w:left w:val="single" w:sz="2" w:space="0" w:color="000000"/>
              <w:bottom w:val="single" w:sz="2" w:space="0" w:color="000000"/>
              <w:right w:val="single" w:sz="2" w:space="0" w:color="000000"/>
            </w:tcBorders>
          </w:tcPr>
          <w:p w14:paraId="687E6ADA" w14:textId="77777777" w:rsidR="005027CA" w:rsidRPr="00AE3F1B" w:rsidRDefault="005027CA" w:rsidP="00AA279F">
            <w:pPr>
              <w:spacing w:line="259" w:lineRule="auto"/>
              <w:ind w:right="-3"/>
              <w:jc w:val="left"/>
              <w:rPr>
                <w:rFonts w:ascii="Garamond" w:hAnsi="Garamond"/>
                <w:sz w:val="24"/>
                <w:szCs w:val="24"/>
              </w:rPr>
            </w:pPr>
            <w:r w:rsidRPr="00AE3F1B">
              <w:rPr>
                <w:rFonts w:ascii="Garamond" w:hAnsi="Garamond"/>
                <w:sz w:val="24"/>
                <w:szCs w:val="24"/>
              </w:rPr>
              <w:t>Terminal polowy, który posiada wbudowane przyciski lub ekran dotykowy do sterowania łącznikami oraz umożliwia wizualizacje aktualnego stanu liczników w tym polu.</w:t>
            </w:r>
          </w:p>
        </w:tc>
      </w:tr>
      <w:tr w:rsidR="005027CA" w:rsidRPr="00AE3F1B" w14:paraId="427A8B4B" w14:textId="77777777" w:rsidTr="00012668">
        <w:tblPrEx>
          <w:tblCellMar>
            <w:top w:w="39" w:type="dxa"/>
            <w:left w:w="46" w:type="dxa"/>
            <w:right w:w="36" w:type="dxa"/>
          </w:tblCellMar>
        </w:tblPrEx>
        <w:trPr>
          <w:trHeight w:val="636"/>
        </w:trPr>
        <w:tc>
          <w:tcPr>
            <w:tcW w:w="2059" w:type="dxa"/>
            <w:tcBorders>
              <w:top w:val="single" w:sz="2" w:space="0" w:color="000000"/>
              <w:left w:val="single" w:sz="2" w:space="0" w:color="000000"/>
              <w:bottom w:val="single" w:sz="2" w:space="0" w:color="000000"/>
              <w:right w:val="single" w:sz="2" w:space="0" w:color="000000"/>
            </w:tcBorders>
          </w:tcPr>
          <w:p w14:paraId="34C13472" w14:textId="77777777" w:rsidR="005027CA" w:rsidRPr="00AE3F1B" w:rsidRDefault="005027CA" w:rsidP="00012668">
            <w:pPr>
              <w:spacing w:line="259" w:lineRule="auto"/>
              <w:ind w:left="24" w:right="-3" w:hanging="24"/>
              <w:jc w:val="left"/>
              <w:rPr>
                <w:rFonts w:ascii="Garamond" w:hAnsi="Garamond"/>
                <w:sz w:val="24"/>
                <w:szCs w:val="24"/>
              </w:rPr>
            </w:pPr>
            <w:r w:rsidRPr="00AE3F1B">
              <w:rPr>
                <w:rFonts w:ascii="Garamond" w:hAnsi="Garamond"/>
                <w:sz w:val="24"/>
                <w:szCs w:val="24"/>
              </w:rPr>
              <w:t>System elektroenergetyczny</w:t>
            </w:r>
          </w:p>
        </w:tc>
        <w:tc>
          <w:tcPr>
            <w:tcW w:w="7580" w:type="dxa"/>
            <w:tcBorders>
              <w:top w:val="single" w:sz="2" w:space="0" w:color="000000"/>
              <w:left w:val="single" w:sz="2" w:space="0" w:color="000000"/>
              <w:bottom w:val="single" w:sz="2" w:space="0" w:color="000000"/>
              <w:right w:val="single" w:sz="2" w:space="0" w:color="000000"/>
            </w:tcBorders>
          </w:tcPr>
          <w:p w14:paraId="7305D99F" w14:textId="77777777" w:rsidR="005027CA" w:rsidRPr="00AE3F1B" w:rsidRDefault="005027CA" w:rsidP="00AA279F">
            <w:pPr>
              <w:spacing w:line="259" w:lineRule="auto"/>
              <w:ind w:right="-3"/>
              <w:jc w:val="left"/>
              <w:rPr>
                <w:rFonts w:ascii="Garamond" w:hAnsi="Garamond"/>
                <w:sz w:val="24"/>
                <w:szCs w:val="24"/>
              </w:rPr>
            </w:pPr>
            <w:r w:rsidRPr="00AE3F1B">
              <w:rPr>
                <w:rFonts w:ascii="Garamond" w:hAnsi="Garamond"/>
                <w:sz w:val="24"/>
                <w:szCs w:val="24"/>
              </w:rPr>
              <w:t>Sieci elektroenergetyczne oraz przyłączone do nich urządzenia i instalacje, współpracujące z siecią.</w:t>
            </w:r>
          </w:p>
        </w:tc>
      </w:tr>
      <w:tr w:rsidR="0002655A" w:rsidRPr="00AE3F1B" w14:paraId="2262DA2C" w14:textId="77777777" w:rsidTr="00012668">
        <w:tblPrEx>
          <w:tblCellMar>
            <w:top w:w="39" w:type="dxa"/>
            <w:left w:w="46" w:type="dxa"/>
            <w:right w:w="36" w:type="dxa"/>
          </w:tblCellMar>
        </w:tblPrEx>
        <w:trPr>
          <w:trHeight w:val="479"/>
        </w:trPr>
        <w:tc>
          <w:tcPr>
            <w:tcW w:w="2059" w:type="dxa"/>
            <w:tcBorders>
              <w:top w:val="single" w:sz="2" w:space="0" w:color="000000"/>
              <w:left w:val="single" w:sz="2" w:space="0" w:color="000000"/>
              <w:bottom w:val="single" w:sz="2" w:space="0" w:color="000000"/>
              <w:right w:val="single" w:sz="2" w:space="0" w:color="000000"/>
            </w:tcBorders>
            <w:vAlign w:val="center"/>
          </w:tcPr>
          <w:p w14:paraId="723E90B0" w14:textId="77777777" w:rsidR="0002655A" w:rsidRPr="00AE3F1B" w:rsidRDefault="0002655A" w:rsidP="00012668">
            <w:pPr>
              <w:spacing w:line="259" w:lineRule="auto"/>
              <w:ind w:left="24" w:right="-3" w:hanging="24"/>
              <w:jc w:val="left"/>
              <w:rPr>
                <w:rFonts w:ascii="Garamond" w:hAnsi="Garamond"/>
                <w:sz w:val="24"/>
                <w:szCs w:val="24"/>
              </w:rPr>
            </w:pPr>
            <w:r w:rsidRPr="00AE3F1B">
              <w:rPr>
                <w:rFonts w:ascii="Garamond" w:hAnsi="Garamond"/>
                <w:sz w:val="24"/>
                <w:szCs w:val="24"/>
              </w:rPr>
              <w:t>Średnie napięcie</w:t>
            </w:r>
          </w:p>
        </w:tc>
        <w:tc>
          <w:tcPr>
            <w:tcW w:w="7580" w:type="dxa"/>
            <w:tcBorders>
              <w:top w:val="single" w:sz="2" w:space="0" w:color="000000"/>
              <w:left w:val="single" w:sz="2" w:space="0" w:color="000000"/>
              <w:bottom w:val="single" w:sz="2" w:space="0" w:color="000000"/>
              <w:right w:val="single" w:sz="2" w:space="0" w:color="000000"/>
            </w:tcBorders>
            <w:vAlign w:val="center"/>
          </w:tcPr>
          <w:p w14:paraId="6541A4F9" w14:textId="52F1E689" w:rsidR="0002655A" w:rsidRPr="00AE3F1B" w:rsidRDefault="0002655A" w:rsidP="00AA279F">
            <w:pPr>
              <w:spacing w:line="259" w:lineRule="auto"/>
              <w:ind w:right="-3"/>
              <w:jc w:val="left"/>
              <w:rPr>
                <w:rFonts w:ascii="Garamond" w:hAnsi="Garamond"/>
                <w:sz w:val="24"/>
                <w:szCs w:val="24"/>
              </w:rPr>
            </w:pPr>
            <w:r w:rsidRPr="00AE3F1B">
              <w:rPr>
                <w:rFonts w:ascii="Garamond" w:hAnsi="Garamond"/>
                <w:sz w:val="24"/>
                <w:szCs w:val="24"/>
              </w:rPr>
              <w:t xml:space="preserve">Napięcie wyższe od </w:t>
            </w:r>
            <w:r w:rsidR="005027CA" w:rsidRPr="00AE3F1B">
              <w:rPr>
                <w:rFonts w:ascii="Garamond" w:hAnsi="Garamond"/>
                <w:sz w:val="24"/>
                <w:szCs w:val="24"/>
              </w:rPr>
              <w:t>1</w:t>
            </w:r>
            <w:r w:rsidRPr="00AE3F1B">
              <w:rPr>
                <w:rFonts w:ascii="Garamond" w:hAnsi="Garamond"/>
                <w:sz w:val="24"/>
                <w:szCs w:val="24"/>
              </w:rPr>
              <w:t>kV i niższe od 110kV.</w:t>
            </w:r>
          </w:p>
        </w:tc>
      </w:tr>
      <w:tr w:rsidR="0002655A" w:rsidRPr="00AE3F1B" w14:paraId="5A4EDE83" w14:textId="77777777" w:rsidTr="00012668">
        <w:tblPrEx>
          <w:tblCellMar>
            <w:top w:w="39" w:type="dxa"/>
            <w:left w:w="46" w:type="dxa"/>
            <w:right w:w="36" w:type="dxa"/>
          </w:tblCellMar>
        </w:tblPrEx>
        <w:trPr>
          <w:trHeight w:val="1902"/>
        </w:trPr>
        <w:tc>
          <w:tcPr>
            <w:tcW w:w="2059" w:type="dxa"/>
            <w:tcBorders>
              <w:top w:val="single" w:sz="2" w:space="0" w:color="000000"/>
              <w:left w:val="single" w:sz="2" w:space="0" w:color="000000"/>
              <w:bottom w:val="single" w:sz="2" w:space="0" w:color="000000"/>
              <w:right w:val="single" w:sz="2" w:space="0" w:color="000000"/>
            </w:tcBorders>
          </w:tcPr>
          <w:p w14:paraId="45588B2C" w14:textId="77777777" w:rsidR="0002655A" w:rsidRPr="00AE3F1B" w:rsidRDefault="0002655A" w:rsidP="00012668">
            <w:pPr>
              <w:spacing w:line="259" w:lineRule="auto"/>
              <w:ind w:left="24" w:right="-3" w:hanging="24"/>
              <w:jc w:val="left"/>
              <w:rPr>
                <w:rFonts w:ascii="Garamond" w:hAnsi="Garamond"/>
                <w:sz w:val="24"/>
                <w:szCs w:val="24"/>
              </w:rPr>
            </w:pPr>
            <w:r w:rsidRPr="00AE3F1B">
              <w:rPr>
                <w:rFonts w:ascii="Garamond" w:hAnsi="Garamond"/>
                <w:sz w:val="24"/>
                <w:szCs w:val="24"/>
              </w:rPr>
              <w:t>Terminal polowy</w:t>
            </w:r>
          </w:p>
        </w:tc>
        <w:tc>
          <w:tcPr>
            <w:tcW w:w="7580" w:type="dxa"/>
            <w:tcBorders>
              <w:top w:val="single" w:sz="2" w:space="0" w:color="000000"/>
              <w:left w:val="single" w:sz="2" w:space="0" w:color="000000"/>
              <w:bottom w:val="single" w:sz="2" w:space="0" w:color="000000"/>
              <w:right w:val="single" w:sz="2" w:space="0" w:color="000000"/>
            </w:tcBorders>
          </w:tcPr>
          <w:p w14:paraId="70DFF1DF" w14:textId="77777777" w:rsidR="0002655A" w:rsidRPr="00AE3F1B" w:rsidRDefault="0002655A" w:rsidP="00AA279F">
            <w:pPr>
              <w:spacing w:line="259" w:lineRule="auto"/>
              <w:ind w:right="-3"/>
              <w:jc w:val="left"/>
              <w:rPr>
                <w:rFonts w:ascii="Garamond" w:hAnsi="Garamond"/>
                <w:sz w:val="24"/>
                <w:szCs w:val="24"/>
              </w:rPr>
            </w:pPr>
            <w:r w:rsidRPr="00AE3F1B">
              <w:rPr>
                <w:rFonts w:ascii="Garamond" w:hAnsi="Garamond"/>
                <w:sz w:val="24"/>
                <w:szCs w:val="24"/>
              </w:rPr>
              <w:t>Mikroprocesorowe urządzenie posiadające przynajmniej jedno łącze cyfrowe z systemem nadzoru (komputerem nadrzędnym), które realizuje zadania w zakresie obsługi wydzielonego pola elementu systemu elektroenergetycznego (linii, transformatora, łącznika szyn, itp.) związane z EAZ eliminacyjną, prewencyjną lub restytucyjną oraz dodatkowo w zakresie pomiarów wielkości elektrycznych, sterowania łącznikami, rejestracji zdarzeń i zakłóceń, lokalizacji miejsca zwarcia lub inne.</w:t>
            </w:r>
          </w:p>
        </w:tc>
      </w:tr>
      <w:tr w:rsidR="0002655A" w:rsidRPr="00AE3F1B" w14:paraId="098A850A" w14:textId="77777777" w:rsidTr="00012668">
        <w:tblPrEx>
          <w:tblCellMar>
            <w:top w:w="39" w:type="dxa"/>
            <w:left w:w="46" w:type="dxa"/>
            <w:right w:w="36" w:type="dxa"/>
          </w:tblCellMar>
        </w:tblPrEx>
        <w:trPr>
          <w:trHeight w:val="1710"/>
        </w:trPr>
        <w:tc>
          <w:tcPr>
            <w:tcW w:w="2059" w:type="dxa"/>
            <w:tcBorders>
              <w:top w:val="single" w:sz="2" w:space="0" w:color="000000"/>
              <w:left w:val="single" w:sz="2" w:space="0" w:color="000000"/>
              <w:bottom w:val="single" w:sz="2" w:space="0" w:color="000000"/>
              <w:right w:val="single" w:sz="2" w:space="0" w:color="000000"/>
            </w:tcBorders>
          </w:tcPr>
          <w:p w14:paraId="1EBB3403" w14:textId="77777777" w:rsidR="0002655A" w:rsidRPr="00AE3F1B" w:rsidRDefault="0002655A" w:rsidP="00012668">
            <w:pPr>
              <w:spacing w:line="259" w:lineRule="auto"/>
              <w:ind w:left="24" w:right="-3" w:hanging="24"/>
              <w:jc w:val="left"/>
              <w:rPr>
                <w:rFonts w:ascii="Garamond" w:hAnsi="Garamond"/>
                <w:sz w:val="24"/>
                <w:szCs w:val="24"/>
              </w:rPr>
            </w:pPr>
            <w:r w:rsidRPr="00AE3F1B">
              <w:rPr>
                <w:rFonts w:ascii="Garamond" w:hAnsi="Garamond"/>
                <w:sz w:val="24"/>
                <w:szCs w:val="24"/>
              </w:rPr>
              <w:t>Uczestnik Rynku Bilansującego</w:t>
            </w:r>
          </w:p>
        </w:tc>
        <w:tc>
          <w:tcPr>
            <w:tcW w:w="7580" w:type="dxa"/>
            <w:tcBorders>
              <w:top w:val="single" w:sz="2" w:space="0" w:color="000000"/>
              <w:left w:val="single" w:sz="2" w:space="0" w:color="000000"/>
              <w:bottom w:val="single" w:sz="2" w:space="0" w:color="000000"/>
              <w:right w:val="single" w:sz="2" w:space="0" w:color="000000"/>
            </w:tcBorders>
            <w:vAlign w:val="center"/>
          </w:tcPr>
          <w:p w14:paraId="0EC72A90" w14:textId="0C39F541" w:rsidR="0002655A" w:rsidRPr="00AE3F1B" w:rsidRDefault="0002655A" w:rsidP="00AA279F">
            <w:pPr>
              <w:spacing w:line="223" w:lineRule="auto"/>
              <w:ind w:right="-3"/>
              <w:jc w:val="left"/>
              <w:rPr>
                <w:rFonts w:ascii="Garamond" w:hAnsi="Garamond"/>
                <w:sz w:val="24"/>
                <w:szCs w:val="24"/>
              </w:rPr>
            </w:pPr>
            <w:r w:rsidRPr="00AE3F1B">
              <w:rPr>
                <w:rFonts w:ascii="Garamond" w:hAnsi="Garamond"/>
                <w:sz w:val="24"/>
                <w:szCs w:val="24"/>
              </w:rPr>
              <w:t xml:space="preserve">Podmiot, który ma zawartą Umowę o świadczenie usług przesyłania z Operatorem Systemu Przesyłowego, na </w:t>
            </w:r>
            <w:r w:rsidR="0077061D" w:rsidRPr="00AE3F1B">
              <w:rPr>
                <w:rFonts w:ascii="Garamond" w:hAnsi="Garamond"/>
                <w:sz w:val="24"/>
                <w:szCs w:val="24"/>
              </w:rPr>
              <w:t>mocy,</w:t>
            </w:r>
            <w:r w:rsidRPr="00AE3F1B">
              <w:rPr>
                <w:rFonts w:ascii="Garamond" w:hAnsi="Garamond"/>
                <w:sz w:val="24"/>
                <w:szCs w:val="24"/>
              </w:rPr>
              <w:t xml:space="preserve"> której, w celu zapewnienia sobie zbilansowania handlowego, realizuje dostawy energii poprzez obszar Rynku Bilansującego oraz podlega rozliczeniom z tytułu działań obejmujących bilansowanie energii i zarządzanie ograniczeniami systemowymi, zgodnie z zasadami określonymi w</w:t>
            </w:r>
          </w:p>
          <w:p w14:paraId="09B89721" w14:textId="77777777" w:rsidR="0002655A" w:rsidRPr="00AE3F1B" w:rsidRDefault="0002655A" w:rsidP="00AA279F">
            <w:pPr>
              <w:spacing w:line="259" w:lineRule="auto"/>
              <w:ind w:right="-3"/>
              <w:jc w:val="left"/>
              <w:rPr>
                <w:rFonts w:ascii="Garamond" w:hAnsi="Garamond"/>
                <w:sz w:val="24"/>
                <w:szCs w:val="24"/>
              </w:rPr>
            </w:pPr>
            <w:r w:rsidRPr="00AE3F1B">
              <w:rPr>
                <w:rFonts w:ascii="Garamond" w:hAnsi="Garamond"/>
                <w:sz w:val="24"/>
                <w:szCs w:val="24"/>
              </w:rPr>
              <w:t>IRiESP - Bilansowanie.</w:t>
            </w:r>
          </w:p>
        </w:tc>
      </w:tr>
      <w:tr w:rsidR="0002655A" w:rsidRPr="00AE3F1B" w14:paraId="7982D24A" w14:textId="77777777" w:rsidTr="00012668">
        <w:tblPrEx>
          <w:tblCellMar>
            <w:top w:w="39" w:type="dxa"/>
            <w:left w:w="46" w:type="dxa"/>
            <w:right w:w="36" w:type="dxa"/>
          </w:tblCellMar>
        </w:tblPrEx>
        <w:trPr>
          <w:trHeight w:val="1367"/>
        </w:trPr>
        <w:tc>
          <w:tcPr>
            <w:tcW w:w="2059" w:type="dxa"/>
            <w:tcBorders>
              <w:top w:val="single" w:sz="2" w:space="0" w:color="000000"/>
              <w:left w:val="single" w:sz="2" w:space="0" w:color="000000"/>
              <w:bottom w:val="single" w:sz="2" w:space="0" w:color="000000"/>
              <w:right w:val="single" w:sz="2" w:space="0" w:color="000000"/>
            </w:tcBorders>
          </w:tcPr>
          <w:p w14:paraId="221E7F04" w14:textId="77777777" w:rsidR="0002655A" w:rsidRPr="00AE3F1B" w:rsidRDefault="0002655A" w:rsidP="00012668">
            <w:pPr>
              <w:spacing w:line="259" w:lineRule="auto"/>
              <w:ind w:left="24" w:right="-3" w:hanging="24"/>
              <w:jc w:val="left"/>
              <w:rPr>
                <w:rFonts w:ascii="Garamond" w:hAnsi="Garamond"/>
                <w:sz w:val="24"/>
                <w:szCs w:val="24"/>
              </w:rPr>
            </w:pPr>
            <w:r w:rsidRPr="00AE3F1B">
              <w:rPr>
                <w:rFonts w:ascii="Garamond" w:hAnsi="Garamond"/>
                <w:sz w:val="24"/>
                <w:szCs w:val="24"/>
              </w:rPr>
              <w:t>Uczestnik Rynku Detalicznego</w:t>
            </w:r>
          </w:p>
        </w:tc>
        <w:tc>
          <w:tcPr>
            <w:tcW w:w="7580" w:type="dxa"/>
            <w:tcBorders>
              <w:top w:val="single" w:sz="2" w:space="0" w:color="000000"/>
              <w:left w:val="single" w:sz="2" w:space="0" w:color="000000"/>
              <w:bottom w:val="single" w:sz="2" w:space="0" w:color="000000"/>
              <w:right w:val="single" w:sz="2" w:space="0" w:color="000000"/>
            </w:tcBorders>
            <w:vAlign w:val="center"/>
          </w:tcPr>
          <w:p w14:paraId="06FB80A4" w14:textId="77777777" w:rsidR="0002655A" w:rsidRPr="00AE3F1B" w:rsidRDefault="0002655A" w:rsidP="00AA279F">
            <w:pPr>
              <w:spacing w:line="259" w:lineRule="auto"/>
              <w:ind w:right="-3"/>
              <w:jc w:val="left"/>
              <w:rPr>
                <w:rFonts w:ascii="Garamond" w:hAnsi="Garamond"/>
                <w:sz w:val="24"/>
                <w:szCs w:val="24"/>
              </w:rPr>
            </w:pPr>
            <w:r w:rsidRPr="00AE3F1B">
              <w:rPr>
                <w:rFonts w:ascii="Garamond" w:hAnsi="Garamond"/>
                <w:sz w:val="24"/>
                <w:szCs w:val="24"/>
              </w:rPr>
              <w:t>Podmiot, którego urządzenia lub instalacje są przyłączone do sieci dystrybucyjnej nie objętej obszarem rynku bilansującego oraz który zawarł umowę o świadczenie usług dystrybucji z właściwym OSD (obowiązek posiadania umowy dystrybucji spełniony jest również w przypadku posiadania umowy kompleksowej).</w:t>
            </w:r>
          </w:p>
        </w:tc>
      </w:tr>
      <w:tr w:rsidR="0002655A" w:rsidRPr="00AE3F1B" w14:paraId="087F0D4B" w14:textId="77777777" w:rsidTr="00012668">
        <w:tblPrEx>
          <w:tblCellMar>
            <w:top w:w="39" w:type="dxa"/>
            <w:left w:w="46" w:type="dxa"/>
            <w:right w:w="36" w:type="dxa"/>
          </w:tblCellMar>
        </w:tblPrEx>
        <w:trPr>
          <w:trHeight w:val="1139"/>
        </w:trPr>
        <w:tc>
          <w:tcPr>
            <w:tcW w:w="2059" w:type="dxa"/>
            <w:tcBorders>
              <w:top w:val="single" w:sz="2" w:space="0" w:color="000000"/>
              <w:left w:val="single" w:sz="2" w:space="0" w:color="000000"/>
              <w:bottom w:val="single" w:sz="2" w:space="0" w:color="000000"/>
              <w:right w:val="single" w:sz="2" w:space="0" w:color="000000"/>
            </w:tcBorders>
          </w:tcPr>
          <w:p w14:paraId="2ACA625C" w14:textId="77777777" w:rsidR="0002655A" w:rsidRPr="00AE3F1B" w:rsidRDefault="0002655A" w:rsidP="00012668">
            <w:pPr>
              <w:spacing w:line="259" w:lineRule="auto"/>
              <w:ind w:left="24" w:right="-3" w:hanging="24"/>
              <w:jc w:val="left"/>
              <w:rPr>
                <w:rFonts w:ascii="Garamond" w:hAnsi="Garamond"/>
                <w:sz w:val="24"/>
                <w:szCs w:val="24"/>
              </w:rPr>
            </w:pPr>
            <w:r w:rsidRPr="00AE3F1B">
              <w:rPr>
                <w:rFonts w:ascii="Garamond" w:hAnsi="Garamond"/>
                <w:sz w:val="24"/>
                <w:szCs w:val="24"/>
              </w:rPr>
              <w:t>Układ pomiarowo — kontrolny</w:t>
            </w:r>
          </w:p>
        </w:tc>
        <w:tc>
          <w:tcPr>
            <w:tcW w:w="7580" w:type="dxa"/>
            <w:tcBorders>
              <w:top w:val="single" w:sz="2" w:space="0" w:color="000000"/>
              <w:left w:val="single" w:sz="2" w:space="0" w:color="000000"/>
              <w:bottom w:val="single" w:sz="2" w:space="0" w:color="000000"/>
              <w:right w:val="single" w:sz="2" w:space="0" w:color="000000"/>
            </w:tcBorders>
          </w:tcPr>
          <w:p w14:paraId="312C3877" w14:textId="77777777" w:rsidR="0002655A" w:rsidRPr="00AE3F1B" w:rsidRDefault="0002655A" w:rsidP="00AA279F">
            <w:pPr>
              <w:spacing w:line="259" w:lineRule="auto"/>
              <w:ind w:right="-3"/>
              <w:jc w:val="left"/>
              <w:rPr>
                <w:rFonts w:ascii="Garamond" w:hAnsi="Garamond"/>
                <w:sz w:val="24"/>
                <w:szCs w:val="24"/>
              </w:rPr>
            </w:pPr>
            <w:r w:rsidRPr="00AE3F1B">
              <w:rPr>
                <w:rFonts w:ascii="Garamond" w:hAnsi="Garamond"/>
                <w:sz w:val="24"/>
                <w:szCs w:val="24"/>
              </w:rPr>
              <w:t>Układ pomiarowy, którego wskazania stanowią podstawę do monitorowania prawidłowości wskazań układów pomiarowo- rozliczeniowych poprzez porównywanie zmierzonych wielkości i/lub bilansowanie obiektów elektroenergetycznych lub obszarów sieci.</w:t>
            </w:r>
          </w:p>
        </w:tc>
      </w:tr>
      <w:tr w:rsidR="0002655A" w:rsidRPr="00AE3F1B" w14:paraId="7BC26FC7" w14:textId="77777777" w:rsidTr="00012668">
        <w:tblPrEx>
          <w:tblCellMar>
            <w:top w:w="39" w:type="dxa"/>
            <w:left w:w="46" w:type="dxa"/>
            <w:right w:w="36" w:type="dxa"/>
          </w:tblCellMar>
        </w:tblPrEx>
        <w:trPr>
          <w:trHeight w:val="861"/>
        </w:trPr>
        <w:tc>
          <w:tcPr>
            <w:tcW w:w="2059" w:type="dxa"/>
            <w:tcBorders>
              <w:top w:val="single" w:sz="2" w:space="0" w:color="000000"/>
              <w:left w:val="single" w:sz="2" w:space="0" w:color="000000"/>
              <w:bottom w:val="single" w:sz="2" w:space="0" w:color="000000"/>
              <w:right w:val="single" w:sz="2" w:space="0" w:color="000000"/>
            </w:tcBorders>
          </w:tcPr>
          <w:p w14:paraId="0D2DA47B" w14:textId="77777777" w:rsidR="0002655A" w:rsidRPr="00AE3F1B" w:rsidRDefault="0002655A" w:rsidP="00012668">
            <w:pPr>
              <w:spacing w:line="259" w:lineRule="auto"/>
              <w:ind w:left="24" w:right="-3" w:hanging="24"/>
              <w:jc w:val="left"/>
              <w:rPr>
                <w:rFonts w:ascii="Garamond" w:hAnsi="Garamond"/>
                <w:sz w:val="24"/>
                <w:szCs w:val="24"/>
              </w:rPr>
            </w:pPr>
            <w:r w:rsidRPr="00AE3F1B">
              <w:rPr>
                <w:rFonts w:ascii="Garamond" w:hAnsi="Garamond"/>
                <w:sz w:val="24"/>
                <w:szCs w:val="24"/>
              </w:rPr>
              <w:t>Układ pomiarowo — rozliczeniowy</w:t>
            </w:r>
          </w:p>
        </w:tc>
        <w:tc>
          <w:tcPr>
            <w:tcW w:w="7580" w:type="dxa"/>
            <w:tcBorders>
              <w:top w:val="single" w:sz="2" w:space="0" w:color="000000"/>
              <w:left w:val="single" w:sz="2" w:space="0" w:color="000000"/>
              <w:bottom w:val="single" w:sz="2" w:space="0" w:color="000000"/>
              <w:right w:val="single" w:sz="2" w:space="0" w:color="000000"/>
            </w:tcBorders>
          </w:tcPr>
          <w:p w14:paraId="2B0BB8EF" w14:textId="77777777" w:rsidR="0002655A" w:rsidRPr="00AE3F1B" w:rsidRDefault="0002655A" w:rsidP="00AA279F">
            <w:pPr>
              <w:spacing w:line="259" w:lineRule="auto"/>
              <w:ind w:right="-3"/>
              <w:jc w:val="left"/>
              <w:rPr>
                <w:rFonts w:ascii="Garamond" w:hAnsi="Garamond"/>
                <w:sz w:val="24"/>
                <w:szCs w:val="24"/>
              </w:rPr>
            </w:pPr>
            <w:r w:rsidRPr="00AE3F1B">
              <w:rPr>
                <w:rFonts w:ascii="Garamond" w:hAnsi="Garamond"/>
                <w:sz w:val="24"/>
                <w:szCs w:val="24"/>
              </w:rPr>
              <w:t>Liczniki i inne urządzenia pomiarowe lub rozliczeniowo- pomiarowe, a także układy połączeń między nimi, służące do pomiarów i rozliczeń mocy i energii elektrycznej.</w:t>
            </w:r>
          </w:p>
        </w:tc>
      </w:tr>
      <w:tr w:rsidR="0002655A" w:rsidRPr="00AE3F1B" w14:paraId="221365A4" w14:textId="77777777" w:rsidTr="00012668">
        <w:tblPrEx>
          <w:tblCellMar>
            <w:top w:w="39" w:type="dxa"/>
            <w:left w:w="46" w:type="dxa"/>
            <w:right w:w="36" w:type="dxa"/>
          </w:tblCellMar>
        </w:tblPrEx>
        <w:trPr>
          <w:trHeight w:val="856"/>
        </w:trPr>
        <w:tc>
          <w:tcPr>
            <w:tcW w:w="2059" w:type="dxa"/>
            <w:tcBorders>
              <w:top w:val="single" w:sz="2" w:space="0" w:color="000000"/>
              <w:left w:val="single" w:sz="2" w:space="0" w:color="000000"/>
              <w:bottom w:val="single" w:sz="2" w:space="0" w:color="000000"/>
              <w:right w:val="single" w:sz="2" w:space="0" w:color="000000"/>
            </w:tcBorders>
          </w:tcPr>
          <w:p w14:paraId="6D472604" w14:textId="77777777" w:rsidR="0002655A" w:rsidRPr="00AE3F1B" w:rsidRDefault="0002655A" w:rsidP="00012668">
            <w:pPr>
              <w:spacing w:line="259" w:lineRule="auto"/>
              <w:ind w:left="24" w:right="-3" w:hanging="24"/>
              <w:jc w:val="left"/>
              <w:rPr>
                <w:rFonts w:ascii="Garamond" w:hAnsi="Garamond"/>
                <w:sz w:val="24"/>
                <w:szCs w:val="24"/>
              </w:rPr>
            </w:pPr>
            <w:r w:rsidRPr="00AE3F1B">
              <w:rPr>
                <w:rFonts w:ascii="Garamond" w:hAnsi="Garamond"/>
                <w:sz w:val="24"/>
                <w:szCs w:val="24"/>
              </w:rPr>
              <w:lastRenderedPageBreak/>
              <w:t>Układ pomiarowo — rozliczeniowy podstawowy</w:t>
            </w:r>
          </w:p>
        </w:tc>
        <w:tc>
          <w:tcPr>
            <w:tcW w:w="7580" w:type="dxa"/>
            <w:tcBorders>
              <w:top w:val="single" w:sz="2" w:space="0" w:color="000000"/>
              <w:left w:val="single" w:sz="2" w:space="0" w:color="000000"/>
              <w:bottom w:val="single" w:sz="2" w:space="0" w:color="000000"/>
              <w:right w:val="single" w:sz="2" w:space="0" w:color="000000"/>
            </w:tcBorders>
            <w:vAlign w:val="center"/>
          </w:tcPr>
          <w:p w14:paraId="5D8A6A0D" w14:textId="77777777" w:rsidR="0002655A" w:rsidRPr="00AE3F1B" w:rsidRDefault="0002655A" w:rsidP="00AA279F">
            <w:pPr>
              <w:spacing w:line="259" w:lineRule="auto"/>
              <w:ind w:right="-3"/>
              <w:jc w:val="left"/>
              <w:rPr>
                <w:rFonts w:ascii="Garamond" w:hAnsi="Garamond"/>
                <w:sz w:val="24"/>
                <w:szCs w:val="24"/>
              </w:rPr>
            </w:pPr>
            <w:r w:rsidRPr="00AE3F1B">
              <w:rPr>
                <w:rFonts w:ascii="Garamond" w:hAnsi="Garamond"/>
                <w:sz w:val="24"/>
                <w:szCs w:val="24"/>
              </w:rPr>
              <w:t>Układ pomiarowo-rozliczeniowy, którego wskazania stanowią podstawę do rozliczeń ilościowych i wartościowych (finansowych) mocy i energii elektrycznej.</w:t>
            </w:r>
          </w:p>
        </w:tc>
      </w:tr>
      <w:tr w:rsidR="0002655A" w:rsidRPr="00AE3F1B" w14:paraId="0E6EC2DE" w14:textId="77777777" w:rsidTr="00012668">
        <w:tblPrEx>
          <w:tblCellMar>
            <w:top w:w="39" w:type="dxa"/>
            <w:left w:w="46" w:type="dxa"/>
            <w:right w:w="36" w:type="dxa"/>
          </w:tblCellMar>
        </w:tblPrEx>
        <w:trPr>
          <w:trHeight w:val="1082"/>
        </w:trPr>
        <w:tc>
          <w:tcPr>
            <w:tcW w:w="2059" w:type="dxa"/>
            <w:tcBorders>
              <w:top w:val="single" w:sz="2" w:space="0" w:color="000000"/>
              <w:left w:val="single" w:sz="2" w:space="0" w:color="000000"/>
              <w:bottom w:val="single" w:sz="2" w:space="0" w:color="000000"/>
              <w:right w:val="single" w:sz="2" w:space="0" w:color="000000"/>
            </w:tcBorders>
          </w:tcPr>
          <w:p w14:paraId="5D2F1427" w14:textId="77777777" w:rsidR="0002655A" w:rsidRPr="00AE3F1B" w:rsidRDefault="0002655A" w:rsidP="00012668">
            <w:pPr>
              <w:spacing w:line="259" w:lineRule="auto"/>
              <w:ind w:left="24" w:right="-3" w:hanging="24"/>
              <w:jc w:val="left"/>
              <w:rPr>
                <w:rFonts w:ascii="Garamond" w:hAnsi="Garamond"/>
                <w:sz w:val="24"/>
                <w:szCs w:val="24"/>
              </w:rPr>
            </w:pPr>
            <w:r w:rsidRPr="00AE3F1B">
              <w:rPr>
                <w:rFonts w:ascii="Garamond" w:hAnsi="Garamond"/>
                <w:sz w:val="24"/>
                <w:szCs w:val="24"/>
              </w:rPr>
              <w:t>Układ pomiarowo rozliczeniowy rezerwowy</w:t>
            </w:r>
          </w:p>
        </w:tc>
        <w:tc>
          <w:tcPr>
            <w:tcW w:w="7580" w:type="dxa"/>
            <w:tcBorders>
              <w:top w:val="single" w:sz="2" w:space="0" w:color="000000"/>
              <w:left w:val="single" w:sz="2" w:space="0" w:color="000000"/>
              <w:bottom w:val="single" w:sz="2" w:space="0" w:color="000000"/>
              <w:right w:val="single" w:sz="2" w:space="0" w:color="000000"/>
            </w:tcBorders>
          </w:tcPr>
          <w:p w14:paraId="7224F242" w14:textId="77777777" w:rsidR="0002655A" w:rsidRPr="00AE3F1B" w:rsidRDefault="0002655A" w:rsidP="00AA279F">
            <w:pPr>
              <w:spacing w:line="259" w:lineRule="auto"/>
              <w:ind w:right="-3"/>
              <w:jc w:val="left"/>
              <w:rPr>
                <w:rFonts w:ascii="Garamond" w:hAnsi="Garamond"/>
                <w:sz w:val="24"/>
                <w:szCs w:val="24"/>
              </w:rPr>
            </w:pPr>
            <w:r w:rsidRPr="00AE3F1B">
              <w:rPr>
                <w:rFonts w:ascii="Garamond" w:hAnsi="Garamond"/>
                <w:sz w:val="24"/>
                <w:szCs w:val="24"/>
              </w:rPr>
              <w:t>Układ pomiarowo-rozliczeniowy, którego wskazania stanowią podstawę do rozliczeń ilościowych i wartościowych (finansowych) mocy i energii elektrycznej, w przypadku nieprawidłowego działania układu pomiarowo - rozliczeniowego podstawowego.</w:t>
            </w:r>
          </w:p>
        </w:tc>
      </w:tr>
      <w:tr w:rsidR="0002655A" w:rsidRPr="00AE3F1B" w14:paraId="5551E3E1" w14:textId="77777777" w:rsidTr="00012668">
        <w:tblPrEx>
          <w:tblCellMar>
            <w:top w:w="39" w:type="dxa"/>
            <w:left w:w="46" w:type="dxa"/>
            <w:right w:w="36" w:type="dxa"/>
          </w:tblCellMar>
        </w:tblPrEx>
        <w:trPr>
          <w:trHeight w:val="813"/>
        </w:trPr>
        <w:tc>
          <w:tcPr>
            <w:tcW w:w="2059" w:type="dxa"/>
            <w:tcBorders>
              <w:top w:val="single" w:sz="2" w:space="0" w:color="000000"/>
              <w:left w:val="single" w:sz="2" w:space="0" w:color="000000"/>
              <w:bottom w:val="single" w:sz="2" w:space="0" w:color="000000"/>
              <w:right w:val="single" w:sz="2" w:space="0" w:color="000000"/>
            </w:tcBorders>
          </w:tcPr>
          <w:p w14:paraId="4A367FE9" w14:textId="77777777" w:rsidR="0002655A" w:rsidRPr="00AE3F1B" w:rsidRDefault="0002655A" w:rsidP="00012668">
            <w:pPr>
              <w:spacing w:line="259" w:lineRule="auto"/>
              <w:ind w:left="24" w:right="-3" w:hanging="24"/>
              <w:jc w:val="left"/>
              <w:rPr>
                <w:rFonts w:ascii="Garamond" w:hAnsi="Garamond"/>
                <w:sz w:val="24"/>
                <w:szCs w:val="24"/>
              </w:rPr>
            </w:pPr>
            <w:r w:rsidRPr="00AE3F1B">
              <w:rPr>
                <w:rFonts w:ascii="Garamond" w:hAnsi="Garamond"/>
                <w:sz w:val="24"/>
                <w:szCs w:val="24"/>
              </w:rPr>
              <w:t>Układ pomiarowo rozliczeniowy równoważny</w:t>
            </w:r>
          </w:p>
        </w:tc>
        <w:tc>
          <w:tcPr>
            <w:tcW w:w="7580" w:type="dxa"/>
            <w:tcBorders>
              <w:top w:val="single" w:sz="2" w:space="0" w:color="000000"/>
              <w:left w:val="single" w:sz="2" w:space="0" w:color="000000"/>
              <w:bottom w:val="single" w:sz="2" w:space="0" w:color="000000"/>
              <w:right w:val="single" w:sz="2" w:space="0" w:color="000000"/>
            </w:tcBorders>
            <w:vAlign w:val="center"/>
          </w:tcPr>
          <w:p w14:paraId="27D5EF81" w14:textId="77777777" w:rsidR="0002655A" w:rsidRPr="00AE3F1B" w:rsidRDefault="0002655A" w:rsidP="00AA279F">
            <w:pPr>
              <w:spacing w:line="259" w:lineRule="auto"/>
              <w:ind w:right="-3"/>
              <w:jc w:val="left"/>
              <w:rPr>
                <w:rFonts w:ascii="Garamond" w:hAnsi="Garamond"/>
                <w:sz w:val="24"/>
                <w:szCs w:val="24"/>
              </w:rPr>
            </w:pPr>
            <w:r w:rsidRPr="00AE3F1B">
              <w:rPr>
                <w:rFonts w:ascii="Garamond" w:hAnsi="Garamond"/>
                <w:sz w:val="24"/>
                <w:szCs w:val="24"/>
              </w:rPr>
              <w:t>Układ pomiarowo-rozliczeniowy, którego wskazania stanowią podstawę do rozliczeń ilościowych i wartościowych (finansowych) mocy i energii elektrycznej.</w:t>
            </w:r>
          </w:p>
        </w:tc>
      </w:tr>
      <w:tr w:rsidR="0002655A" w:rsidRPr="00AE3F1B" w14:paraId="48D3336A" w14:textId="77777777" w:rsidTr="00012668">
        <w:tblPrEx>
          <w:tblCellMar>
            <w:top w:w="39" w:type="dxa"/>
            <w:left w:w="46" w:type="dxa"/>
            <w:right w:w="36" w:type="dxa"/>
          </w:tblCellMar>
        </w:tblPrEx>
        <w:trPr>
          <w:trHeight w:val="861"/>
        </w:trPr>
        <w:tc>
          <w:tcPr>
            <w:tcW w:w="2059" w:type="dxa"/>
            <w:tcBorders>
              <w:top w:val="single" w:sz="2" w:space="0" w:color="000000"/>
              <w:left w:val="single" w:sz="2" w:space="0" w:color="000000"/>
              <w:bottom w:val="single" w:sz="2" w:space="0" w:color="000000"/>
              <w:right w:val="single" w:sz="2" w:space="0" w:color="000000"/>
            </w:tcBorders>
          </w:tcPr>
          <w:p w14:paraId="41A01B89" w14:textId="77777777" w:rsidR="0002655A" w:rsidRPr="00AE3F1B" w:rsidRDefault="0002655A" w:rsidP="00012668">
            <w:pPr>
              <w:spacing w:line="259" w:lineRule="auto"/>
              <w:ind w:left="24" w:right="-3" w:hanging="24"/>
              <w:jc w:val="left"/>
              <w:rPr>
                <w:rFonts w:ascii="Garamond" w:hAnsi="Garamond"/>
                <w:sz w:val="24"/>
                <w:szCs w:val="24"/>
              </w:rPr>
            </w:pPr>
            <w:r w:rsidRPr="00AE3F1B">
              <w:rPr>
                <w:rFonts w:ascii="Garamond" w:hAnsi="Garamond"/>
                <w:sz w:val="24"/>
                <w:szCs w:val="24"/>
              </w:rPr>
              <w:t>Układ zabezpieczeniowy</w:t>
            </w:r>
          </w:p>
        </w:tc>
        <w:tc>
          <w:tcPr>
            <w:tcW w:w="7580" w:type="dxa"/>
            <w:tcBorders>
              <w:top w:val="single" w:sz="2" w:space="0" w:color="000000"/>
              <w:left w:val="single" w:sz="2" w:space="0" w:color="000000"/>
              <w:bottom w:val="single" w:sz="2" w:space="0" w:color="000000"/>
              <w:right w:val="single" w:sz="2" w:space="0" w:color="000000"/>
            </w:tcBorders>
          </w:tcPr>
          <w:p w14:paraId="364D26B8" w14:textId="2525EF9C" w:rsidR="0002655A" w:rsidRPr="00AE3F1B" w:rsidRDefault="0002655A" w:rsidP="00AA279F">
            <w:pPr>
              <w:spacing w:line="259" w:lineRule="auto"/>
              <w:ind w:right="-3"/>
              <w:jc w:val="left"/>
              <w:rPr>
                <w:rFonts w:ascii="Garamond" w:hAnsi="Garamond"/>
                <w:sz w:val="24"/>
                <w:szCs w:val="24"/>
              </w:rPr>
            </w:pPr>
            <w:r w:rsidRPr="00AE3F1B">
              <w:rPr>
                <w:rFonts w:ascii="Garamond" w:hAnsi="Garamond"/>
                <w:sz w:val="24"/>
                <w:szCs w:val="24"/>
              </w:rPr>
              <w:t>Zespół złożony z</w:t>
            </w:r>
            <w:r w:rsidR="00F911AF">
              <w:rPr>
                <w:rFonts w:ascii="Garamond" w:hAnsi="Garamond"/>
                <w:sz w:val="24"/>
                <w:szCs w:val="24"/>
              </w:rPr>
              <w:t xml:space="preserve"> </w:t>
            </w:r>
            <w:r w:rsidRPr="00AE3F1B">
              <w:rPr>
                <w:rFonts w:ascii="Garamond" w:hAnsi="Garamond"/>
                <w:sz w:val="24"/>
                <w:szCs w:val="24"/>
              </w:rPr>
              <w:t>jednego lub kilku urządzeń zabezpieczeniowych i innych urządzeń współpracujących przeznaczony do spełniania jednej lub wielu określonych funkcji zabezpieczeniowych.</w:t>
            </w:r>
          </w:p>
        </w:tc>
      </w:tr>
      <w:tr w:rsidR="0002655A" w:rsidRPr="00AE3F1B" w14:paraId="1A78B55A" w14:textId="77777777" w:rsidTr="00012668">
        <w:tblPrEx>
          <w:tblCellMar>
            <w:top w:w="39" w:type="dxa"/>
            <w:left w:w="46" w:type="dxa"/>
            <w:right w:w="36" w:type="dxa"/>
          </w:tblCellMar>
        </w:tblPrEx>
        <w:trPr>
          <w:trHeight w:val="345"/>
        </w:trPr>
        <w:tc>
          <w:tcPr>
            <w:tcW w:w="2059" w:type="dxa"/>
            <w:tcBorders>
              <w:top w:val="single" w:sz="2" w:space="0" w:color="000000"/>
              <w:left w:val="single" w:sz="2" w:space="0" w:color="000000"/>
              <w:bottom w:val="single" w:sz="2" w:space="0" w:color="000000"/>
              <w:right w:val="single" w:sz="2" w:space="0" w:color="000000"/>
            </w:tcBorders>
          </w:tcPr>
          <w:p w14:paraId="696849CA" w14:textId="77777777" w:rsidR="0002655A" w:rsidRPr="00AE3F1B" w:rsidRDefault="0002655A" w:rsidP="00012668">
            <w:pPr>
              <w:spacing w:line="259" w:lineRule="auto"/>
              <w:ind w:left="24" w:right="-3" w:hanging="24"/>
              <w:jc w:val="left"/>
              <w:rPr>
                <w:rFonts w:ascii="Garamond" w:hAnsi="Garamond"/>
                <w:sz w:val="24"/>
                <w:szCs w:val="24"/>
              </w:rPr>
            </w:pPr>
            <w:r w:rsidRPr="00AE3F1B">
              <w:rPr>
                <w:rFonts w:ascii="Garamond" w:hAnsi="Garamond"/>
                <w:sz w:val="24"/>
                <w:szCs w:val="24"/>
              </w:rPr>
              <w:t>Urządzenia</w:t>
            </w:r>
          </w:p>
        </w:tc>
        <w:tc>
          <w:tcPr>
            <w:tcW w:w="7580" w:type="dxa"/>
            <w:tcBorders>
              <w:top w:val="single" w:sz="2" w:space="0" w:color="000000"/>
              <w:left w:val="single" w:sz="2" w:space="0" w:color="000000"/>
              <w:bottom w:val="single" w:sz="2" w:space="0" w:color="000000"/>
              <w:right w:val="single" w:sz="2" w:space="0" w:color="000000"/>
            </w:tcBorders>
          </w:tcPr>
          <w:p w14:paraId="60E3B3E1" w14:textId="77777777" w:rsidR="0002655A" w:rsidRPr="00AE3F1B" w:rsidRDefault="0002655A" w:rsidP="00AA279F">
            <w:pPr>
              <w:spacing w:line="259" w:lineRule="auto"/>
              <w:ind w:right="-3"/>
              <w:jc w:val="left"/>
              <w:rPr>
                <w:rFonts w:ascii="Garamond" w:hAnsi="Garamond"/>
                <w:sz w:val="24"/>
                <w:szCs w:val="24"/>
              </w:rPr>
            </w:pPr>
            <w:r w:rsidRPr="00AE3F1B">
              <w:rPr>
                <w:rFonts w:ascii="Garamond" w:hAnsi="Garamond"/>
                <w:sz w:val="24"/>
                <w:szCs w:val="24"/>
              </w:rPr>
              <w:t>Urządzenia techniczne stosowane w procesach energetycznych.</w:t>
            </w:r>
          </w:p>
        </w:tc>
      </w:tr>
      <w:tr w:rsidR="0002655A" w:rsidRPr="00AE3F1B" w14:paraId="3630245B" w14:textId="77777777" w:rsidTr="00012668">
        <w:tblPrEx>
          <w:tblCellMar>
            <w:top w:w="39" w:type="dxa"/>
            <w:left w:w="46" w:type="dxa"/>
            <w:right w:w="36" w:type="dxa"/>
          </w:tblCellMar>
        </w:tblPrEx>
        <w:trPr>
          <w:trHeight w:val="856"/>
        </w:trPr>
        <w:tc>
          <w:tcPr>
            <w:tcW w:w="2059" w:type="dxa"/>
            <w:tcBorders>
              <w:top w:val="single" w:sz="2" w:space="0" w:color="000000"/>
              <w:left w:val="single" w:sz="2" w:space="0" w:color="000000"/>
              <w:bottom w:val="single" w:sz="2" w:space="0" w:color="000000"/>
              <w:right w:val="single" w:sz="2" w:space="0" w:color="000000"/>
            </w:tcBorders>
          </w:tcPr>
          <w:p w14:paraId="23D205C7" w14:textId="77777777" w:rsidR="0002655A" w:rsidRPr="00AE3F1B" w:rsidRDefault="0002655A" w:rsidP="00012668">
            <w:pPr>
              <w:spacing w:line="259" w:lineRule="auto"/>
              <w:ind w:left="24" w:right="-3" w:hanging="24"/>
              <w:jc w:val="left"/>
              <w:rPr>
                <w:rFonts w:ascii="Garamond" w:hAnsi="Garamond"/>
                <w:sz w:val="24"/>
                <w:szCs w:val="24"/>
              </w:rPr>
            </w:pPr>
            <w:r w:rsidRPr="00AE3F1B">
              <w:rPr>
                <w:rFonts w:ascii="Garamond" w:hAnsi="Garamond"/>
                <w:sz w:val="24"/>
                <w:szCs w:val="24"/>
              </w:rPr>
              <w:t>Usługi systemowe</w:t>
            </w:r>
          </w:p>
        </w:tc>
        <w:tc>
          <w:tcPr>
            <w:tcW w:w="7580" w:type="dxa"/>
            <w:tcBorders>
              <w:top w:val="single" w:sz="2" w:space="0" w:color="000000"/>
              <w:left w:val="single" w:sz="2" w:space="0" w:color="000000"/>
              <w:bottom w:val="single" w:sz="2" w:space="0" w:color="000000"/>
              <w:right w:val="single" w:sz="2" w:space="0" w:color="000000"/>
            </w:tcBorders>
          </w:tcPr>
          <w:p w14:paraId="4B347317" w14:textId="77777777" w:rsidR="0002655A" w:rsidRPr="00AE3F1B" w:rsidRDefault="0002655A" w:rsidP="00AA279F">
            <w:pPr>
              <w:spacing w:line="259" w:lineRule="auto"/>
              <w:ind w:right="-3"/>
              <w:jc w:val="left"/>
              <w:rPr>
                <w:rFonts w:ascii="Garamond" w:hAnsi="Garamond"/>
                <w:sz w:val="24"/>
                <w:szCs w:val="24"/>
              </w:rPr>
            </w:pPr>
            <w:r w:rsidRPr="00AE3F1B">
              <w:rPr>
                <w:rFonts w:ascii="Garamond" w:hAnsi="Garamond"/>
                <w:sz w:val="24"/>
                <w:szCs w:val="24"/>
              </w:rPr>
              <w:t>Usługi niezbędne do prawidłowego funkcjonowania systemu elektroenergetycznego, zapewniające zachowanie określonych parametrów niezawodnościowych dostarczania energii elektrycznej i jej jakości.</w:t>
            </w:r>
          </w:p>
        </w:tc>
      </w:tr>
      <w:tr w:rsidR="0002655A" w:rsidRPr="00AE3F1B" w14:paraId="11966A2A" w14:textId="77777777" w:rsidTr="00012668">
        <w:tblPrEx>
          <w:tblCellMar>
            <w:top w:w="50" w:type="dxa"/>
            <w:left w:w="53" w:type="dxa"/>
            <w:right w:w="65" w:type="dxa"/>
          </w:tblCellMar>
        </w:tblPrEx>
        <w:trPr>
          <w:trHeight w:val="406"/>
        </w:trPr>
        <w:tc>
          <w:tcPr>
            <w:tcW w:w="2059" w:type="dxa"/>
            <w:tcBorders>
              <w:top w:val="single" w:sz="2" w:space="0" w:color="000000"/>
              <w:left w:val="single" w:sz="2" w:space="0" w:color="000000"/>
              <w:bottom w:val="single" w:sz="2" w:space="0" w:color="000000"/>
              <w:right w:val="single" w:sz="2" w:space="0" w:color="000000"/>
            </w:tcBorders>
          </w:tcPr>
          <w:p w14:paraId="6FEF7938" w14:textId="77777777" w:rsidR="0002655A" w:rsidRPr="00AE3F1B" w:rsidRDefault="0002655A" w:rsidP="00012668">
            <w:pPr>
              <w:spacing w:line="259" w:lineRule="auto"/>
              <w:ind w:left="24" w:right="-3" w:hanging="24"/>
              <w:jc w:val="left"/>
              <w:rPr>
                <w:rFonts w:ascii="Garamond" w:hAnsi="Garamond"/>
                <w:sz w:val="24"/>
                <w:szCs w:val="24"/>
              </w:rPr>
            </w:pPr>
            <w:r w:rsidRPr="00AE3F1B">
              <w:rPr>
                <w:rFonts w:ascii="Garamond" w:hAnsi="Garamond"/>
                <w:sz w:val="24"/>
                <w:szCs w:val="24"/>
              </w:rPr>
              <w:t>Ustawa</w:t>
            </w:r>
          </w:p>
        </w:tc>
        <w:tc>
          <w:tcPr>
            <w:tcW w:w="7580" w:type="dxa"/>
            <w:tcBorders>
              <w:top w:val="single" w:sz="2" w:space="0" w:color="000000"/>
              <w:left w:val="single" w:sz="2" w:space="0" w:color="000000"/>
              <w:bottom w:val="single" w:sz="2" w:space="0" w:color="000000"/>
              <w:right w:val="single" w:sz="2" w:space="0" w:color="000000"/>
            </w:tcBorders>
          </w:tcPr>
          <w:p w14:paraId="510A4218" w14:textId="572BB6BB" w:rsidR="0002655A" w:rsidRPr="00AE3F1B" w:rsidRDefault="0002655A" w:rsidP="00AA279F">
            <w:pPr>
              <w:spacing w:line="259" w:lineRule="auto"/>
              <w:ind w:right="-3"/>
              <w:jc w:val="left"/>
              <w:rPr>
                <w:rFonts w:ascii="Garamond" w:hAnsi="Garamond"/>
                <w:sz w:val="24"/>
                <w:szCs w:val="24"/>
              </w:rPr>
            </w:pPr>
            <w:r w:rsidRPr="00AE3F1B">
              <w:rPr>
                <w:rFonts w:ascii="Garamond" w:hAnsi="Garamond"/>
                <w:sz w:val="24"/>
                <w:szCs w:val="24"/>
              </w:rPr>
              <w:t>Ustawa z dnia 10.04.</w:t>
            </w:r>
            <w:r w:rsidR="00F17929" w:rsidRPr="00AE3F1B">
              <w:rPr>
                <w:rFonts w:ascii="Garamond" w:hAnsi="Garamond"/>
                <w:sz w:val="24"/>
                <w:szCs w:val="24"/>
              </w:rPr>
              <w:t>1997 r.</w:t>
            </w:r>
            <w:r w:rsidRPr="00AE3F1B">
              <w:rPr>
                <w:rFonts w:ascii="Garamond" w:hAnsi="Garamond"/>
                <w:sz w:val="24"/>
                <w:szCs w:val="24"/>
              </w:rPr>
              <w:t xml:space="preserve"> — Prawo energetyczne z późniejszymi zmianami.</w:t>
            </w:r>
          </w:p>
        </w:tc>
      </w:tr>
      <w:tr w:rsidR="0002655A" w:rsidRPr="00AE3F1B" w14:paraId="77400BE7" w14:textId="77777777" w:rsidTr="00012668">
        <w:tblPrEx>
          <w:tblCellMar>
            <w:top w:w="50" w:type="dxa"/>
            <w:left w:w="53" w:type="dxa"/>
            <w:right w:w="65" w:type="dxa"/>
          </w:tblCellMar>
        </w:tblPrEx>
        <w:trPr>
          <w:trHeight w:val="638"/>
        </w:trPr>
        <w:tc>
          <w:tcPr>
            <w:tcW w:w="2059" w:type="dxa"/>
            <w:tcBorders>
              <w:top w:val="single" w:sz="2" w:space="0" w:color="000000"/>
              <w:left w:val="single" w:sz="2" w:space="0" w:color="000000"/>
              <w:bottom w:val="single" w:sz="2" w:space="0" w:color="000000"/>
              <w:right w:val="single" w:sz="2" w:space="0" w:color="000000"/>
            </w:tcBorders>
          </w:tcPr>
          <w:p w14:paraId="52737FC2" w14:textId="77777777" w:rsidR="0002655A" w:rsidRPr="00AE3F1B" w:rsidRDefault="0002655A" w:rsidP="00012668">
            <w:pPr>
              <w:spacing w:line="259" w:lineRule="auto"/>
              <w:ind w:left="24" w:right="-3" w:hanging="24"/>
              <w:jc w:val="left"/>
              <w:rPr>
                <w:rFonts w:ascii="Garamond" w:hAnsi="Garamond"/>
                <w:sz w:val="24"/>
                <w:szCs w:val="24"/>
              </w:rPr>
            </w:pPr>
            <w:r w:rsidRPr="00AE3F1B">
              <w:rPr>
                <w:rFonts w:ascii="Garamond" w:hAnsi="Garamond"/>
                <w:sz w:val="24"/>
                <w:szCs w:val="24"/>
              </w:rPr>
              <w:t>Użytkownik systemu</w:t>
            </w:r>
          </w:p>
        </w:tc>
        <w:tc>
          <w:tcPr>
            <w:tcW w:w="7580" w:type="dxa"/>
            <w:tcBorders>
              <w:top w:val="single" w:sz="2" w:space="0" w:color="000000"/>
              <w:left w:val="single" w:sz="2" w:space="0" w:color="000000"/>
              <w:bottom w:val="single" w:sz="2" w:space="0" w:color="000000"/>
              <w:right w:val="single" w:sz="2" w:space="0" w:color="000000"/>
            </w:tcBorders>
          </w:tcPr>
          <w:p w14:paraId="33F91FA7" w14:textId="77777777" w:rsidR="0002655A" w:rsidRPr="00AE3F1B" w:rsidRDefault="0002655A" w:rsidP="00AA279F">
            <w:pPr>
              <w:spacing w:line="259" w:lineRule="auto"/>
              <w:ind w:right="-3"/>
              <w:jc w:val="left"/>
              <w:rPr>
                <w:rFonts w:ascii="Garamond" w:hAnsi="Garamond"/>
                <w:sz w:val="24"/>
                <w:szCs w:val="24"/>
              </w:rPr>
            </w:pPr>
            <w:r w:rsidRPr="00AE3F1B">
              <w:rPr>
                <w:rFonts w:ascii="Garamond" w:hAnsi="Garamond"/>
                <w:sz w:val="24"/>
                <w:szCs w:val="24"/>
              </w:rPr>
              <w:t>Podmiot dostarczający energię elektryczną do systemu elektroenergetycznego lub zaopatrywany z tego systemu.</w:t>
            </w:r>
          </w:p>
        </w:tc>
      </w:tr>
      <w:tr w:rsidR="0002655A" w:rsidRPr="00AE3F1B" w14:paraId="5DEAB2EB" w14:textId="77777777" w:rsidTr="00012668">
        <w:tblPrEx>
          <w:tblCellMar>
            <w:top w:w="50" w:type="dxa"/>
            <w:left w:w="53" w:type="dxa"/>
            <w:right w:w="65" w:type="dxa"/>
          </w:tblCellMar>
        </w:tblPrEx>
        <w:trPr>
          <w:trHeight w:val="1374"/>
        </w:trPr>
        <w:tc>
          <w:tcPr>
            <w:tcW w:w="2059" w:type="dxa"/>
            <w:tcBorders>
              <w:top w:val="single" w:sz="2" w:space="0" w:color="000000"/>
              <w:left w:val="single" w:sz="2" w:space="0" w:color="000000"/>
              <w:bottom w:val="single" w:sz="2" w:space="0" w:color="000000"/>
              <w:right w:val="single" w:sz="2" w:space="0" w:color="000000"/>
            </w:tcBorders>
          </w:tcPr>
          <w:p w14:paraId="6F158CA2" w14:textId="77777777" w:rsidR="0002655A" w:rsidRPr="00AE3F1B" w:rsidRDefault="0002655A" w:rsidP="00012668">
            <w:pPr>
              <w:spacing w:line="259" w:lineRule="auto"/>
              <w:ind w:left="24" w:right="-3" w:hanging="24"/>
              <w:jc w:val="left"/>
              <w:rPr>
                <w:rFonts w:ascii="Garamond" w:hAnsi="Garamond"/>
                <w:sz w:val="24"/>
                <w:szCs w:val="24"/>
              </w:rPr>
            </w:pPr>
            <w:r w:rsidRPr="00AE3F1B">
              <w:rPr>
                <w:rFonts w:ascii="Garamond" w:hAnsi="Garamond"/>
                <w:sz w:val="24"/>
                <w:szCs w:val="24"/>
              </w:rPr>
              <w:t>Wirtualne Miejsce</w:t>
            </w:r>
          </w:p>
          <w:p w14:paraId="136DAD37" w14:textId="18BACED6" w:rsidR="0002655A" w:rsidRPr="00AE3F1B" w:rsidRDefault="0002655A" w:rsidP="00D356CE">
            <w:pPr>
              <w:spacing w:after="7" w:line="230" w:lineRule="auto"/>
              <w:ind w:left="24" w:right="-3" w:hanging="24"/>
              <w:jc w:val="left"/>
              <w:rPr>
                <w:rFonts w:ascii="Garamond" w:hAnsi="Garamond"/>
                <w:sz w:val="24"/>
                <w:szCs w:val="24"/>
              </w:rPr>
            </w:pPr>
            <w:r w:rsidRPr="00AE3F1B">
              <w:rPr>
                <w:rFonts w:ascii="Garamond" w:hAnsi="Garamond"/>
                <w:sz w:val="24"/>
                <w:szCs w:val="24"/>
              </w:rPr>
              <w:t>Dostarczenia Energii Rynku</w:t>
            </w:r>
            <w:r w:rsidR="00D356CE">
              <w:rPr>
                <w:rFonts w:ascii="Garamond" w:hAnsi="Garamond"/>
                <w:sz w:val="24"/>
                <w:szCs w:val="24"/>
              </w:rPr>
              <w:t xml:space="preserve"> </w:t>
            </w:r>
            <w:r w:rsidRPr="00AE3F1B">
              <w:rPr>
                <w:rFonts w:ascii="Garamond" w:hAnsi="Garamond"/>
                <w:sz w:val="24"/>
                <w:szCs w:val="24"/>
              </w:rPr>
              <w:t>Bilansującego</w:t>
            </w:r>
            <w:r w:rsidR="00D356CE">
              <w:rPr>
                <w:rFonts w:ascii="Garamond" w:hAnsi="Garamond"/>
                <w:sz w:val="24"/>
                <w:szCs w:val="24"/>
              </w:rPr>
              <w:t xml:space="preserve"> </w:t>
            </w:r>
            <w:r w:rsidRPr="00AE3F1B">
              <w:rPr>
                <w:rFonts w:ascii="Garamond" w:hAnsi="Garamond"/>
                <w:sz w:val="24"/>
                <w:szCs w:val="24"/>
              </w:rPr>
              <w:t>(</w:t>
            </w:r>
            <w:r w:rsidR="00D356CE">
              <w:rPr>
                <w:rFonts w:ascii="Garamond" w:hAnsi="Garamond"/>
                <w:sz w:val="24"/>
                <w:szCs w:val="24"/>
              </w:rPr>
              <w:t>W</w:t>
            </w:r>
            <w:r w:rsidRPr="00AE3F1B">
              <w:rPr>
                <w:rFonts w:ascii="Garamond" w:hAnsi="Garamond"/>
                <w:sz w:val="24"/>
                <w:szCs w:val="24"/>
              </w:rPr>
              <w:t>M</w:t>
            </w:r>
            <w:r w:rsidR="00D356CE">
              <w:rPr>
                <w:rFonts w:ascii="Garamond" w:hAnsi="Garamond"/>
                <w:sz w:val="24"/>
                <w:szCs w:val="24"/>
              </w:rPr>
              <w:t>B</w:t>
            </w:r>
            <w:r w:rsidRPr="00AE3F1B">
              <w:rPr>
                <w:rFonts w:ascii="Garamond" w:hAnsi="Garamond"/>
                <w:sz w:val="24"/>
                <w:szCs w:val="24"/>
              </w:rPr>
              <w:t>)</w:t>
            </w:r>
          </w:p>
        </w:tc>
        <w:tc>
          <w:tcPr>
            <w:tcW w:w="7580" w:type="dxa"/>
            <w:tcBorders>
              <w:top w:val="single" w:sz="2" w:space="0" w:color="000000"/>
              <w:left w:val="single" w:sz="2" w:space="0" w:color="000000"/>
              <w:bottom w:val="single" w:sz="2" w:space="0" w:color="000000"/>
              <w:right w:val="single" w:sz="2" w:space="0" w:color="000000"/>
            </w:tcBorders>
          </w:tcPr>
          <w:p w14:paraId="719AE25B" w14:textId="0F4D6D36" w:rsidR="0002655A" w:rsidRPr="00AE3F1B" w:rsidRDefault="0002655A" w:rsidP="00AA279F">
            <w:pPr>
              <w:spacing w:line="259" w:lineRule="auto"/>
              <w:ind w:right="-3"/>
              <w:jc w:val="left"/>
              <w:rPr>
                <w:rFonts w:ascii="Garamond" w:hAnsi="Garamond"/>
                <w:sz w:val="24"/>
                <w:szCs w:val="24"/>
              </w:rPr>
            </w:pPr>
            <w:r w:rsidRPr="00AE3F1B">
              <w:rPr>
                <w:rFonts w:ascii="Garamond" w:hAnsi="Garamond"/>
                <w:sz w:val="24"/>
                <w:szCs w:val="24"/>
              </w:rPr>
              <w:t xml:space="preserve">Miejsce Dostarczenia Energii Rynku Bilansującego, w którym jest realizowana dostawa energii niepowiązana bezpośrednio z fizycznymi przepływami energii (punkt „ponad siecią"). Ilość energii elektrycznej dostarczonej albo odebranej w </w:t>
            </w:r>
            <w:r w:rsidR="00D356CE">
              <w:rPr>
                <w:rFonts w:ascii="Garamond" w:hAnsi="Garamond"/>
                <w:sz w:val="24"/>
                <w:szCs w:val="24"/>
              </w:rPr>
              <w:t>W</w:t>
            </w:r>
            <w:r w:rsidRPr="00AE3F1B">
              <w:rPr>
                <w:rFonts w:ascii="Garamond" w:hAnsi="Garamond"/>
                <w:sz w:val="24"/>
                <w:szCs w:val="24"/>
              </w:rPr>
              <w:t>MB jest wyznaczana na podstawie wielkości energii wynikających z Umów Sprzedaży Energii oraz odpowiednich algorytmów obliczeniowych.</w:t>
            </w:r>
          </w:p>
        </w:tc>
      </w:tr>
      <w:tr w:rsidR="0002655A" w:rsidRPr="00AE3F1B" w14:paraId="58FB73D1" w14:textId="77777777" w:rsidTr="00012668">
        <w:tblPrEx>
          <w:tblCellMar>
            <w:top w:w="50" w:type="dxa"/>
            <w:left w:w="53" w:type="dxa"/>
            <w:right w:w="65" w:type="dxa"/>
          </w:tblCellMar>
        </w:tblPrEx>
        <w:trPr>
          <w:trHeight w:val="1374"/>
        </w:trPr>
        <w:tc>
          <w:tcPr>
            <w:tcW w:w="2059" w:type="dxa"/>
            <w:tcBorders>
              <w:top w:val="single" w:sz="2" w:space="0" w:color="000000"/>
              <w:left w:val="single" w:sz="2" w:space="0" w:color="000000"/>
              <w:bottom w:val="single" w:sz="2" w:space="0" w:color="000000"/>
              <w:right w:val="single" w:sz="2" w:space="0" w:color="000000"/>
            </w:tcBorders>
          </w:tcPr>
          <w:p w14:paraId="0FDED6F0" w14:textId="77777777" w:rsidR="0002655A" w:rsidRPr="00AE3F1B" w:rsidRDefault="0002655A" w:rsidP="00012668">
            <w:pPr>
              <w:spacing w:line="259" w:lineRule="auto"/>
              <w:ind w:left="24" w:right="-3" w:hanging="24"/>
              <w:jc w:val="left"/>
              <w:rPr>
                <w:rFonts w:ascii="Garamond" w:hAnsi="Garamond"/>
                <w:sz w:val="24"/>
                <w:szCs w:val="24"/>
              </w:rPr>
            </w:pPr>
            <w:r w:rsidRPr="00AE3F1B">
              <w:rPr>
                <w:rFonts w:ascii="Garamond" w:hAnsi="Garamond"/>
                <w:sz w:val="24"/>
                <w:szCs w:val="24"/>
              </w:rPr>
              <w:t>Współczynnik Bezpieczeństwa przyrządu — FS</w:t>
            </w:r>
          </w:p>
        </w:tc>
        <w:tc>
          <w:tcPr>
            <w:tcW w:w="7580" w:type="dxa"/>
            <w:tcBorders>
              <w:top w:val="single" w:sz="2" w:space="0" w:color="000000"/>
              <w:left w:val="single" w:sz="2" w:space="0" w:color="000000"/>
              <w:bottom w:val="single" w:sz="2" w:space="0" w:color="000000"/>
              <w:right w:val="single" w:sz="2" w:space="0" w:color="000000"/>
            </w:tcBorders>
          </w:tcPr>
          <w:p w14:paraId="72E86870" w14:textId="77777777" w:rsidR="0002655A" w:rsidRPr="00AE3F1B" w:rsidRDefault="0002655A" w:rsidP="00AA279F">
            <w:pPr>
              <w:spacing w:line="259" w:lineRule="auto"/>
              <w:ind w:right="-3"/>
              <w:jc w:val="left"/>
              <w:rPr>
                <w:rFonts w:ascii="Garamond" w:hAnsi="Garamond"/>
                <w:sz w:val="24"/>
                <w:szCs w:val="24"/>
              </w:rPr>
            </w:pPr>
            <w:r w:rsidRPr="00AE3F1B">
              <w:rPr>
                <w:rFonts w:ascii="Garamond" w:hAnsi="Garamond"/>
                <w:sz w:val="24"/>
                <w:szCs w:val="24"/>
              </w:rPr>
              <w:t>Stosunek znamionowego prądu bezpiecznego przyrządu do znamionowego prądu pierwotnego. Przy czym znamionowy prąd bezpieczny przyrządu określa się jako wartość skuteczną minimalnego prądu pierwotnego, przy którym błąd całkowity przekładnika prądowego do pomiarów jest równy lub większy niż 10% przy obciążeniu znamionowym.</w:t>
            </w:r>
          </w:p>
        </w:tc>
      </w:tr>
      <w:tr w:rsidR="0002655A" w:rsidRPr="00AE3F1B" w14:paraId="26D20B46" w14:textId="77777777" w:rsidTr="00012668">
        <w:tblPrEx>
          <w:tblCellMar>
            <w:top w:w="50" w:type="dxa"/>
            <w:left w:w="53" w:type="dxa"/>
            <w:right w:w="65" w:type="dxa"/>
          </w:tblCellMar>
        </w:tblPrEx>
        <w:trPr>
          <w:trHeight w:val="859"/>
        </w:trPr>
        <w:tc>
          <w:tcPr>
            <w:tcW w:w="2059" w:type="dxa"/>
            <w:tcBorders>
              <w:top w:val="single" w:sz="2" w:space="0" w:color="000000"/>
              <w:left w:val="single" w:sz="2" w:space="0" w:color="000000"/>
              <w:bottom w:val="single" w:sz="2" w:space="0" w:color="000000"/>
              <w:right w:val="single" w:sz="2" w:space="0" w:color="000000"/>
            </w:tcBorders>
          </w:tcPr>
          <w:p w14:paraId="4196FEC1" w14:textId="77777777" w:rsidR="0002655A" w:rsidRPr="00AE3F1B" w:rsidRDefault="0002655A" w:rsidP="00012668">
            <w:pPr>
              <w:spacing w:line="259" w:lineRule="auto"/>
              <w:ind w:left="24" w:right="-3" w:hanging="24"/>
              <w:jc w:val="left"/>
              <w:rPr>
                <w:rFonts w:ascii="Garamond" w:hAnsi="Garamond"/>
                <w:sz w:val="24"/>
                <w:szCs w:val="24"/>
              </w:rPr>
            </w:pPr>
            <w:r w:rsidRPr="00AE3F1B">
              <w:rPr>
                <w:rFonts w:ascii="Garamond" w:hAnsi="Garamond"/>
                <w:sz w:val="24"/>
                <w:szCs w:val="24"/>
              </w:rPr>
              <w:t>Wstępne dane pomiarowe</w:t>
            </w:r>
          </w:p>
        </w:tc>
        <w:tc>
          <w:tcPr>
            <w:tcW w:w="7580" w:type="dxa"/>
            <w:tcBorders>
              <w:top w:val="single" w:sz="2" w:space="0" w:color="000000"/>
              <w:left w:val="single" w:sz="2" w:space="0" w:color="000000"/>
              <w:bottom w:val="single" w:sz="2" w:space="0" w:color="000000"/>
              <w:right w:val="single" w:sz="2" w:space="0" w:color="000000"/>
            </w:tcBorders>
          </w:tcPr>
          <w:p w14:paraId="58B8062F" w14:textId="77777777" w:rsidR="0002655A" w:rsidRPr="00AE3F1B" w:rsidRDefault="0002655A" w:rsidP="00AA279F">
            <w:pPr>
              <w:spacing w:line="259" w:lineRule="auto"/>
              <w:ind w:right="-3"/>
              <w:jc w:val="left"/>
              <w:rPr>
                <w:rFonts w:ascii="Garamond" w:hAnsi="Garamond"/>
                <w:sz w:val="24"/>
                <w:szCs w:val="24"/>
              </w:rPr>
            </w:pPr>
            <w:r w:rsidRPr="00AE3F1B">
              <w:rPr>
                <w:rFonts w:ascii="Garamond" w:hAnsi="Garamond"/>
                <w:sz w:val="24"/>
                <w:szCs w:val="24"/>
              </w:rPr>
              <w:t>Niezweryfikowane dane pozyskane w trakcie okresu rozliczeniowego z układów pomiarowych i pomiarowo- rozliczeniowych, nie służące do rozliczeń, a pozyskane jedynie w celu prowadzenia działalności operatorskiej przez OSD.</w:t>
            </w:r>
          </w:p>
        </w:tc>
      </w:tr>
      <w:tr w:rsidR="0002655A" w:rsidRPr="00AE3F1B" w14:paraId="7584757C" w14:textId="77777777" w:rsidTr="00012668">
        <w:tblPrEx>
          <w:tblCellMar>
            <w:top w:w="50" w:type="dxa"/>
            <w:left w:w="53" w:type="dxa"/>
            <w:right w:w="65" w:type="dxa"/>
          </w:tblCellMar>
        </w:tblPrEx>
        <w:trPr>
          <w:trHeight w:val="863"/>
        </w:trPr>
        <w:tc>
          <w:tcPr>
            <w:tcW w:w="2059" w:type="dxa"/>
            <w:tcBorders>
              <w:top w:val="single" w:sz="2" w:space="0" w:color="000000"/>
              <w:left w:val="single" w:sz="2" w:space="0" w:color="000000"/>
              <w:bottom w:val="single" w:sz="2" w:space="0" w:color="000000"/>
              <w:right w:val="single" w:sz="2" w:space="0" w:color="000000"/>
            </w:tcBorders>
          </w:tcPr>
          <w:p w14:paraId="630739DE" w14:textId="77777777" w:rsidR="0002655A" w:rsidRPr="00AE3F1B" w:rsidRDefault="0002655A" w:rsidP="00012668">
            <w:pPr>
              <w:spacing w:line="259" w:lineRule="auto"/>
              <w:ind w:left="24" w:right="-3" w:hanging="24"/>
              <w:jc w:val="left"/>
              <w:rPr>
                <w:rFonts w:ascii="Garamond" w:hAnsi="Garamond"/>
                <w:sz w:val="24"/>
                <w:szCs w:val="24"/>
              </w:rPr>
            </w:pPr>
            <w:r w:rsidRPr="00AE3F1B">
              <w:rPr>
                <w:rFonts w:ascii="Garamond" w:hAnsi="Garamond"/>
                <w:sz w:val="24"/>
                <w:szCs w:val="24"/>
              </w:rPr>
              <w:t>Wyłączenie awaryjne</w:t>
            </w:r>
          </w:p>
        </w:tc>
        <w:tc>
          <w:tcPr>
            <w:tcW w:w="7580" w:type="dxa"/>
            <w:tcBorders>
              <w:top w:val="single" w:sz="2" w:space="0" w:color="000000"/>
              <w:left w:val="single" w:sz="2" w:space="0" w:color="000000"/>
              <w:bottom w:val="single" w:sz="2" w:space="0" w:color="000000"/>
              <w:right w:val="single" w:sz="2" w:space="0" w:color="000000"/>
            </w:tcBorders>
          </w:tcPr>
          <w:p w14:paraId="2743F7C1" w14:textId="77777777" w:rsidR="0002655A" w:rsidRPr="00AE3F1B" w:rsidRDefault="0002655A" w:rsidP="00AA279F">
            <w:pPr>
              <w:spacing w:line="259" w:lineRule="auto"/>
              <w:ind w:right="-3"/>
              <w:jc w:val="left"/>
              <w:rPr>
                <w:rFonts w:ascii="Garamond" w:hAnsi="Garamond"/>
                <w:sz w:val="24"/>
                <w:szCs w:val="24"/>
              </w:rPr>
            </w:pPr>
            <w:r w:rsidRPr="00AE3F1B">
              <w:rPr>
                <w:rFonts w:ascii="Garamond" w:hAnsi="Garamond"/>
                <w:sz w:val="24"/>
                <w:szCs w:val="24"/>
              </w:rPr>
              <w:t>Wyłączenie urządzeń automatyczne lub ręczne, w przypadku zagrożenia bezpieczeństwa tego urządzenia lub innych urządzeń, instalacji i sieci albo zagrożenia bezpieczeństwa osób, mienia lub środowiska.</w:t>
            </w:r>
          </w:p>
        </w:tc>
      </w:tr>
      <w:tr w:rsidR="0002655A" w:rsidRPr="00AE3F1B" w14:paraId="520C5435" w14:textId="77777777" w:rsidTr="00012668">
        <w:tblPrEx>
          <w:tblCellMar>
            <w:top w:w="50" w:type="dxa"/>
            <w:left w:w="53" w:type="dxa"/>
            <w:right w:w="65" w:type="dxa"/>
          </w:tblCellMar>
        </w:tblPrEx>
        <w:trPr>
          <w:trHeight w:val="576"/>
        </w:trPr>
        <w:tc>
          <w:tcPr>
            <w:tcW w:w="2059" w:type="dxa"/>
            <w:tcBorders>
              <w:top w:val="single" w:sz="2" w:space="0" w:color="000000"/>
              <w:left w:val="single" w:sz="2" w:space="0" w:color="000000"/>
              <w:bottom w:val="single" w:sz="2" w:space="0" w:color="000000"/>
              <w:right w:val="single" w:sz="2" w:space="0" w:color="000000"/>
            </w:tcBorders>
          </w:tcPr>
          <w:p w14:paraId="759C1619" w14:textId="77777777" w:rsidR="0002655A" w:rsidRPr="00AE3F1B" w:rsidRDefault="0002655A" w:rsidP="00012668">
            <w:pPr>
              <w:spacing w:line="259" w:lineRule="auto"/>
              <w:ind w:left="24" w:right="-3" w:hanging="24"/>
              <w:jc w:val="left"/>
              <w:rPr>
                <w:rFonts w:ascii="Garamond" w:hAnsi="Garamond"/>
                <w:sz w:val="24"/>
                <w:szCs w:val="24"/>
              </w:rPr>
            </w:pPr>
            <w:r w:rsidRPr="00AE3F1B">
              <w:rPr>
                <w:rFonts w:ascii="Garamond" w:hAnsi="Garamond"/>
                <w:sz w:val="24"/>
                <w:szCs w:val="24"/>
              </w:rPr>
              <w:t>Wymiana</w:t>
            </w:r>
          </w:p>
          <w:p w14:paraId="0008A742" w14:textId="77777777" w:rsidR="0002655A" w:rsidRPr="00AE3F1B" w:rsidRDefault="0002655A" w:rsidP="00012668">
            <w:pPr>
              <w:spacing w:line="259" w:lineRule="auto"/>
              <w:ind w:left="24" w:right="-3" w:hanging="24"/>
              <w:jc w:val="left"/>
              <w:rPr>
                <w:rFonts w:ascii="Garamond" w:hAnsi="Garamond"/>
                <w:sz w:val="24"/>
                <w:szCs w:val="24"/>
              </w:rPr>
            </w:pPr>
            <w:r w:rsidRPr="00AE3F1B">
              <w:rPr>
                <w:rFonts w:ascii="Garamond" w:hAnsi="Garamond"/>
                <w:sz w:val="24"/>
                <w:szCs w:val="24"/>
              </w:rPr>
              <w:t>Międzysystemowa</w:t>
            </w:r>
          </w:p>
        </w:tc>
        <w:tc>
          <w:tcPr>
            <w:tcW w:w="7580" w:type="dxa"/>
            <w:tcBorders>
              <w:top w:val="single" w:sz="2" w:space="0" w:color="000000"/>
              <w:left w:val="single" w:sz="2" w:space="0" w:color="000000"/>
              <w:bottom w:val="single" w:sz="2" w:space="0" w:color="000000"/>
              <w:right w:val="single" w:sz="2" w:space="0" w:color="000000"/>
            </w:tcBorders>
          </w:tcPr>
          <w:p w14:paraId="67055149" w14:textId="77777777" w:rsidR="0002655A" w:rsidRPr="00AE3F1B" w:rsidRDefault="0002655A" w:rsidP="00AA279F">
            <w:pPr>
              <w:spacing w:line="259" w:lineRule="auto"/>
              <w:ind w:right="-3"/>
              <w:jc w:val="left"/>
              <w:rPr>
                <w:rFonts w:ascii="Garamond" w:hAnsi="Garamond"/>
                <w:sz w:val="24"/>
                <w:szCs w:val="24"/>
              </w:rPr>
            </w:pPr>
            <w:r w:rsidRPr="00AE3F1B">
              <w:rPr>
                <w:rFonts w:ascii="Garamond" w:hAnsi="Garamond"/>
                <w:sz w:val="24"/>
                <w:szCs w:val="24"/>
              </w:rPr>
              <w:t>Wymiana mocy i energii elektrycznej pomiędzy KSE i innymi systemami elektroenergetycznymi.</w:t>
            </w:r>
          </w:p>
        </w:tc>
      </w:tr>
      <w:tr w:rsidR="0002655A" w:rsidRPr="00AE3F1B" w14:paraId="48521690" w14:textId="77777777" w:rsidTr="00012668">
        <w:tblPrEx>
          <w:tblCellMar>
            <w:top w:w="50" w:type="dxa"/>
            <w:left w:w="53" w:type="dxa"/>
            <w:right w:w="65" w:type="dxa"/>
          </w:tblCellMar>
        </w:tblPrEx>
        <w:trPr>
          <w:trHeight w:val="576"/>
        </w:trPr>
        <w:tc>
          <w:tcPr>
            <w:tcW w:w="2059" w:type="dxa"/>
            <w:tcBorders>
              <w:top w:val="single" w:sz="2" w:space="0" w:color="000000"/>
              <w:left w:val="single" w:sz="2" w:space="0" w:color="000000"/>
              <w:bottom w:val="single" w:sz="2" w:space="0" w:color="000000"/>
              <w:right w:val="single" w:sz="2" w:space="0" w:color="000000"/>
            </w:tcBorders>
          </w:tcPr>
          <w:p w14:paraId="3E0751F1" w14:textId="77777777" w:rsidR="0002655A" w:rsidRPr="00AE3F1B" w:rsidRDefault="0002655A" w:rsidP="00012668">
            <w:pPr>
              <w:spacing w:line="259" w:lineRule="auto"/>
              <w:ind w:left="24" w:right="-3" w:hanging="24"/>
              <w:jc w:val="left"/>
              <w:rPr>
                <w:rFonts w:ascii="Garamond" w:hAnsi="Garamond"/>
                <w:sz w:val="24"/>
                <w:szCs w:val="24"/>
              </w:rPr>
            </w:pPr>
            <w:r w:rsidRPr="00AE3F1B">
              <w:rPr>
                <w:rFonts w:ascii="Garamond" w:hAnsi="Garamond"/>
                <w:sz w:val="24"/>
                <w:szCs w:val="24"/>
              </w:rPr>
              <w:t>Wytwórca</w:t>
            </w:r>
          </w:p>
        </w:tc>
        <w:tc>
          <w:tcPr>
            <w:tcW w:w="7580" w:type="dxa"/>
            <w:tcBorders>
              <w:top w:val="single" w:sz="2" w:space="0" w:color="000000"/>
              <w:left w:val="single" w:sz="2" w:space="0" w:color="000000"/>
              <w:bottom w:val="single" w:sz="2" w:space="0" w:color="000000"/>
              <w:right w:val="single" w:sz="2" w:space="0" w:color="000000"/>
            </w:tcBorders>
          </w:tcPr>
          <w:p w14:paraId="39DF587A" w14:textId="77777777" w:rsidR="0002655A" w:rsidRPr="00AE3F1B" w:rsidRDefault="0002655A" w:rsidP="00AA279F">
            <w:pPr>
              <w:spacing w:line="259" w:lineRule="auto"/>
              <w:ind w:right="-3"/>
              <w:jc w:val="left"/>
              <w:rPr>
                <w:rFonts w:ascii="Garamond" w:hAnsi="Garamond"/>
                <w:sz w:val="24"/>
                <w:szCs w:val="24"/>
              </w:rPr>
            </w:pPr>
            <w:r w:rsidRPr="00AE3F1B">
              <w:rPr>
                <w:rFonts w:ascii="Garamond" w:hAnsi="Garamond"/>
                <w:sz w:val="24"/>
                <w:szCs w:val="24"/>
              </w:rPr>
              <w:t>Przedsiębiorstwo energetyczne zajmujące się wytwarzaniem energii elektrycznej, którego urządzenia współpracują z siecią.</w:t>
            </w:r>
          </w:p>
        </w:tc>
      </w:tr>
      <w:tr w:rsidR="0002655A" w:rsidRPr="00AE3F1B" w14:paraId="41B3BCAB" w14:textId="77777777" w:rsidTr="00012668">
        <w:tblPrEx>
          <w:tblCellMar>
            <w:top w:w="50" w:type="dxa"/>
            <w:left w:w="53" w:type="dxa"/>
            <w:right w:w="65" w:type="dxa"/>
          </w:tblCellMar>
        </w:tblPrEx>
        <w:trPr>
          <w:trHeight w:val="863"/>
        </w:trPr>
        <w:tc>
          <w:tcPr>
            <w:tcW w:w="2059" w:type="dxa"/>
            <w:tcBorders>
              <w:top w:val="single" w:sz="2" w:space="0" w:color="000000"/>
              <w:left w:val="single" w:sz="2" w:space="0" w:color="000000"/>
              <w:bottom w:val="single" w:sz="2" w:space="0" w:color="000000"/>
              <w:right w:val="single" w:sz="2" w:space="0" w:color="000000"/>
            </w:tcBorders>
          </w:tcPr>
          <w:p w14:paraId="10386EC7" w14:textId="77777777" w:rsidR="0002655A" w:rsidRPr="00AE3F1B" w:rsidRDefault="0002655A" w:rsidP="00012668">
            <w:pPr>
              <w:spacing w:line="259" w:lineRule="auto"/>
              <w:ind w:left="24" w:right="-3" w:hanging="24"/>
              <w:jc w:val="left"/>
              <w:rPr>
                <w:rFonts w:ascii="Garamond" w:hAnsi="Garamond"/>
                <w:sz w:val="24"/>
                <w:szCs w:val="24"/>
              </w:rPr>
            </w:pPr>
            <w:r w:rsidRPr="00AE3F1B">
              <w:rPr>
                <w:rFonts w:ascii="Garamond" w:hAnsi="Garamond"/>
                <w:sz w:val="24"/>
                <w:szCs w:val="24"/>
              </w:rPr>
              <w:lastRenderedPageBreak/>
              <w:t>Zabezpieczenia</w:t>
            </w:r>
          </w:p>
        </w:tc>
        <w:tc>
          <w:tcPr>
            <w:tcW w:w="7580" w:type="dxa"/>
            <w:tcBorders>
              <w:top w:val="single" w:sz="2" w:space="0" w:color="000000"/>
              <w:left w:val="single" w:sz="2" w:space="0" w:color="000000"/>
              <w:bottom w:val="single" w:sz="2" w:space="0" w:color="000000"/>
              <w:right w:val="single" w:sz="2" w:space="0" w:color="000000"/>
            </w:tcBorders>
          </w:tcPr>
          <w:p w14:paraId="5FFE8150" w14:textId="77777777" w:rsidR="0002655A" w:rsidRPr="00AE3F1B" w:rsidRDefault="0002655A" w:rsidP="00AA279F">
            <w:pPr>
              <w:spacing w:line="259" w:lineRule="auto"/>
              <w:ind w:right="-3"/>
              <w:jc w:val="left"/>
              <w:rPr>
                <w:rFonts w:ascii="Garamond" w:hAnsi="Garamond"/>
                <w:sz w:val="24"/>
                <w:szCs w:val="24"/>
              </w:rPr>
            </w:pPr>
            <w:r w:rsidRPr="00AE3F1B">
              <w:rPr>
                <w:rFonts w:ascii="Garamond" w:hAnsi="Garamond"/>
                <w:sz w:val="24"/>
                <w:szCs w:val="24"/>
              </w:rPr>
              <w:t>Część EAZ służąca do wykrywania i lokalizacji zakłóceń oraz wyłączenia elementów nimi dotkniętych. W pewnych przypadkach zabezpieczenia mogą tylko sygnalizować powstanie zakłócenia i jego miejsce.</w:t>
            </w:r>
          </w:p>
        </w:tc>
      </w:tr>
      <w:tr w:rsidR="0002655A" w:rsidRPr="00AE3F1B" w14:paraId="2081DED6" w14:textId="77777777" w:rsidTr="00012668">
        <w:tblPrEx>
          <w:tblCellMar>
            <w:top w:w="50" w:type="dxa"/>
            <w:left w:w="53" w:type="dxa"/>
            <w:right w:w="65" w:type="dxa"/>
          </w:tblCellMar>
        </w:tblPrEx>
        <w:trPr>
          <w:trHeight w:val="576"/>
        </w:trPr>
        <w:tc>
          <w:tcPr>
            <w:tcW w:w="2059" w:type="dxa"/>
            <w:tcBorders>
              <w:top w:val="single" w:sz="2" w:space="0" w:color="000000"/>
              <w:left w:val="single" w:sz="2" w:space="0" w:color="000000"/>
              <w:bottom w:val="single" w:sz="2" w:space="0" w:color="000000"/>
              <w:right w:val="single" w:sz="2" w:space="0" w:color="000000"/>
            </w:tcBorders>
          </w:tcPr>
          <w:p w14:paraId="2759C776" w14:textId="77777777" w:rsidR="0002655A" w:rsidRPr="00AE3F1B" w:rsidRDefault="0002655A" w:rsidP="00012668">
            <w:pPr>
              <w:spacing w:line="259" w:lineRule="auto"/>
              <w:ind w:left="24" w:right="-3" w:hanging="24"/>
              <w:jc w:val="left"/>
              <w:rPr>
                <w:rFonts w:ascii="Garamond" w:hAnsi="Garamond"/>
                <w:sz w:val="24"/>
                <w:szCs w:val="24"/>
              </w:rPr>
            </w:pPr>
            <w:r w:rsidRPr="00AE3F1B">
              <w:rPr>
                <w:rFonts w:ascii="Garamond" w:hAnsi="Garamond"/>
                <w:sz w:val="24"/>
                <w:szCs w:val="24"/>
              </w:rPr>
              <w:t>Zabezpieczenie nadprądowe zwłoczne</w:t>
            </w:r>
          </w:p>
        </w:tc>
        <w:tc>
          <w:tcPr>
            <w:tcW w:w="7580" w:type="dxa"/>
            <w:tcBorders>
              <w:top w:val="single" w:sz="2" w:space="0" w:color="000000"/>
              <w:left w:val="single" w:sz="2" w:space="0" w:color="000000"/>
              <w:bottom w:val="single" w:sz="2" w:space="0" w:color="000000"/>
              <w:right w:val="single" w:sz="2" w:space="0" w:color="000000"/>
            </w:tcBorders>
          </w:tcPr>
          <w:p w14:paraId="3A45BD74" w14:textId="77777777" w:rsidR="0002655A" w:rsidRPr="00AE3F1B" w:rsidRDefault="0002655A" w:rsidP="00AA279F">
            <w:pPr>
              <w:spacing w:line="259" w:lineRule="auto"/>
              <w:ind w:right="-3"/>
              <w:jc w:val="left"/>
              <w:rPr>
                <w:rFonts w:ascii="Garamond" w:hAnsi="Garamond"/>
                <w:sz w:val="24"/>
                <w:szCs w:val="24"/>
              </w:rPr>
            </w:pPr>
            <w:r w:rsidRPr="00AE3F1B">
              <w:rPr>
                <w:rFonts w:ascii="Garamond" w:hAnsi="Garamond"/>
                <w:sz w:val="24"/>
                <w:szCs w:val="24"/>
              </w:rPr>
              <w:t>Zabezpieczenie nadprądowe, którego nastawa prądowa jest zasadniczo odstrojona od prądów roboczych zabezpieczanego urządzenia.</w:t>
            </w:r>
          </w:p>
        </w:tc>
      </w:tr>
      <w:tr w:rsidR="0002655A" w:rsidRPr="00AE3F1B" w14:paraId="640A1BE0" w14:textId="77777777" w:rsidTr="00012668">
        <w:tblPrEx>
          <w:tblCellMar>
            <w:top w:w="50" w:type="dxa"/>
            <w:left w:w="53" w:type="dxa"/>
            <w:right w:w="65" w:type="dxa"/>
          </w:tblCellMar>
        </w:tblPrEx>
        <w:trPr>
          <w:trHeight w:val="856"/>
        </w:trPr>
        <w:tc>
          <w:tcPr>
            <w:tcW w:w="2059" w:type="dxa"/>
            <w:tcBorders>
              <w:top w:val="single" w:sz="2" w:space="0" w:color="000000"/>
              <w:left w:val="single" w:sz="2" w:space="0" w:color="000000"/>
              <w:bottom w:val="single" w:sz="2" w:space="0" w:color="000000"/>
              <w:right w:val="single" w:sz="2" w:space="0" w:color="000000"/>
            </w:tcBorders>
          </w:tcPr>
          <w:p w14:paraId="314E8D76" w14:textId="77777777" w:rsidR="0002655A" w:rsidRPr="00AE3F1B" w:rsidRDefault="0002655A" w:rsidP="00012668">
            <w:pPr>
              <w:spacing w:line="259" w:lineRule="auto"/>
              <w:ind w:left="24" w:right="-3" w:hanging="24"/>
              <w:jc w:val="left"/>
              <w:rPr>
                <w:rFonts w:ascii="Garamond" w:hAnsi="Garamond"/>
                <w:sz w:val="24"/>
                <w:szCs w:val="24"/>
              </w:rPr>
            </w:pPr>
            <w:r w:rsidRPr="00AE3F1B">
              <w:rPr>
                <w:rFonts w:ascii="Garamond" w:hAnsi="Garamond"/>
                <w:sz w:val="24"/>
                <w:szCs w:val="24"/>
              </w:rPr>
              <w:t>Zabezpieczenie nadprądowe zwarciowe</w:t>
            </w:r>
          </w:p>
        </w:tc>
        <w:tc>
          <w:tcPr>
            <w:tcW w:w="7580" w:type="dxa"/>
            <w:tcBorders>
              <w:top w:val="single" w:sz="2" w:space="0" w:color="000000"/>
              <w:left w:val="single" w:sz="2" w:space="0" w:color="000000"/>
              <w:bottom w:val="single" w:sz="2" w:space="0" w:color="000000"/>
              <w:right w:val="single" w:sz="2" w:space="0" w:color="000000"/>
            </w:tcBorders>
          </w:tcPr>
          <w:p w14:paraId="2D95B9EA" w14:textId="77777777" w:rsidR="0002655A" w:rsidRPr="00AE3F1B" w:rsidRDefault="0002655A" w:rsidP="00AA279F">
            <w:pPr>
              <w:spacing w:line="259" w:lineRule="auto"/>
              <w:ind w:right="-3"/>
              <w:jc w:val="left"/>
              <w:rPr>
                <w:rFonts w:ascii="Garamond" w:hAnsi="Garamond"/>
                <w:sz w:val="24"/>
                <w:szCs w:val="24"/>
              </w:rPr>
            </w:pPr>
            <w:r w:rsidRPr="00AE3F1B">
              <w:rPr>
                <w:rFonts w:ascii="Garamond" w:hAnsi="Garamond"/>
                <w:sz w:val="24"/>
                <w:szCs w:val="24"/>
              </w:rPr>
              <w:t>Zabezpieczenie nadprądowe, którego opóźnienie czasowe jest mniejsze od 0,4 s, a nastawa prądowa wynika z oceny prądów zwarciowych w otoczeniu miejsca jego zainstalowania z pominięciem wpływu prądów roboczych.</w:t>
            </w:r>
          </w:p>
        </w:tc>
      </w:tr>
      <w:tr w:rsidR="0002655A" w:rsidRPr="00AE3F1B" w14:paraId="704FC817" w14:textId="77777777" w:rsidTr="00012668">
        <w:tblPrEx>
          <w:tblCellMar>
            <w:top w:w="50" w:type="dxa"/>
            <w:left w:w="53" w:type="dxa"/>
            <w:right w:w="65" w:type="dxa"/>
          </w:tblCellMar>
        </w:tblPrEx>
        <w:trPr>
          <w:trHeight w:val="861"/>
        </w:trPr>
        <w:tc>
          <w:tcPr>
            <w:tcW w:w="2059" w:type="dxa"/>
            <w:tcBorders>
              <w:top w:val="single" w:sz="2" w:space="0" w:color="000000"/>
              <w:left w:val="single" w:sz="2" w:space="0" w:color="000000"/>
              <w:bottom w:val="single" w:sz="2" w:space="0" w:color="000000"/>
              <w:right w:val="single" w:sz="2" w:space="0" w:color="000000"/>
            </w:tcBorders>
          </w:tcPr>
          <w:p w14:paraId="72DC405B" w14:textId="77777777" w:rsidR="0002655A" w:rsidRPr="00AE3F1B" w:rsidRDefault="0002655A" w:rsidP="00012668">
            <w:pPr>
              <w:spacing w:line="259" w:lineRule="auto"/>
              <w:ind w:left="24" w:right="-3" w:hanging="24"/>
              <w:jc w:val="left"/>
              <w:rPr>
                <w:rFonts w:ascii="Garamond" w:hAnsi="Garamond"/>
                <w:sz w:val="24"/>
                <w:szCs w:val="24"/>
              </w:rPr>
            </w:pPr>
            <w:r w:rsidRPr="00AE3F1B">
              <w:rPr>
                <w:rFonts w:ascii="Garamond" w:hAnsi="Garamond"/>
                <w:sz w:val="24"/>
                <w:szCs w:val="24"/>
              </w:rPr>
              <w:t>Zaprzestanie dostaw energii elektryczne</w:t>
            </w:r>
          </w:p>
        </w:tc>
        <w:tc>
          <w:tcPr>
            <w:tcW w:w="7580" w:type="dxa"/>
            <w:tcBorders>
              <w:top w:val="single" w:sz="2" w:space="0" w:color="000000"/>
              <w:left w:val="single" w:sz="2" w:space="0" w:color="000000"/>
              <w:bottom w:val="single" w:sz="2" w:space="0" w:color="000000"/>
              <w:right w:val="single" w:sz="2" w:space="0" w:color="000000"/>
            </w:tcBorders>
          </w:tcPr>
          <w:p w14:paraId="069DD70D" w14:textId="77777777" w:rsidR="0002655A" w:rsidRPr="00AE3F1B" w:rsidRDefault="0002655A" w:rsidP="00AA279F">
            <w:pPr>
              <w:spacing w:line="259" w:lineRule="auto"/>
              <w:ind w:right="-3"/>
              <w:jc w:val="left"/>
              <w:rPr>
                <w:rFonts w:ascii="Garamond" w:hAnsi="Garamond"/>
                <w:sz w:val="24"/>
                <w:szCs w:val="24"/>
              </w:rPr>
            </w:pPr>
            <w:r w:rsidRPr="00AE3F1B">
              <w:rPr>
                <w:rFonts w:ascii="Garamond" w:hAnsi="Garamond"/>
                <w:sz w:val="24"/>
                <w:szCs w:val="24"/>
              </w:rPr>
              <w:t>Niedostarczanie energii elektrycznej do przyłączonego obiektu z powodu rozwiązania lub wygaśnięcia umowy o świadczenie usług dystrybucji lub umowy kompleksowej, bez dokonania trwałego demontażu elementów przyłącza.</w:t>
            </w:r>
          </w:p>
        </w:tc>
      </w:tr>
      <w:tr w:rsidR="0002655A" w:rsidRPr="00AE3F1B" w14:paraId="27276BFE" w14:textId="77777777" w:rsidTr="00012668">
        <w:tblPrEx>
          <w:tblCellMar>
            <w:top w:w="50" w:type="dxa"/>
            <w:left w:w="53" w:type="dxa"/>
            <w:right w:w="65" w:type="dxa"/>
          </w:tblCellMar>
        </w:tblPrEx>
        <w:trPr>
          <w:trHeight w:val="2024"/>
        </w:trPr>
        <w:tc>
          <w:tcPr>
            <w:tcW w:w="2059" w:type="dxa"/>
            <w:tcBorders>
              <w:top w:val="single" w:sz="2" w:space="0" w:color="000000"/>
              <w:left w:val="single" w:sz="2" w:space="0" w:color="000000"/>
              <w:bottom w:val="single" w:sz="2" w:space="0" w:color="000000"/>
              <w:right w:val="single" w:sz="2" w:space="0" w:color="000000"/>
            </w:tcBorders>
          </w:tcPr>
          <w:p w14:paraId="3FBC074D" w14:textId="77777777" w:rsidR="0002655A" w:rsidRPr="00AE3F1B" w:rsidRDefault="0002655A" w:rsidP="00012668">
            <w:pPr>
              <w:spacing w:line="259" w:lineRule="auto"/>
              <w:ind w:left="24" w:right="-3" w:hanging="24"/>
              <w:jc w:val="left"/>
              <w:rPr>
                <w:rFonts w:ascii="Garamond" w:hAnsi="Garamond"/>
                <w:sz w:val="24"/>
                <w:szCs w:val="24"/>
              </w:rPr>
            </w:pPr>
            <w:r w:rsidRPr="00AE3F1B">
              <w:rPr>
                <w:rFonts w:ascii="Garamond" w:hAnsi="Garamond"/>
                <w:sz w:val="24"/>
                <w:szCs w:val="24"/>
              </w:rPr>
              <w:t>Zarządzanie ograniczeniami systemowymi</w:t>
            </w:r>
          </w:p>
        </w:tc>
        <w:tc>
          <w:tcPr>
            <w:tcW w:w="7580" w:type="dxa"/>
            <w:tcBorders>
              <w:top w:val="single" w:sz="2" w:space="0" w:color="000000"/>
              <w:left w:val="single" w:sz="2" w:space="0" w:color="000000"/>
              <w:bottom w:val="single" w:sz="2" w:space="0" w:color="000000"/>
              <w:right w:val="single" w:sz="2" w:space="0" w:color="000000"/>
            </w:tcBorders>
          </w:tcPr>
          <w:p w14:paraId="2B70F302" w14:textId="77777777" w:rsidR="0002655A" w:rsidRPr="00AE3F1B" w:rsidRDefault="0002655A" w:rsidP="00AA279F">
            <w:pPr>
              <w:spacing w:line="259" w:lineRule="auto"/>
              <w:ind w:right="-3"/>
              <w:jc w:val="left"/>
              <w:rPr>
                <w:rFonts w:ascii="Garamond" w:hAnsi="Garamond"/>
                <w:sz w:val="24"/>
                <w:szCs w:val="24"/>
              </w:rPr>
            </w:pPr>
            <w:r w:rsidRPr="00AE3F1B">
              <w:rPr>
                <w:rFonts w:ascii="Garamond" w:hAnsi="Garamond"/>
                <w:sz w:val="24"/>
                <w:szCs w:val="24"/>
              </w:rPr>
              <w:t>Działalność gospodarcza wykonywana przez operatora systemu przesyłowego lub dystrybucyjnego w ramach świadczonych usług przesyłania lub dystrybucji w celu zapewnienia bezpiecznego funkcjonowania systemu elektroenergetycznego oraz zapewnienia, zgodnie z przepisami wydanymi na podstawie ustawy Prawo energetyczne, wymaganych parametrów technicznych energii elektrycznej w przypadku wystąpienia ograniczeń technicznych w przepustowości tych systemów.</w:t>
            </w:r>
          </w:p>
        </w:tc>
      </w:tr>
    </w:tbl>
    <w:p w14:paraId="61F03B39" w14:textId="77777777" w:rsidR="00D356CE" w:rsidRDefault="00D356CE" w:rsidP="00AA279F">
      <w:pPr>
        <w:spacing w:after="0" w:line="312" w:lineRule="auto"/>
        <w:ind w:left="142" w:right="-6"/>
        <w:rPr>
          <w:rFonts w:ascii="Garamond" w:eastAsia="Calibri" w:hAnsi="Garamond" w:cs="Calibri"/>
          <w:b/>
          <w:bCs/>
          <w:sz w:val="28"/>
          <w:szCs w:val="28"/>
        </w:rPr>
      </w:pPr>
    </w:p>
    <w:p w14:paraId="2E66C811" w14:textId="3D46D899" w:rsidR="00C648AA" w:rsidRPr="00AA279F" w:rsidRDefault="00AA279F" w:rsidP="00AA279F">
      <w:pPr>
        <w:spacing w:after="0" w:line="312" w:lineRule="auto"/>
        <w:ind w:left="142" w:right="-6"/>
        <w:rPr>
          <w:rFonts w:asciiTheme="majorHAnsi" w:hAnsiTheme="majorHAnsi"/>
          <w:b/>
          <w:bCs/>
          <w:sz w:val="24"/>
          <w:szCs w:val="24"/>
        </w:rPr>
      </w:pPr>
      <w:r>
        <w:rPr>
          <w:rFonts w:ascii="Garamond" w:eastAsia="Calibri" w:hAnsi="Garamond" w:cs="Calibri"/>
          <w:b/>
          <w:bCs/>
          <w:sz w:val="28"/>
          <w:szCs w:val="28"/>
        </w:rPr>
        <w:br/>
      </w:r>
      <w:r w:rsidR="00C648AA" w:rsidRPr="00AA279F">
        <w:rPr>
          <w:rFonts w:asciiTheme="majorHAnsi" w:eastAsia="Calibri" w:hAnsiTheme="majorHAnsi" w:cs="Calibri"/>
          <w:b/>
          <w:bCs/>
          <w:sz w:val="24"/>
          <w:szCs w:val="24"/>
        </w:rPr>
        <w:t>ZAŁĄCZNIK NR 1</w:t>
      </w:r>
    </w:p>
    <w:p w14:paraId="3815F105" w14:textId="77777777" w:rsidR="00C648AA" w:rsidRPr="00AE3F1B" w:rsidRDefault="00C648AA" w:rsidP="00E21346">
      <w:pPr>
        <w:spacing w:after="0" w:line="259" w:lineRule="auto"/>
        <w:ind w:right="-3"/>
        <w:jc w:val="left"/>
        <w:rPr>
          <w:rFonts w:ascii="Garamond" w:hAnsi="Garamond"/>
          <w:sz w:val="24"/>
          <w:szCs w:val="24"/>
        </w:rPr>
      </w:pPr>
      <w:r w:rsidRPr="00AE3F1B">
        <w:rPr>
          <w:rFonts w:ascii="Garamond" w:eastAsia="Calibri" w:hAnsi="Garamond" w:cs="Calibri"/>
          <w:sz w:val="24"/>
          <w:szCs w:val="24"/>
        </w:rPr>
        <w:t>Zakres informacji zawartych w formularzu powiadomienia ID Sp. z o.o. przez Sprzedawcę w imieniu własnym i URD, o zawartej umowie sprzedaży energii elektrycznej.</w:t>
      </w:r>
    </w:p>
    <w:tbl>
      <w:tblPr>
        <w:tblStyle w:val="TableGrid"/>
        <w:tblW w:w="9770" w:type="dxa"/>
        <w:tblInd w:w="137" w:type="dxa"/>
        <w:tblCellMar>
          <w:top w:w="10" w:type="dxa"/>
          <w:left w:w="96" w:type="dxa"/>
          <w:right w:w="50" w:type="dxa"/>
        </w:tblCellMar>
        <w:tblLook w:val="04A0" w:firstRow="1" w:lastRow="0" w:firstColumn="1" w:lastColumn="0" w:noHBand="0" w:noVBand="1"/>
      </w:tblPr>
      <w:tblGrid>
        <w:gridCol w:w="1278"/>
        <w:gridCol w:w="8492"/>
      </w:tblGrid>
      <w:tr w:rsidR="00C648AA" w:rsidRPr="00AE3F1B" w14:paraId="6A7D6335" w14:textId="77777777" w:rsidTr="00CA65D1">
        <w:trPr>
          <w:trHeight w:val="326"/>
        </w:trPr>
        <w:tc>
          <w:tcPr>
            <w:tcW w:w="1278" w:type="dxa"/>
            <w:tcBorders>
              <w:top w:val="single" w:sz="2" w:space="0" w:color="000000"/>
              <w:left w:val="single" w:sz="2" w:space="0" w:color="000000"/>
              <w:bottom w:val="single" w:sz="2" w:space="0" w:color="000000"/>
              <w:right w:val="single" w:sz="2" w:space="0" w:color="000000"/>
            </w:tcBorders>
          </w:tcPr>
          <w:p w14:paraId="3CCC132D" w14:textId="77777777" w:rsidR="00C648AA" w:rsidRPr="00AE3F1B" w:rsidRDefault="00C648AA" w:rsidP="00175586">
            <w:pPr>
              <w:spacing w:line="259" w:lineRule="auto"/>
              <w:ind w:left="567" w:right="-3" w:hanging="567"/>
              <w:jc w:val="left"/>
              <w:rPr>
                <w:rFonts w:ascii="Garamond" w:hAnsi="Garamond"/>
                <w:sz w:val="24"/>
                <w:szCs w:val="24"/>
              </w:rPr>
            </w:pPr>
            <w:r w:rsidRPr="00AE3F1B">
              <w:rPr>
                <w:rFonts w:ascii="Garamond" w:eastAsia="Calibri" w:hAnsi="Garamond" w:cs="Calibri"/>
                <w:sz w:val="24"/>
                <w:szCs w:val="24"/>
              </w:rPr>
              <w:t>Pozycja nr</w:t>
            </w:r>
          </w:p>
        </w:tc>
        <w:tc>
          <w:tcPr>
            <w:tcW w:w="8492" w:type="dxa"/>
            <w:tcBorders>
              <w:top w:val="single" w:sz="2" w:space="0" w:color="000000"/>
              <w:left w:val="single" w:sz="2" w:space="0" w:color="000000"/>
              <w:bottom w:val="single" w:sz="2" w:space="0" w:color="000000"/>
              <w:right w:val="single" w:sz="2" w:space="0" w:color="000000"/>
            </w:tcBorders>
          </w:tcPr>
          <w:p w14:paraId="7C086E53" w14:textId="77777777" w:rsidR="00C648AA" w:rsidRPr="00AE3F1B" w:rsidRDefault="00C648AA" w:rsidP="00175586">
            <w:pPr>
              <w:spacing w:line="259" w:lineRule="auto"/>
              <w:ind w:left="567" w:right="-3" w:hanging="567"/>
              <w:jc w:val="left"/>
              <w:rPr>
                <w:rFonts w:ascii="Garamond" w:hAnsi="Garamond"/>
                <w:sz w:val="24"/>
                <w:szCs w:val="24"/>
              </w:rPr>
            </w:pPr>
            <w:r w:rsidRPr="00AE3F1B">
              <w:rPr>
                <w:rFonts w:ascii="Garamond" w:eastAsia="Calibri" w:hAnsi="Garamond" w:cs="Calibri"/>
                <w:sz w:val="24"/>
                <w:szCs w:val="24"/>
              </w:rPr>
              <w:t>Zawartość</w:t>
            </w:r>
          </w:p>
        </w:tc>
      </w:tr>
      <w:tr w:rsidR="00C648AA" w:rsidRPr="00AE3F1B" w14:paraId="675994C0" w14:textId="77777777" w:rsidTr="00CA65D1">
        <w:trPr>
          <w:trHeight w:val="328"/>
        </w:trPr>
        <w:tc>
          <w:tcPr>
            <w:tcW w:w="1278" w:type="dxa"/>
            <w:tcBorders>
              <w:top w:val="single" w:sz="2" w:space="0" w:color="000000"/>
              <w:left w:val="single" w:sz="2" w:space="0" w:color="000000"/>
              <w:bottom w:val="single" w:sz="2" w:space="0" w:color="000000"/>
              <w:right w:val="single" w:sz="2" w:space="0" w:color="000000"/>
            </w:tcBorders>
            <w:vAlign w:val="center"/>
          </w:tcPr>
          <w:p w14:paraId="6753C83C" w14:textId="77777777" w:rsidR="00C648AA" w:rsidRPr="00AE3F1B" w:rsidRDefault="00C648AA" w:rsidP="00175586">
            <w:pPr>
              <w:spacing w:line="259" w:lineRule="auto"/>
              <w:ind w:left="567" w:right="-3" w:hanging="567"/>
              <w:jc w:val="center"/>
              <w:rPr>
                <w:rFonts w:ascii="Garamond" w:hAnsi="Garamond"/>
                <w:sz w:val="24"/>
                <w:szCs w:val="24"/>
              </w:rPr>
            </w:pPr>
            <w:r w:rsidRPr="00AE3F1B">
              <w:rPr>
                <w:rFonts w:ascii="Garamond" w:eastAsia="Calibri" w:hAnsi="Garamond" w:cs="Calibri"/>
                <w:sz w:val="24"/>
                <w:szCs w:val="24"/>
              </w:rPr>
              <w:t>1.</w:t>
            </w:r>
          </w:p>
        </w:tc>
        <w:tc>
          <w:tcPr>
            <w:tcW w:w="8492" w:type="dxa"/>
            <w:tcBorders>
              <w:top w:val="single" w:sz="2" w:space="0" w:color="000000"/>
              <w:left w:val="single" w:sz="2" w:space="0" w:color="000000"/>
              <w:bottom w:val="single" w:sz="2" w:space="0" w:color="000000"/>
              <w:right w:val="single" w:sz="2" w:space="0" w:color="000000"/>
            </w:tcBorders>
          </w:tcPr>
          <w:p w14:paraId="143599CA" w14:textId="77777777" w:rsidR="00C648AA" w:rsidRPr="00AE3F1B" w:rsidRDefault="00C648AA" w:rsidP="00175586">
            <w:pPr>
              <w:spacing w:line="259" w:lineRule="auto"/>
              <w:ind w:left="567" w:right="-3" w:hanging="567"/>
              <w:jc w:val="left"/>
              <w:rPr>
                <w:rFonts w:ascii="Garamond" w:hAnsi="Garamond"/>
                <w:sz w:val="24"/>
                <w:szCs w:val="24"/>
              </w:rPr>
            </w:pPr>
            <w:r w:rsidRPr="00AE3F1B">
              <w:rPr>
                <w:rFonts w:ascii="Garamond" w:eastAsia="Calibri" w:hAnsi="Garamond" w:cs="Calibri"/>
                <w:sz w:val="24"/>
                <w:szCs w:val="24"/>
              </w:rPr>
              <w:t>Data powiadomienia</w:t>
            </w:r>
          </w:p>
        </w:tc>
      </w:tr>
      <w:tr w:rsidR="00C648AA" w:rsidRPr="00AE3F1B" w14:paraId="3D81B3A0" w14:textId="77777777" w:rsidTr="00CA65D1">
        <w:trPr>
          <w:trHeight w:val="326"/>
        </w:trPr>
        <w:tc>
          <w:tcPr>
            <w:tcW w:w="1278" w:type="dxa"/>
            <w:tcBorders>
              <w:top w:val="single" w:sz="2" w:space="0" w:color="000000"/>
              <w:left w:val="single" w:sz="2" w:space="0" w:color="000000"/>
              <w:bottom w:val="single" w:sz="2" w:space="0" w:color="000000"/>
              <w:right w:val="single" w:sz="2" w:space="0" w:color="000000"/>
            </w:tcBorders>
            <w:vAlign w:val="center"/>
          </w:tcPr>
          <w:p w14:paraId="72AC76B1" w14:textId="77777777" w:rsidR="00C648AA" w:rsidRPr="00AE3F1B" w:rsidRDefault="00C648AA" w:rsidP="00175586">
            <w:pPr>
              <w:spacing w:line="259" w:lineRule="auto"/>
              <w:ind w:left="567" w:right="-3" w:hanging="567"/>
              <w:jc w:val="center"/>
              <w:rPr>
                <w:rFonts w:ascii="Garamond" w:hAnsi="Garamond"/>
                <w:sz w:val="24"/>
                <w:szCs w:val="24"/>
              </w:rPr>
            </w:pPr>
            <w:r w:rsidRPr="00AE3F1B">
              <w:rPr>
                <w:rFonts w:ascii="Garamond" w:eastAsia="Calibri" w:hAnsi="Garamond" w:cs="Calibri"/>
                <w:sz w:val="24"/>
                <w:szCs w:val="24"/>
              </w:rPr>
              <w:t>2.</w:t>
            </w:r>
          </w:p>
        </w:tc>
        <w:tc>
          <w:tcPr>
            <w:tcW w:w="8492" w:type="dxa"/>
            <w:tcBorders>
              <w:top w:val="single" w:sz="2" w:space="0" w:color="000000"/>
              <w:left w:val="single" w:sz="2" w:space="0" w:color="000000"/>
              <w:bottom w:val="single" w:sz="2" w:space="0" w:color="000000"/>
              <w:right w:val="single" w:sz="2" w:space="0" w:color="000000"/>
            </w:tcBorders>
          </w:tcPr>
          <w:p w14:paraId="5D52688C" w14:textId="77777777" w:rsidR="00C648AA" w:rsidRPr="00AE3F1B" w:rsidRDefault="00C648AA" w:rsidP="00175586">
            <w:pPr>
              <w:spacing w:line="259" w:lineRule="auto"/>
              <w:ind w:left="567" w:right="-3" w:hanging="567"/>
              <w:jc w:val="left"/>
              <w:rPr>
                <w:rFonts w:ascii="Garamond" w:hAnsi="Garamond"/>
                <w:sz w:val="24"/>
                <w:szCs w:val="24"/>
              </w:rPr>
            </w:pPr>
            <w:r w:rsidRPr="00AE3F1B">
              <w:rPr>
                <w:rFonts w:ascii="Garamond" w:eastAsia="Calibri" w:hAnsi="Garamond" w:cs="Calibri"/>
                <w:sz w:val="24"/>
                <w:szCs w:val="24"/>
              </w:rPr>
              <w:t>Miejscowość</w:t>
            </w:r>
          </w:p>
        </w:tc>
      </w:tr>
      <w:tr w:rsidR="00C648AA" w:rsidRPr="00AE3F1B" w14:paraId="48E20124" w14:textId="77777777" w:rsidTr="00CA65D1">
        <w:trPr>
          <w:trHeight w:val="328"/>
        </w:trPr>
        <w:tc>
          <w:tcPr>
            <w:tcW w:w="1278" w:type="dxa"/>
            <w:tcBorders>
              <w:top w:val="single" w:sz="2" w:space="0" w:color="000000"/>
              <w:left w:val="single" w:sz="2" w:space="0" w:color="000000"/>
              <w:bottom w:val="single" w:sz="2" w:space="0" w:color="000000"/>
              <w:right w:val="single" w:sz="2" w:space="0" w:color="000000"/>
            </w:tcBorders>
            <w:vAlign w:val="center"/>
          </w:tcPr>
          <w:p w14:paraId="33D4E920" w14:textId="77777777" w:rsidR="00C648AA" w:rsidRPr="00AE3F1B" w:rsidRDefault="00C648AA" w:rsidP="00175586">
            <w:pPr>
              <w:spacing w:line="259" w:lineRule="auto"/>
              <w:ind w:left="567" w:right="-3" w:hanging="567"/>
              <w:jc w:val="center"/>
              <w:rPr>
                <w:rFonts w:ascii="Garamond" w:hAnsi="Garamond"/>
                <w:sz w:val="24"/>
                <w:szCs w:val="24"/>
              </w:rPr>
            </w:pPr>
            <w:r w:rsidRPr="00AE3F1B">
              <w:rPr>
                <w:rFonts w:ascii="Garamond" w:eastAsia="Calibri" w:hAnsi="Garamond" w:cs="Calibri"/>
                <w:sz w:val="24"/>
                <w:szCs w:val="24"/>
              </w:rPr>
              <w:t>3.</w:t>
            </w:r>
          </w:p>
        </w:tc>
        <w:tc>
          <w:tcPr>
            <w:tcW w:w="8492" w:type="dxa"/>
            <w:tcBorders>
              <w:top w:val="single" w:sz="2" w:space="0" w:color="000000"/>
              <w:left w:val="single" w:sz="2" w:space="0" w:color="000000"/>
              <w:bottom w:val="single" w:sz="2" w:space="0" w:color="000000"/>
              <w:right w:val="single" w:sz="2" w:space="0" w:color="000000"/>
            </w:tcBorders>
          </w:tcPr>
          <w:p w14:paraId="0A004EF7" w14:textId="77777777" w:rsidR="00C648AA" w:rsidRPr="00AE3F1B" w:rsidRDefault="00C648AA" w:rsidP="00175586">
            <w:pPr>
              <w:spacing w:line="259" w:lineRule="auto"/>
              <w:ind w:left="567" w:right="-3" w:hanging="567"/>
              <w:jc w:val="left"/>
              <w:rPr>
                <w:rFonts w:ascii="Garamond" w:hAnsi="Garamond"/>
                <w:sz w:val="24"/>
                <w:szCs w:val="24"/>
              </w:rPr>
            </w:pPr>
            <w:r w:rsidRPr="00AE3F1B">
              <w:rPr>
                <w:rFonts w:ascii="Garamond" w:eastAsia="Calibri" w:hAnsi="Garamond" w:cs="Calibri"/>
                <w:sz w:val="24"/>
                <w:szCs w:val="24"/>
              </w:rPr>
              <w:t>Dane sprzedawcy:</w:t>
            </w:r>
          </w:p>
        </w:tc>
      </w:tr>
      <w:tr w:rsidR="00C648AA" w:rsidRPr="00AE3F1B" w14:paraId="289974FE" w14:textId="77777777" w:rsidTr="00CA65D1">
        <w:trPr>
          <w:trHeight w:val="326"/>
        </w:trPr>
        <w:tc>
          <w:tcPr>
            <w:tcW w:w="1278" w:type="dxa"/>
            <w:tcBorders>
              <w:top w:val="single" w:sz="2" w:space="0" w:color="000000"/>
              <w:left w:val="single" w:sz="2" w:space="0" w:color="000000"/>
              <w:bottom w:val="single" w:sz="2" w:space="0" w:color="000000"/>
              <w:right w:val="single" w:sz="2" w:space="0" w:color="000000"/>
            </w:tcBorders>
            <w:vAlign w:val="center"/>
          </w:tcPr>
          <w:p w14:paraId="2152B0C0" w14:textId="77777777" w:rsidR="00C648AA" w:rsidRPr="00AE3F1B" w:rsidRDefault="00C648AA" w:rsidP="00175586">
            <w:pPr>
              <w:spacing w:line="259" w:lineRule="auto"/>
              <w:ind w:left="567" w:right="-3" w:hanging="567"/>
              <w:jc w:val="center"/>
              <w:rPr>
                <w:rFonts w:ascii="Garamond" w:hAnsi="Garamond"/>
                <w:sz w:val="24"/>
                <w:szCs w:val="24"/>
              </w:rPr>
            </w:pPr>
            <w:r w:rsidRPr="00AE3F1B">
              <w:rPr>
                <w:rFonts w:ascii="Garamond" w:eastAsia="Calibri" w:hAnsi="Garamond" w:cs="Calibri"/>
                <w:sz w:val="24"/>
                <w:szCs w:val="24"/>
              </w:rPr>
              <w:t>3.1.</w:t>
            </w:r>
          </w:p>
        </w:tc>
        <w:tc>
          <w:tcPr>
            <w:tcW w:w="8492" w:type="dxa"/>
            <w:tcBorders>
              <w:top w:val="single" w:sz="2" w:space="0" w:color="000000"/>
              <w:left w:val="single" w:sz="2" w:space="0" w:color="000000"/>
              <w:bottom w:val="single" w:sz="2" w:space="0" w:color="000000"/>
              <w:right w:val="single" w:sz="2" w:space="0" w:color="000000"/>
            </w:tcBorders>
          </w:tcPr>
          <w:p w14:paraId="7C537416" w14:textId="77777777" w:rsidR="00C648AA" w:rsidRPr="00AE3F1B" w:rsidRDefault="00C648AA" w:rsidP="00175586">
            <w:pPr>
              <w:spacing w:line="259" w:lineRule="auto"/>
              <w:ind w:left="567" w:right="-3" w:hanging="567"/>
              <w:jc w:val="left"/>
              <w:rPr>
                <w:rFonts w:ascii="Garamond" w:hAnsi="Garamond"/>
                <w:sz w:val="24"/>
                <w:szCs w:val="24"/>
              </w:rPr>
            </w:pPr>
            <w:r w:rsidRPr="00AE3F1B">
              <w:rPr>
                <w:rFonts w:ascii="Garamond" w:eastAsia="Calibri" w:hAnsi="Garamond" w:cs="Calibri"/>
                <w:sz w:val="24"/>
                <w:szCs w:val="24"/>
              </w:rPr>
              <w:t>nazwa,</w:t>
            </w:r>
          </w:p>
        </w:tc>
      </w:tr>
      <w:tr w:rsidR="00C648AA" w:rsidRPr="00AE3F1B" w14:paraId="1363F373" w14:textId="77777777" w:rsidTr="00CA65D1">
        <w:trPr>
          <w:trHeight w:val="331"/>
        </w:trPr>
        <w:tc>
          <w:tcPr>
            <w:tcW w:w="1278" w:type="dxa"/>
            <w:tcBorders>
              <w:top w:val="single" w:sz="2" w:space="0" w:color="000000"/>
              <w:left w:val="single" w:sz="2" w:space="0" w:color="000000"/>
              <w:bottom w:val="single" w:sz="2" w:space="0" w:color="000000"/>
              <w:right w:val="single" w:sz="2" w:space="0" w:color="000000"/>
            </w:tcBorders>
            <w:vAlign w:val="center"/>
          </w:tcPr>
          <w:p w14:paraId="2229F7A3" w14:textId="77777777" w:rsidR="00C648AA" w:rsidRPr="00AE3F1B" w:rsidRDefault="00C648AA" w:rsidP="00175586">
            <w:pPr>
              <w:spacing w:line="259" w:lineRule="auto"/>
              <w:ind w:left="567" w:right="-3" w:hanging="567"/>
              <w:jc w:val="center"/>
              <w:rPr>
                <w:rFonts w:ascii="Garamond" w:hAnsi="Garamond"/>
                <w:sz w:val="24"/>
                <w:szCs w:val="24"/>
              </w:rPr>
            </w:pPr>
            <w:r w:rsidRPr="00AE3F1B">
              <w:rPr>
                <w:rFonts w:ascii="Garamond" w:eastAsia="Calibri" w:hAnsi="Garamond" w:cs="Calibri"/>
                <w:sz w:val="24"/>
                <w:szCs w:val="24"/>
              </w:rPr>
              <w:t>3.2.</w:t>
            </w:r>
          </w:p>
        </w:tc>
        <w:tc>
          <w:tcPr>
            <w:tcW w:w="8492" w:type="dxa"/>
            <w:tcBorders>
              <w:top w:val="single" w:sz="2" w:space="0" w:color="000000"/>
              <w:left w:val="single" w:sz="2" w:space="0" w:color="000000"/>
              <w:bottom w:val="single" w:sz="2" w:space="0" w:color="000000"/>
              <w:right w:val="single" w:sz="2" w:space="0" w:color="000000"/>
            </w:tcBorders>
          </w:tcPr>
          <w:p w14:paraId="3F0DE701" w14:textId="77777777" w:rsidR="00C648AA" w:rsidRPr="00AE3F1B" w:rsidRDefault="00C648AA" w:rsidP="00175586">
            <w:pPr>
              <w:spacing w:line="259" w:lineRule="auto"/>
              <w:ind w:left="567" w:right="-3" w:hanging="567"/>
              <w:jc w:val="left"/>
              <w:rPr>
                <w:rFonts w:ascii="Garamond" w:hAnsi="Garamond"/>
                <w:sz w:val="24"/>
                <w:szCs w:val="24"/>
              </w:rPr>
            </w:pPr>
            <w:r w:rsidRPr="00AE3F1B">
              <w:rPr>
                <w:rFonts w:ascii="Garamond" w:eastAsia="Calibri" w:hAnsi="Garamond" w:cs="Calibri"/>
                <w:sz w:val="24"/>
                <w:szCs w:val="24"/>
              </w:rPr>
              <w:t>kod pocztowy,</w:t>
            </w:r>
          </w:p>
        </w:tc>
      </w:tr>
      <w:tr w:rsidR="00C648AA" w:rsidRPr="00AE3F1B" w14:paraId="7D87E9FE" w14:textId="77777777" w:rsidTr="00CA65D1">
        <w:trPr>
          <w:trHeight w:val="324"/>
        </w:trPr>
        <w:tc>
          <w:tcPr>
            <w:tcW w:w="1278" w:type="dxa"/>
            <w:tcBorders>
              <w:top w:val="single" w:sz="2" w:space="0" w:color="000000"/>
              <w:left w:val="single" w:sz="2" w:space="0" w:color="000000"/>
              <w:bottom w:val="single" w:sz="2" w:space="0" w:color="000000"/>
              <w:right w:val="single" w:sz="2" w:space="0" w:color="000000"/>
            </w:tcBorders>
            <w:vAlign w:val="center"/>
          </w:tcPr>
          <w:p w14:paraId="7C7F2D55" w14:textId="77777777" w:rsidR="00C648AA" w:rsidRPr="00AE3F1B" w:rsidRDefault="00C648AA" w:rsidP="00175586">
            <w:pPr>
              <w:spacing w:line="259" w:lineRule="auto"/>
              <w:ind w:left="567" w:right="-3" w:hanging="567"/>
              <w:jc w:val="center"/>
              <w:rPr>
                <w:rFonts w:ascii="Garamond" w:hAnsi="Garamond"/>
                <w:sz w:val="24"/>
                <w:szCs w:val="24"/>
              </w:rPr>
            </w:pPr>
            <w:r w:rsidRPr="00AE3F1B">
              <w:rPr>
                <w:rFonts w:ascii="Garamond" w:eastAsia="Calibri" w:hAnsi="Garamond" w:cs="Calibri"/>
                <w:sz w:val="24"/>
                <w:szCs w:val="24"/>
              </w:rPr>
              <w:t>3.3.</w:t>
            </w:r>
          </w:p>
        </w:tc>
        <w:tc>
          <w:tcPr>
            <w:tcW w:w="8492" w:type="dxa"/>
            <w:tcBorders>
              <w:top w:val="single" w:sz="2" w:space="0" w:color="000000"/>
              <w:left w:val="single" w:sz="2" w:space="0" w:color="000000"/>
              <w:bottom w:val="single" w:sz="2" w:space="0" w:color="000000"/>
              <w:right w:val="single" w:sz="2" w:space="0" w:color="000000"/>
            </w:tcBorders>
          </w:tcPr>
          <w:p w14:paraId="35FB1CAD" w14:textId="77777777" w:rsidR="00C648AA" w:rsidRPr="00AE3F1B" w:rsidRDefault="00C648AA" w:rsidP="00175586">
            <w:pPr>
              <w:spacing w:line="259" w:lineRule="auto"/>
              <w:ind w:left="567" w:right="-3" w:hanging="567"/>
              <w:jc w:val="left"/>
              <w:rPr>
                <w:rFonts w:ascii="Garamond" w:hAnsi="Garamond"/>
                <w:sz w:val="24"/>
                <w:szCs w:val="24"/>
              </w:rPr>
            </w:pPr>
            <w:r w:rsidRPr="00AE3F1B">
              <w:rPr>
                <w:rFonts w:ascii="Garamond" w:eastAsia="Calibri" w:hAnsi="Garamond" w:cs="Calibri"/>
                <w:sz w:val="24"/>
                <w:szCs w:val="24"/>
              </w:rPr>
              <w:t>miejscowość,</w:t>
            </w:r>
          </w:p>
        </w:tc>
      </w:tr>
      <w:tr w:rsidR="00C648AA" w:rsidRPr="00AE3F1B" w14:paraId="47EFE142" w14:textId="77777777" w:rsidTr="00CA65D1">
        <w:trPr>
          <w:trHeight w:val="328"/>
        </w:trPr>
        <w:tc>
          <w:tcPr>
            <w:tcW w:w="1278" w:type="dxa"/>
            <w:tcBorders>
              <w:top w:val="single" w:sz="2" w:space="0" w:color="000000"/>
              <w:left w:val="single" w:sz="2" w:space="0" w:color="000000"/>
              <w:bottom w:val="single" w:sz="2" w:space="0" w:color="000000"/>
              <w:right w:val="single" w:sz="2" w:space="0" w:color="000000"/>
            </w:tcBorders>
            <w:vAlign w:val="center"/>
          </w:tcPr>
          <w:p w14:paraId="6228AA9C" w14:textId="77777777" w:rsidR="00C648AA" w:rsidRPr="00AE3F1B" w:rsidRDefault="00C648AA" w:rsidP="00175586">
            <w:pPr>
              <w:spacing w:line="259" w:lineRule="auto"/>
              <w:ind w:left="567" w:right="-3" w:hanging="567"/>
              <w:jc w:val="center"/>
              <w:rPr>
                <w:rFonts w:ascii="Garamond" w:hAnsi="Garamond"/>
                <w:sz w:val="24"/>
                <w:szCs w:val="24"/>
              </w:rPr>
            </w:pPr>
            <w:r w:rsidRPr="00AE3F1B">
              <w:rPr>
                <w:rFonts w:ascii="Garamond" w:eastAsia="Calibri" w:hAnsi="Garamond" w:cs="Calibri"/>
                <w:sz w:val="24"/>
                <w:szCs w:val="24"/>
              </w:rPr>
              <w:t>3.4.</w:t>
            </w:r>
          </w:p>
        </w:tc>
        <w:tc>
          <w:tcPr>
            <w:tcW w:w="8492" w:type="dxa"/>
            <w:tcBorders>
              <w:top w:val="single" w:sz="2" w:space="0" w:color="000000"/>
              <w:left w:val="single" w:sz="2" w:space="0" w:color="000000"/>
              <w:bottom w:val="single" w:sz="2" w:space="0" w:color="000000"/>
              <w:right w:val="single" w:sz="2" w:space="0" w:color="000000"/>
            </w:tcBorders>
          </w:tcPr>
          <w:p w14:paraId="4D260DE5" w14:textId="77777777" w:rsidR="00C648AA" w:rsidRPr="00AE3F1B" w:rsidRDefault="00C648AA" w:rsidP="00175586">
            <w:pPr>
              <w:spacing w:line="259" w:lineRule="auto"/>
              <w:ind w:left="567" w:right="-3" w:hanging="567"/>
              <w:jc w:val="left"/>
              <w:rPr>
                <w:rFonts w:ascii="Garamond" w:hAnsi="Garamond"/>
                <w:sz w:val="24"/>
                <w:szCs w:val="24"/>
              </w:rPr>
            </w:pPr>
            <w:r w:rsidRPr="00AE3F1B">
              <w:rPr>
                <w:rFonts w:ascii="Garamond" w:eastAsia="Calibri" w:hAnsi="Garamond" w:cs="Calibri"/>
                <w:sz w:val="24"/>
                <w:szCs w:val="24"/>
              </w:rPr>
              <w:t>ulica,</w:t>
            </w:r>
          </w:p>
        </w:tc>
      </w:tr>
      <w:tr w:rsidR="00C648AA" w:rsidRPr="00AE3F1B" w14:paraId="00935842" w14:textId="77777777" w:rsidTr="00CA65D1">
        <w:trPr>
          <w:trHeight w:val="326"/>
        </w:trPr>
        <w:tc>
          <w:tcPr>
            <w:tcW w:w="1278" w:type="dxa"/>
            <w:tcBorders>
              <w:top w:val="single" w:sz="2" w:space="0" w:color="000000"/>
              <w:left w:val="single" w:sz="2" w:space="0" w:color="000000"/>
              <w:bottom w:val="single" w:sz="2" w:space="0" w:color="000000"/>
              <w:right w:val="single" w:sz="2" w:space="0" w:color="000000"/>
            </w:tcBorders>
            <w:vAlign w:val="center"/>
          </w:tcPr>
          <w:p w14:paraId="58A17D5D" w14:textId="77777777" w:rsidR="00C648AA" w:rsidRPr="00AE3F1B" w:rsidRDefault="00C648AA" w:rsidP="00175586">
            <w:pPr>
              <w:spacing w:line="259" w:lineRule="auto"/>
              <w:ind w:left="567" w:right="-3" w:hanging="567"/>
              <w:jc w:val="center"/>
              <w:rPr>
                <w:rFonts w:ascii="Garamond" w:hAnsi="Garamond"/>
                <w:sz w:val="24"/>
                <w:szCs w:val="24"/>
              </w:rPr>
            </w:pPr>
            <w:r w:rsidRPr="00AE3F1B">
              <w:rPr>
                <w:rFonts w:ascii="Garamond" w:eastAsia="Calibri" w:hAnsi="Garamond" w:cs="Calibri"/>
                <w:sz w:val="24"/>
                <w:szCs w:val="24"/>
              </w:rPr>
              <w:t>3.5.</w:t>
            </w:r>
          </w:p>
        </w:tc>
        <w:tc>
          <w:tcPr>
            <w:tcW w:w="8492" w:type="dxa"/>
            <w:tcBorders>
              <w:top w:val="single" w:sz="2" w:space="0" w:color="000000"/>
              <w:left w:val="single" w:sz="2" w:space="0" w:color="000000"/>
              <w:bottom w:val="single" w:sz="2" w:space="0" w:color="000000"/>
              <w:right w:val="single" w:sz="2" w:space="0" w:color="000000"/>
            </w:tcBorders>
          </w:tcPr>
          <w:p w14:paraId="46533133" w14:textId="77777777" w:rsidR="00C648AA" w:rsidRPr="00AE3F1B" w:rsidRDefault="00C648AA" w:rsidP="00175586">
            <w:pPr>
              <w:spacing w:line="259" w:lineRule="auto"/>
              <w:ind w:left="567" w:right="-3" w:hanging="567"/>
              <w:jc w:val="left"/>
              <w:rPr>
                <w:rFonts w:ascii="Garamond" w:hAnsi="Garamond"/>
                <w:sz w:val="24"/>
                <w:szCs w:val="24"/>
              </w:rPr>
            </w:pPr>
            <w:r w:rsidRPr="00AE3F1B">
              <w:rPr>
                <w:rFonts w:ascii="Garamond" w:eastAsia="Calibri" w:hAnsi="Garamond" w:cs="Calibri"/>
                <w:sz w:val="24"/>
                <w:szCs w:val="24"/>
              </w:rPr>
              <w:t>nr budynku,</w:t>
            </w:r>
          </w:p>
        </w:tc>
      </w:tr>
      <w:tr w:rsidR="00C648AA" w:rsidRPr="00AE3F1B" w14:paraId="29AF12D1" w14:textId="77777777" w:rsidTr="00CA65D1">
        <w:trPr>
          <w:trHeight w:val="328"/>
        </w:trPr>
        <w:tc>
          <w:tcPr>
            <w:tcW w:w="1278" w:type="dxa"/>
            <w:tcBorders>
              <w:top w:val="single" w:sz="2" w:space="0" w:color="000000"/>
              <w:left w:val="single" w:sz="2" w:space="0" w:color="000000"/>
              <w:bottom w:val="single" w:sz="2" w:space="0" w:color="000000"/>
              <w:right w:val="single" w:sz="2" w:space="0" w:color="000000"/>
            </w:tcBorders>
            <w:vAlign w:val="center"/>
          </w:tcPr>
          <w:p w14:paraId="2FAD9094" w14:textId="77777777" w:rsidR="00C648AA" w:rsidRPr="00AE3F1B" w:rsidRDefault="00C648AA" w:rsidP="00175586">
            <w:pPr>
              <w:spacing w:line="259" w:lineRule="auto"/>
              <w:ind w:left="567" w:right="-3" w:hanging="567"/>
              <w:jc w:val="center"/>
              <w:rPr>
                <w:rFonts w:ascii="Garamond" w:hAnsi="Garamond"/>
                <w:sz w:val="24"/>
                <w:szCs w:val="24"/>
              </w:rPr>
            </w:pPr>
            <w:r w:rsidRPr="00AE3F1B">
              <w:rPr>
                <w:rFonts w:ascii="Garamond" w:eastAsia="Calibri" w:hAnsi="Garamond" w:cs="Calibri"/>
                <w:sz w:val="24"/>
                <w:szCs w:val="24"/>
              </w:rPr>
              <w:t>3.6.</w:t>
            </w:r>
          </w:p>
        </w:tc>
        <w:tc>
          <w:tcPr>
            <w:tcW w:w="8492" w:type="dxa"/>
            <w:tcBorders>
              <w:top w:val="single" w:sz="2" w:space="0" w:color="000000"/>
              <w:left w:val="single" w:sz="2" w:space="0" w:color="000000"/>
              <w:bottom w:val="single" w:sz="2" w:space="0" w:color="000000"/>
              <w:right w:val="single" w:sz="2" w:space="0" w:color="000000"/>
            </w:tcBorders>
          </w:tcPr>
          <w:p w14:paraId="309044E0" w14:textId="77777777" w:rsidR="00C648AA" w:rsidRPr="00AE3F1B" w:rsidRDefault="00C648AA" w:rsidP="00175586">
            <w:pPr>
              <w:spacing w:line="259" w:lineRule="auto"/>
              <w:ind w:left="567" w:right="-3" w:hanging="567"/>
              <w:jc w:val="left"/>
              <w:rPr>
                <w:rFonts w:ascii="Garamond" w:hAnsi="Garamond"/>
                <w:sz w:val="24"/>
                <w:szCs w:val="24"/>
              </w:rPr>
            </w:pPr>
            <w:r w:rsidRPr="00AE3F1B">
              <w:rPr>
                <w:rFonts w:ascii="Garamond" w:eastAsia="Calibri" w:hAnsi="Garamond" w:cs="Calibri"/>
                <w:sz w:val="24"/>
                <w:szCs w:val="24"/>
              </w:rPr>
              <w:t>nr lokalu,</w:t>
            </w:r>
          </w:p>
        </w:tc>
      </w:tr>
      <w:tr w:rsidR="00C648AA" w:rsidRPr="00AE3F1B" w14:paraId="637AF614" w14:textId="77777777" w:rsidTr="00CA65D1">
        <w:trPr>
          <w:trHeight w:val="326"/>
        </w:trPr>
        <w:tc>
          <w:tcPr>
            <w:tcW w:w="1278" w:type="dxa"/>
            <w:tcBorders>
              <w:top w:val="single" w:sz="2" w:space="0" w:color="000000"/>
              <w:left w:val="single" w:sz="2" w:space="0" w:color="000000"/>
              <w:bottom w:val="single" w:sz="2" w:space="0" w:color="000000"/>
              <w:right w:val="single" w:sz="2" w:space="0" w:color="000000"/>
            </w:tcBorders>
            <w:vAlign w:val="center"/>
          </w:tcPr>
          <w:p w14:paraId="3C71980E" w14:textId="77777777" w:rsidR="00C648AA" w:rsidRPr="00AE3F1B" w:rsidRDefault="00C648AA" w:rsidP="00175586">
            <w:pPr>
              <w:spacing w:line="259" w:lineRule="auto"/>
              <w:ind w:left="567" w:right="-3" w:hanging="567"/>
              <w:jc w:val="center"/>
              <w:rPr>
                <w:rFonts w:ascii="Garamond" w:hAnsi="Garamond"/>
                <w:sz w:val="24"/>
                <w:szCs w:val="24"/>
              </w:rPr>
            </w:pPr>
            <w:r w:rsidRPr="00AE3F1B">
              <w:rPr>
                <w:rFonts w:ascii="Garamond" w:eastAsia="Calibri" w:hAnsi="Garamond" w:cs="Calibri"/>
                <w:sz w:val="24"/>
                <w:szCs w:val="24"/>
              </w:rPr>
              <w:t>3.7.</w:t>
            </w:r>
          </w:p>
        </w:tc>
        <w:tc>
          <w:tcPr>
            <w:tcW w:w="8492" w:type="dxa"/>
            <w:tcBorders>
              <w:top w:val="single" w:sz="2" w:space="0" w:color="000000"/>
              <w:left w:val="single" w:sz="2" w:space="0" w:color="000000"/>
              <w:bottom w:val="single" w:sz="2" w:space="0" w:color="000000"/>
              <w:right w:val="single" w:sz="2" w:space="0" w:color="000000"/>
            </w:tcBorders>
          </w:tcPr>
          <w:p w14:paraId="6CE33526" w14:textId="77777777" w:rsidR="00C648AA" w:rsidRPr="00AE3F1B" w:rsidRDefault="00C648AA" w:rsidP="00175586">
            <w:pPr>
              <w:spacing w:line="259" w:lineRule="auto"/>
              <w:ind w:left="567" w:right="-3" w:hanging="567"/>
              <w:jc w:val="left"/>
              <w:rPr>
                <w:rFonts w:ascii="Garamond" w:hAnsi="Garamond"/>
                <w:sz w:val="24"/>
                <w:szCs w:val="24"/>
              </w:rPr>
            </w:pPr>
            <w:r w:rsidRPr="00AE3F1B">
              <w:rPr>
                <w:rFonts w:ascii="Garamond" w:eastAsia="Calibri" w:hAnsi="Garamond" w:cs="Calibri"/>
                <w:sz w:val="24"/>
                <w:szCs w:val="24"/>
              </w:rPr>
              <w:t xml:space="preserve">kod nadany przez </w:t>
            </w:r>
            <w:r w:rsidR="00CA65D1" w:rsidRPr="00AE3F1B">
              <w:rPr>
                <w:rFonts w:ascii="Garamond" w:eastAsia="Calibri" w:hAnsi="Garamond" w:cs="Calibri"/>
                <w:sz w:val="24"/>
                <w:szCs w:val="24"/>
              </w:rPr>
              <w:t>ID</w:t>
            </w:r>
            <w:r w:rsidRPr="00AE3F1B">
              <w:rPr>
                <w:rFonts w:ascii="Garamond" w:eastAsia="Calibri" w:hAnsi="Garamond" w:cs="Calibri"/>
                <w:sz w:val="24"/>
                <w:szCs w:val="24"/>
              </w:rPr>
              <w:t xml:space="preserve"> Sp. z o.o.,</w:t>
            </w:r>
          </w:p>
        </w:tc>
      </w:tr>
      <w:tr w:rsidR="00C648AA" w:rsidRPr="00AE3F1B" w14:paraId="3F4C631A" w14:textId="77777777" w:rsidTr="00CA65D1">
        <w:trPr>
          <w:trHeight w:val="324"/>
        </w:trPr>
        <w:tc>
          <w:tcPr>
            <w:tcW w:w="1278" w:type="dxa"/>
            <w:tcBorders>
              <w:top w:val="single" w:sz="2" w:space="0" w:color="000000"/>
              <w:left w:val="single" w:sz="2" w:space="0" w:color="000000"/>
              <w:bottom w:val="single" w:sz="2" w:space="0" w:color="000000"/>
              <w:right w:val="single" w:sz="2" w:space="0" w:color="000000"/>
            </w:tcBorders>
            <w:vAlign w:val="center"/>
          </w:tcPr>
          <w:p w14:paraId="7F3F4018" w14:textId="77777777" w:rsidR="00C648AA" w:rsidRPr="00AE3F1B" w:rsidRDefault="00C648AA" w:rsidP="00175586">
            <w:pPr>
              <w:spacing w:line="259" w:lineRule="auto"/>
              <w:ind w:left="567" w:right="-3" w:hanging="567"/>
              <w:jc w:val="center"/>
              <w:rPr>
                <w:rFonts w:ascii="Garamond" w:hAnsi="Garamond"/>
                <w:sz w:val="24"/>
                <w:szCs w:val="24"/>
              </w:rPr>
            </w:pPr>
            <w:r w:rsidRPr="00AE3F1B">
              <w:rPr>
                <w:rFonts w:ascii="Garamond" w:eastAsia="Calibri" w:hAnsi="Garamond" w:cs="Calibri"/>
                <w:sz w:val="24"/>
                <w:szCs w:val="24"/>
              </w:rPr>
              <w:t>4.</w:t>
            </w:r>
          </w:p>
        </w:tc>
        <w:tc>
          <w:tcPr>
            <w:tcW w:w="8492" w:type="dxa"/>
            <w:tcBorders>
              <w:top w:val="single" w:sz="2" w:space="0" w:color="000000"/>
              <w:left w:val="single" w:sz="2" w:space="0" w:color="000000"/>
              <w:bottom w:val="single" w:sz="2" w:space="0" w:color="000000"/>
              <w:right w:val="single" w:sz="2" w:space="0" w:color="000000"/>
            </w:tcBorders>
          </w:tcPr>
          <w:p w14:paraId="388AC8F6" w14:textId="77777777" w:rsidR="00C648AA" w:rsidRPr="00AE3F1B" w:rsidRDefault="00C648AA" w:rsidP="00175586">
            <w:pPr>
              <w:spacing w:line="259" w:lineRule="auto"/>
              <w:ind w:left="567" w:right="-3" w:hanging="567"/>
              <w:jc w:val="left"/>
              <w:rPr>
                <w:rFonts w:ascii="Garamond" w:hAnsi="Garamond"/>
                <w:sz w:val="24"/>
                <w:szCs w:val="24"/>
              </w:rPr>
            </w:pPr>
            <w:r w:rsidRPr="00AE3F1B">
              <w:rPr>
                <w:rFonts w:ascii="Garamond" w:eastAsia="Calibri" w:hAnsi="Garamond" w:cs="Calibri"/>
                <w:sz w:val="24"/>
                <w:szCs w:val="24"/>
              </w:rPr>
              <w:t>Dane URD:</w:t>
            </w:r>
          </w:p>
        </w:tc>
      </w:tr>
      <w:tr w:rsidR="00C648AA" w:rsidRPr="00AE3F1B" w14:paraId="5D3BCA41" w14:textId="77777777" w:rsidTr="00CA65D1">
        <w:trPr>
          <w:trHeight w:val="331"/>
        </w:trPr>
        <w:tc>
          <w:tcPr>
            <w:tcW w:w="1278" w:type="dxa"/>
            <w:tcBorders>
              <w:top w:val="single" w:sz="2" w:space="0" w:color="000000"/>
              <w:left w:val="single" w:sz="2" w:space="0" w:color="000000"/>
              <w:bottom w:val="single" w:sz="2" w:space="0" w:color="000000"/>
              <w:right w:val="single" w:sz="2" w:space="0" w:color="000000"/>
            </w:tcBorders>
            <w:vAlign w:val="center"/>
          </w:tcPr>
          <w:p w14:paraId="7082BF33" w14:textId="77777777" w:rsidR="00C648AA" w:rsidRPr="00AE3F1B" w:rsidRDefault="00C648AA" w:rsidP="00175586">
            <w:pPr>
              <w:spacing w:line="259" w:lineRule="auto"/>
              <w:ind w:left="567" w:right="-3" w:hanging="567"/>
              <w:jc w:val="center"/>
              <w:rPr>
                <w:rFonts w:ascii="Garamond" w:hAnsi="Garamond"/>
                <w:sz w:val="24"/>
                <w:szCs w:val="24"/>
              </w:rPr>
            </w:pPr>
            <w:r w:rsidRPr="00AE3F1B">
              <w:rPr>
                <w:rFonts w:ascii="Garamond" w:eastAsia="Calibri" w:hAnsi="Garamond" w:cs="Calibri"/>
                <w:sz w:val="24"/>
                <w:szCs w:val="24"/>
              </w:rPr>
              <w:t>4.1.</w:t>
            </w:r>
          </w:p>
        </w:tc>
        <w:tc>
          <w:tcPr>
            <w:tcW w:w="8492" w:type="dxa"/>
            <w:tcBorders>
              <w:top w:val="single" w:sz="2" w:space="0" w:color="000000"/>
              <w:left w:val="single" w:sz="2" w:space="0" w:color="000000"/>
              <w:bottom w:val="single" w:sz="2" w:space="0" w:color="000000"/>
              <w:right w:val="single" w:sz="2" w:space="0" w:color="000000"/>
            </w:tcBorders>
          </w:tcPr>
          <w:p w14:paraId="62EDF0CD" w14:textId="77777777" w:rsidR="00C648AA" w:rsidRPr="00AE3F1B" w:rsidRDefault="00C648AA" w:rsidP="00175586">
            <w:pPr>
              <w:spacing w:line="259" w:lineRule="auto"/>
              <w:ind w:left="567" w:right="-3" w:hanging="567"/>
              <w:jc w:val="left"/>
              <w:rPr>
                <w:rFonts w:ascii="Garamond" w:hAnsi="Garamond"/>
                <w:sz w:val="24"/>
                <w:szCs w:val="24"/>
              </w:rPr>
            </w:pPr>
            <w:r w:rsidRPr="00AE3F1B">
              <w:rPr>
                <w:rFonts w:ascii="Garamond" w:eastAsia="Calibri" w:hAnsi="Garamond" w:cs="Calibri"/>
                <w:sz w:val="24"/>
                <w:szCs w:val="24"/>
              </w:rPr>
              <w:t>nazwa,</w:t>
            </w:r>
          </w:p>
        </w:tc>
      </w:tr>
      <w:tr w:rsidR="00C648AA" w:rsidRPr="00AE3F1B" w14:paraId="1DAFBCA9" w14:textId="77777777" w:rsidTr="00CA65D1">
        <w:trPr>
          <w:trHeight w:val="324"/>
        </w:trPr>
        <w:tc>
          <w:tcPr>
            <w:tcW w:w="1278" w:type="dxa"/>
            <w:tcBorders>
              <w:top w:val="single" w:sz="2" w:space="0" w:color="000000"/>
              <w:left w:val="single" w:sz="2" w:space="0" w:color="000000"/>
              <w:bottom w:val="single" w:sz="2" w:space="0" w:color="000000"/>
              <w:right w:val="single" w:sz="2" w:space="0" w:color="000000"/>
            </w:tcBorders>
            <w:vAlign w:val="center"/>
          </w:tcPr>
          <w:p w14:paraId="59CAFB06" w14:textId="77777777" w:rsidR="00C648AA" w:rsidRPr="00AE3F1B" w:rsidRDefault="00C648AA" w:rsidP="00175586">
            <w:pPr>
              <w:spacing w:line="259" w:lineRule="auto"/>
              <w:ind w:left="567" w:right="-3" w:hanging="567"/>
              <w:jc w:val="center"/>
              <w:rPr>
                <w:rFonts w:ascii="Garamond" w:hAnsi="Garamond"/>
                <w:sz w:val="24"/>
                <w:szCs w:val="24"/>
              </w:rPr>
            </w:pPr>
            <w:r w:rsidRPr="00AE3F1B">
              <w:rPr>
                <w:rFonts w:ascii="Garamond" w:eastAsia="Calibri" w:hAnsi="Garamond" w:cs="Calibri"/>
                <w:sz w:val="24"/>
                <w:szCs w:val="24"/>
              </w:rPr>
              <w:t>4.2.</w:t>
            </w:r>
          </w:p>
        </w:tc>
        <w:tc>
          <w:tcPr>
            <w:tcW w:w="8492" w:type="dxa"/>
            <w:tcBorders>
              <w:top w:val="single" w:sz="2" w:space="0" w:color="000000"/>
              <w:left w:val="single" w:sz="2" w:space="0" w:color="000000"/>
              <w:bottom w:val="single" w:sz="2" w:space="0" w:color="000000"/>
              <w:right w:val="single" w:sz="2" w:space="0" w:color="000000"/>
            </w:tcBorders>
          </w:tcPr>
          <w:p w14:paraId="5B0D0618" w14:textId="77777777" w:rsidR="00C648AA" w:rsidRPr="00AE3F1B" w:rsidRDefault="00C648AA" w:rsidP="00175586">
            <w:pPr>
              <w:spacing w:line="259" w:lineRule="auto"/>
              <w:ind w:left="567" w:right="-3" w:hanging="567"/>
              <w:jc w:val="left"/>
              <w:rPr>
                <w:rFonts w:ascii="Garamond" w:hAnsi="Garamond"/>
                <w:sz w:val="24"/>
                <w:szCs w:val="24"/>
              </w:rPr>
            </w:pPr>
            <w:r w:rsidRPr="00AE3F1B">
              <w:rPr>
                <w:rFonts w:ascii="Garamond" w:eastAsia="Calibri" w:hAnsi="Garamond" w:cs="Calibri"/>
                <w:sz w:val="24"/>
                <w:szCs w:val="24"/>
              </w:rPr>
              <w:t>kod pocztowy,</w:t>
            </w:r>
          </w:p>
        </w:tc>
      </w:tr>
      <w:tr w:rsidR="00C648AA" w:rsidRPr="00AE3F1B" w14:paraId="7EB1926D" w14:textId="77777777" w:rsidTr="00CA65D1">
        <w:trPr>
          <w:trHeight w:val="331"/>
        </w:trPr>
        <w:tc>
          <w:tcPr>
            <w:tcW w:w="1278" w:type="dxa"/>
            <w:tcBorders>
              <w:top w:val="single" w:sz="2" w:space="0" w:color="000000"/>
              <w:left w:val="single" w:sz="2" w:space="0" w:color="000000"/>
              <w:bottom w:val="single" w:sz="2" w:space="0" w:color="000000"/>
              <w:right w:val="single" w:sz="2" w:space="0" w:color="000000"/>
            </w:tcBorders>
            <w:vAlign w:val="center"/>
          </w:tcPr>
          <w:p w14:paraId="79E54F1F" w14:textId="77777777" w:rsidR="00C648AA" w:rsidRPr="00AE3F1B" w:rsidRDefault="00C648AA" w:rsidP="00175586">
            <w:pPr>
              <w:spacing w:line="259" w:lineRule="auto"/>
              <w:ind w:left="567" w:right="-3" w:hanging="567"/>
              <w:jc w:val="center"/>
              <w:rPr>
                <w:rFonts w:ascii="Garamond" w:hAnsi="Garamond"/>
                <w:sz w:val="24"/>
                <w:szCs w:val="24"/>
              </w:rPr>
            </w:pPr>
            <w:r w:rsidRPr="00AE3F1B">
              <w:rPr>
                <w:rFonts w:ascii="Garamond" w:eastAsia="Calibri" w:hAnsi="Garamond" w:cs="Calibri"/>
                <w:sz w:val="24"/>
                <w:szCs w:val="24"/>
              </w:rPr>
              <w:t>4.3.</w:t>
            </w:r>
          </w:p>
        </w:tc>
        <w:tc>
          <w:tcPr>
            <w:tcW w:w="8492" w:type="dxa"/>
            <w:tcBorders>
              <w:top w:val="single" w:sz="2" w:space="0" w:color="000000"/>
              <w:left w:val="single" w:sz="2" w:space="0" w:color="000000"/>
              <w:bottom w:val="single" w:sz="2" w:space="0" w:color="000000"/>
              <w:right w:val="single" w:sz="2" w:space="0" w:color="000000"/>
            </w:tcBorders>
          </w:tcPr>
          <w:p w14:paraId="6D194D26" w14:textId="77777777" w:rsidR="00C648AA" w:rsidRPr="00AE3F1B" w:rsidRDefault="00C648AA" w:rsidP="00175586">
            <w:pPr>
              <w:spacing w:line="259" w:lineRule="auto"/>
              <w:ind w:left="567" w:right="-3" w:hanging="567"/>
              <w:jc w:val="left"/>
              <w:rPr>
                <w:rFonts w:ascii="Garamond" w:hAnsi="Garamond"/>
                <w:sz w:val="24"/>
                <w:szCs w:val="24"/>
              </w:rPr>
            </w:pPr>
            <w:r w:rsidRPr="00AE3F1B">
              <w:rPr>
                <w:rFonts w:ascii="Garamond" w:eastAsia="Calibri" w:hAnsi="Garamond" w:cs="Calibri"/>
                <w:sz w:val="24"/>
                <w:szCs w:val="24"/>
              </w:rPr>
              <w:t>miejscowość,</w:t>
            </w:r>
          </w:p>
        </w:tc>
      </w:tr>
      <w:tr w:rsidR="00C648AA" w:rsidRPr="00AE3F1B" w14:paraId="5C67A9F7" w14:textId="77777777" w:rsidTr="00CA65D1">
        <w:trPr>
          <w:trHeight w:val="324"/>
        </w:trPr>
        <w:tc>
          <w:tcPr>
            <w:tcW w:w="1278" w:type="dxa"/>
            <w:tcBorders>
              <w:top w:val="single" w:sz="2" w:space="0" w:color="000000"/>
              <w:left w:val="single" w:sz="2" w:space="0" w:color="000000"/>
              <w:bottom w:val="single" w:sz="2" w:space="0" w:color="000000"/>
              <w:right w:val="single" w:sz="2" w:space="0" w:color="000000"/>
            </w:tcBorders>
            <w:vAlign w:val="center"/>
          </w:tcPr>
          <w:p w14:paraId="7D4B67E4" w14:textId="77777777" w:rsidR="00C648AA" w:rsidRPr="00AE3F1B" w:rsidRDefault="00C648AA" w:rsidP="00175586">
            <w:pPr>
              <w:spacing w:line="259" w:lineRule="auto"/>
              <w:ind w:left="567" w:right="-3" w:hanging="567"/>
              <w:jc w:val="center"/>
              <w:rPr>
                <w:rFonts w:ascii="Garamond" w:hAnsi="Garamond"/>
                <w:sz w:val="24"/>
                <w:szCs w:val="24"/>
              </w:rPr>
            </w:pPr>
            <w:r w:rsidRPr="00AE3F1B">
              <w:rPr>
                <w:rFonts w:ascii="Garamond" w:eastAsia="Calibri" w:hAnsi="Garamond" w:cs="Calibri"/>
                <w:sz w:val="24"/>
                <w:szCs w:val="24"/>
              </w:rPr>
              <w:t>4.4.</w:t>
            </w:r>
          </w:p>
        </w:tc>
        <w:tc>
          <w:tcPr>
            <w:tcW w:w="8492" w:type="dxa"/>
            <w:tcBorders>
              <w:top w:val="single" w:sz="2" w:space="0" w:color="000000"/>
              <w:left w:val="single" w:sz="2" w:space="0" w:color="000000"/>
              <w:bottom w:val="single" w:sz="2" w:space="0" w:color="000000"/>
              <w:right w:val="single" w:sz="2" w:space="0" w:color="000000"/>
            </w:tcBorders>
          </w:tcPr>
          <w:p w14:paraId="50DD7F40" w14:textId="77777777" w:rsidR="00C648AA" w:rsidRPr="00AE3F1B" w:rsidRDefault="00C648AA" w:rsidP="00175586">
            <w:pPr>
              <w:spacing w:line="259" w:lineRule="auto"/>
              <w:ind w:left="567" w:right="-3" w:hanging="567"/>
              <w:jc w:val="left"/>
              <w:rPr>
                <w:rFonts w:ascii="Garamond" w:hAnsi="Garamond"/>
                <w:sz w:val="24"/>
                <w:szCs w:val="24"/>
              </w:rPr>
            </w:pPr>
            <w:r w:rsidRPr="00AE3F1B">
              <w:rPr>
                <w:rFonts w:ascii="Garamond" w:eastAsia="Calibri" w:hAnsi="Garamond" w:cs="Calibri"/>
                <w:sz w:val="24"/>
                <w:szCs w:val="24"/>
              </w:rPr>
              <w:t>ulica,</w:t>
            </w:r>
          </w:p>
        </w:tc>
      </w:tr>
      <w:tr w:rsidR="00C648AA" w:rsidRPr="00AE3F1B" w14:paraId="75E59341" w14:textId="77777777" w:rsidTr="00CA65D1">
        <w:trPr>
          <w:trHeight w:val="328"/>
        </w:trPr>
        <w:tc>
          <w:tcPr>
            <w:tcW w:w="1278" w:type="dxa"/>
            <w:tcBorders>
              <w:top w:val="single" w:sz="2" w:space="0" w:color="000000"/>
              <w:left w:val="single" w:sz="2" w:space="0" w:color="000000"/>
              <w:bottom w:val="single" w:sz="2" w:space="0" w:color="000000"/>
              <w:right w:val="single" w:sz="2" w:space="0" w:color="000000"/>
            </w:tcBorders>
            <w:vAlign w:val="center"/>
          </w:tcPr>
          <w:p w14:paraId="0FF06244" w14:textId="77777777" w:rsidR="00C648AA" w:rsidRPr="00AE3F1B" w:rsidRDefault="00C648AA" w:rsidP="00175586">
            <w:pPr>
              <w:spacing w:line="259" w:lineRule="auto"/>
              <w:ind w:left="567" w:right="-3" w:hanging="567"/>
              <w:jc w:val="center"/>
              <w:rPr>
                <w:rFonts w:ascii="Garamond" w:hAnsi="Garamond"/>
                <w:sz w:val="24"/>
                <w:szCs w:val="24"/>
              </w:rPr>
            </w:pPr>
            <w:r w:rsidRPr="00AE3F1B">
              <w:rPr>
                <w:rFonts w:ascii="Garamond" w:eastAsia="Calibri" w:hAnsi="Garamond" w:cs="Calibri"/>
                <w:sz w:val="24"/>
                <w:szCs w:val="24"/>
              </w:rPr>
              <w:t>4.5.</w:t>
            </w:r>
          </w:p>
        </w:tc>
        <w:tc>
          <w:tcPr>
            <w:tcW w:w="8492" w:type="dxa"/>
            <w:tcBorders>
              <w:top w:val="single" w:sz="2" w:space="0" w:color="000000"/>
              <w:left w:val="single" w:sz="2" w:space="0" w:color="000000"/>
              <w:bottom w:val="single" w:sz="2" w:space="0" w:color="000000"/>
              <w:right w:val="single" w:sz="2" w:space="0" w:color="000000"/>
            </w:tcBorders>
          </w:tcPr>
          <w:p w14:paraId="13F69602" w14:textId="77777777" w:rsidR="00C648AA" w:rsidRPr="00AE3F1B" w:rsidRDefault="00C648AA" w:rsidP="00175586">
            <w:pPr>
              <w:spacing w:line="259" w:lineRule="auto"/>
              <w:ind w:left="567" w:right="-3" w:hanging="567"/>
              <w:jc w:val="left"/>
              <w:rPr>
                <w:rFonts w:ascii="Garamond" w:hAnsi="Garamond"/>
                <w:sz w:val="24"/>
                <w:szCs w:val="24"/>
              </w:rPr>
            </w:pPr>
            <w:r w:rsidRPr="00AE3F1B">
              <w:rPr>
                <w:rFonts w:ascii="Garamond" w:eastAsia="Calibri" w:hAnsi="Garamond" w:cs="Calibri"/>
                <w:sz w:val="24"/>
                <w:szCs w:val="24"/>
              </w:rPr>
              <w:t>nr budynku,</w:t>
            </w:r>
          </w:p>
        </w:tc>
      </w:tr>
      <w:tr w:rsidR="00C648AA" w:rsidRPr="00AE3F1B" w14:paraId="01E43B78" w14:textId="77777777" w:rsidTr="00CA65D1">
        <w:trPr>
          <w:trHeight w:val="326"/>
        </w:trPr>
        <w:tc>
          <w:tcPr>
            <w:tcW w:w="1278" w:type="dxa"/>
            <w:tcBorders>
              <w:top w:val="single" w:sz="2" w:space="0" w:color="000000"/>
              <w:left w:val="single" w:sz="2" w:space="0" w:color="000000"/>
              <w:bottom w:val="single" w:sz="2" w:space="0" w:color="000000"/>
              <w:right w:val="single" w:sz="2" w:space="0" w:color="000000"/>
            </w:tcBorders>
            <w:vAlign w:val="center"/>
          </w:tcPr>
          <w:p w14:paraId="034F1E3A" w14:textId="77777777" w:rsidR="00C648AA" w:rsidRPr="00AE3F1B" w:rsidRDefault="00C648AA" w:rsidP="00175586">
            <w:pPr>
              <w:spacing w:line="259" w:lineRule="auto"/>
              <w:ind w:left="567" w:right="-3" w:hanging="567"/>
              <w:jc w:val="center"/>
              <w:rPr>
                <w:rFonts w:ascii="Garamond" w:hAnsi="Garamond"/>
                <w:sz w:val="24"/>
                <w:szCs w:val="24"/>
              </w:rPr>
            </w:pPr>
            <w:r w:rsidRPr="00AE3F1B">
              <w:rPr>
                <w:rFonts w:ascii="Garamond" w:eastAsia="Calibri" w:hAnsi="Garamond" w:cs="Calibri"/>
                <w:sz w:val="24"/>
                <w:szCs w:val="24"/>
              </w:rPr>
              <w:lastRenderedPageBreak/>
              <w:t>4.6.</w:t>
            </w:r>
          </w:p>
        </w:tc>
        <w:tc>
          <w:tcPr>
            <w:tcW w:w="8492" w:type="dxa"/>
            <w:tcBorders>
              <w:top w:val="single" w:sz="2" w:space="0" w:color="000000"/>
              <w:left w:val="single" w:sz="2" w:space="0" w:color="000000"/>
              <w:bottom w:val="single" w:sz="2" w:space="0" w:color="000000"/>
              <w:right w:val="single" w:sz="2" w:space="0" w:color="000000"/>
            </w:tcBorders>
          </w:tcPr>
          <w:p w14:paraId="0D47430F" w14:textId="77777777" w:rsidR="00C648AA" w:rsidRPr="00AE3F1B" w:rsidRDefault="00C648AA" w:rsidP="00175586">
            <w:pPr>
              <w:spacing w:line="259" w:lineRule="auto"/>
              <w:ind w:left="567" w:right="-3" w:hanging="567"/>
              <w:jc w:val="left"/>
              <w:rPr>
                <w:rFonts w:ascii="Garamond" w:hAnsi="Garamond"/>
                <w:sz w:val="24"/>
                <w:szCs w:val="24"/>
              </w:rPr>
            </w:pPr>
            <w:r w:rsidRPr="00AE3F1B">
              <w:rPr>
                <w:rFonts w:ascii="Garamond" w:eastAsia="Calibri" w:hAnsi="Garamond" w:cs="Calibri"/>
                <w:sz w:val="24"/>
                <w:szCs w:val="24"/>
              </w:rPr>
              <w:t>nr lokalu,</w:t>
            </w:r>
          </w:p>
        </w:tc>
      </w:tr>
      <w:tr w:rsidR="00C648AA" w:rsidRPr="00AE3F1B" w14:paraId="77DAA44D" w14:textId="77777777" w:rsidTr="00CA65D1">
        <w:trPr>
          <w:trHeight w:val="324"/>
        </w:trPr>
        <w:tc>
          <w:tcPr>
            <w:tcW w:w="1278" w:type="dxa"/>
            <w:tcBorders>
              <w:top w:val="single" w:sz="2" w:space="0" w:color="000000"/>
              <w:left w:val="single" w:sz="2" w:space="0" w:color="000000"/>
              <w:bottom w:val="single" w:sz="2" w:space="0" w:color="000000"/>
              <w:right w:val="single" w:sz="2" w:space="0" w:color="000000"/>
            </w:tcBorders>
            <w:vAlign w:val="center"/>
          </w:tcPr>
          <w:p w14:paraId="2BCA2AB9" w14:textId="77777777" w:rsidR="00C648AA" w:rsidRPr="00AE3F1B" w:rsidRDefault="00C648AA" w:rsidP="00175586">
            <w:pPr>
              <w:spacing w:line="259" w:lineRule="auto"/>
              <w:ind w:left="567" w:right="-3" w:hanging="567"/>
              <w:jc w:val="center"/>
              <w:rPr>
                <w:rFonts w:ascii="Garamond" w:hAnsi="Garamond"/>
                <w:sz w:val="24"/>
                <w:szCs w:val="24"/>
              </w:rPr>
            </w:pPr>
            <w:r w:rsidRPr="00AE3F1B">
              <w:rPr>
                <w:rFonts w:ascii="Garamond" w:eastAsia="Calibri" w:hAnsi="Garamond" w:cs="Calibri"/>
                <w:sz w:val="24"/>
                <w:szCs w:val="24"/>
              </w:rPr>
              <w:t>4.7.</w:t>
            </w:r>
          </w:p>
        </w:tc>
        <w:tc>
          <w:tcPr>
            <w:tcW w:w="8492" w:type="dxa"/>
            <w:tcBorders>
              <w:top w:val="single" w:sz="2" w:space="0" w:color="000000"/>
              <w:left w:val="single" w:sz="2" w:space="0" w:color="000000"/>
              <w:bottom w:val="single" w:sz="2" w:space="0" w:color="000000"/>
              <w:right w:val="single" w:sz="2" w:space="0" w:color="000000"/>
            </w:tcBorders>
          </w:tcPr>
          <w:p w14:paraId="05D5D861" w14:textId="77777777" w:rsidR="00C648AA" w:rsidRPr="00AE3F1B" w:rsidRDefault="00C648AA" w:rsidP="00175586">
            <w:pPr>
              <w:spacing w:line="259" w:lineRule="auto"/>
              <w:ind w:left="567" w:right="-3" w:hanging="567"/>
              <w:jc w:val="left"/>
              <w:rPr>
                <w:rFonts w:ascii="Garamond" w:hAnsi="Garamond"/>
                <w:sz w:val="24"/>
                <w:szCs w:val="24"/>
              </w:rPr>
            </w:pPr>
            <w:r w:rsidRPr="00AE3F1B">
              <w:rPr>
                <w:rFonts w:ascii="Garamond" w:eastAsia="Calibri" w:hAnsi="Garamond" w:cs="Calibri"/>
                <w:sz w:val="24"/>
                <w:szCs w:val="24"/>
              </w:rPr>
              <w:t>NIP/PESEL/nr paszportu (numer paszportu dotyczy obcokrajowców)</w:t>
            </w:r>
          </w:p>
        </w:tc>
      </w:tr>
      <w:tr w:rsidR="00C648AA" w:rsidRPr="00AE3F1B" w14:paraId="3F30FEA4" w14:textId="77777777" w:rsidTr="00CA65D1">
        <w:trPr>
          <w:trHeight w:val="331"/>
        </w:trPr>
        <w:tc>
          <w:tcPr>
            <w:tcW w:w="1278" w:type="dxa"/>
            <w:tcBorders>
              <w:top w:val="single" w:sz="2" w:space="0" w:color="000000"/>
              <w:left w:val="single" w:sz="2" w:space="0" w:color="000000"/>
              <w:bottom w:val="single" w:sz="2" w:space="0" w:color="000000"/>
              <w:right w:val="single" w:sz="2" w:space="0" w:color="000000"/>
            </w:tcBorders>
            <w:vAlign w:val="center"/>
          </w:tcPr>
          <w:p w14:paraId="19DE1E7A" w14:textId="77777777" w:rsidR="00C648AA" w:rsidRPr="00AE3F1B" w:rsidRDefault="00C648AA" w:rsidP="00175586">
            <w:pPr>
              <w:spacing w:line="259" w:lineRule="auto"/>
              <w:ind w:left="567" w:right="-3" w:hanging="567"/>
              <w:jc w:val="center"/>
              <w:rPr>
                <w:rFonts w:ascii="Garamond" w:hAnsi="Garamond"/>
                <w:sz w:val="24"/>
                <w:szCs w:val="24"/>
              </w:rPr>
            </w:pPr>
            <w:r w:rsidRPr="00AE3F1B">
              <w:rPr>
                <w:rFonts w:ascii="Garamond" w:eastAsia="Calibri" w:hAnsi="Garamond" w:cs="Calibri"/>
                <w:sz w:val="24"/>
                <w:szCs w:val="24"/>
              </w:rPr>
              <w:t>4.8.</w:t>
            </w:r>
          </w:p>
        </w:tc>
        <w:tc>
          <w:tcPr>
            <w:tcW w:w="8492" w:type="dxa"/>
            <w:tcBorders>
              <w:top w:val="single" w:sz="2" w:space="0" w:color="000000"/>
              <w:left w:val="single" w:sz="2" w:space="0" w:color="000000"/>
              <w:bottom w:val="single" w:sz="2" w:space="0" w:color="000000"/>
              <w:right w:val="single" w:sz="2" w:space="0" w:color="000000"/>
            </w:tcBorders>
          </w:tcPr>
          <w:p w14:paraId="7943F593" w14:textId="77777777" w:rsidR="00C648AA" w:rsidRPr="00AE3F1B" w:rsidRDefault="00C648AA" w:rsidP="00175586">
            <w:pPr>
              <w:spacing w:line="259" w:lineRule="auto"/>
              <w:ind w:left="567" w:right="-3" w:hanging="567"/>
              <w:jc w:val="left"/>
              <w:rPr>
                <w:rFonts w:ascii="Garamond" w:hAnsi="Garamond"/>
                <w:sz w:val="24"/>
                <w:szCs w:val="24"/>
              </w:rPr>
            </w:pPr>
            <w:r w:rsidRPr="00AE3F1B">
              <w:rPr>
                <w:rFonts w:ascii="Garamond" w:eastAsia="Calibri" w:hAnsi="Garamond" w:cs="Calibri"/>
                <w:sz w:val="24"/>
                <w:szCs w:val="24"/>
              </w:rPr>
              <w:t xml:space="preserve">kod nadany przez </w:t>
            </w:r>
            <w:r w:rsidR="00CA65D1" w:rsidRPr="00AE3F1B">
              <w:rPr>
                <w:rFonts w:ascii="Garamond" w:eastAsia="Calibri" w:hAnsi="Garamond" w:cs="Calibri"/>
                <w:sz w:val="24"/>
                <w:szCs w:val="24"/>
              </w:rPr>
              <w:t>ID</w:t>
            </w:r>
            <w:r w:rsidRPr="00AE3F1B">
              <w:rPr>
                <w:rFonts w:ascii="Garamond" w:eastAsia="Calibri" w:hAnsi="Garamond" w:cs="Calibri"/>
                <w:sz w:val="24"/>
                <w:szCs w:val="24"/>
              </w:rPr>
              <w:t xml:space="preserve"> Sp. z o.o. o ile został nadany</w:t>
            </w:r>
          </w:p>
        </w:tc>
      </w:tr>
      <w:tr w:rsidR="00C648AA" w:rsidRPr="00AE3F1B" w14:paraId="6283A770" w14:textId="77777777" w:rsidTr="000A024C">
        <w:trPr>
          <w:trHeight w:val="640"/>
        </w:trPr>
        <w:tc>
          <w:tcPr>
            <w:tcW w:w="1278" w:type="dxa"/>
            <w:tcBorders>
              <w:top w:val="single" w:sz="2" w:space="0" w:color="000000"/>
              <w:left w:val="single" w:sz="2" w:space="0" w:color="000000"/>
              <w:bottom w:val="single" w:sz="2" w:space="0" w:color="000000"/>
              <w:right w:val="single" w:sz="2" w:space="0" w:color="000000"/>
            </w:tcBorders>
            <w:vAlign w:val="center"/>
          </w:tcPr>
          <w:p w14:paraId="55A5A554" w14:textId="77777777" w:rsidR="00C648AA" w:rsidRPr="00AE3F1B" w:rsidRDefault="00C648AA" w:rsidP="00175586">
            <w:pPr>
              <w:spacing w:line="259" w:lineRule="auto"/>
              <w:ind w:left="567" w:right="-3" w:hanging="567"/>
              <w:jc w:val="center"/>
              <w:rPr>
                <w:rFonts w:ascii="Garamond" w:hAnsi="Garamond"/>
                <w:sz w:val="24"/>
                <w:szCs w:val="24"/>
              </w:rPr>
            </w:pPr>
            <w:r w:rsidRPr="00AE3F1B">
              <w:rPr>
                <w:rFonts w:ascii="Garamond" w:eastAsia="Calibri" w:hAnsi="Garamond" w:cs="Calibri"/>
                <w:sz w:val="24"/>
                <w:szCs w:val="24"/>
              </w:rPr>
              <w:t>5.</w:t>
            </w:r>
          </w:p>
        </w:tc>
        <w:tc>
          <w:tcPr>
            <w:tcW w:w="8492" w:type="dxa"/>
            <w:tcBorders>
              <w:top w:val="single" w:sz="2" w:space="0" w:color="000000"/>
              <w:left w:val="single" w:sz="2" w:space="0" w:color="000000"/>
              <w:bottom w:val="single" w:sz="2" w:space="0" w:color="000000"/>
              <w:right w:val="single" w:sz="2" w:space="0" w:color="000000"/>
            </w:tcBorders>
            <w:vAlign w:val="center"/>
          </w:tcPr>
          <w:p w14:paraId="4EC479DB" w14:textId="08CDDFD2" w:rsidR="00C648AA" w:rsidRPr="00AE3F1B" w:rsidRDefault="00C648AA" w:rsidP="000A024C">
            <w:pPr>
              <w:spacing w:line="259" w:lineRule="auto"/>
              <w:ind w:right="-3"/>
              <w:jc w:val="left"/>
              <w:rPr>
                <w:rFonts w:ascii="Garamond" w:hAnsi="Garamond"/>
                <w:sz w:val="24"/>
                <w:szCs w:val="24"/>
              </w:rPr>
            </w:pPr>
            <w:r w:rsidRPr="00AE3F1B">
              <w:rPr>
                <w:rFonts w:ascii="Garamond" w:eastAsia="Calibri" w:hAnsi="Garamond" w:cs="Calibri"/>
                <w:sz w:val="24"/>
                <w:szCs w:val="24"/>
              </w:rPr>
              <w:t xml:space="preserve">Dane punktów poboru, kod identyfikacyjny </w:t>
            </w:r>
            <w:r w:rsidR="0077061D" w:rsidRPr="00AE3F1B">
              <w:rPr>
                <w:rFonts w:ascii="Garamond" w:eastAsia="Calibri" w:hAnsi="Garamond" w:cs="Calibri"/>
                <w:sz w:val="24"/>
                <w:szCs w:val="24"/>
              </w:rPr>
              <w:t>PPE</w:t>
            </w:r>
            <w:r w:rsidRPr="00AE3F1B">
              <w:rPr>
                <w:rFonts w:ascii="Garamond" w:eastAsia="Calibri" w:hAnsi="Garamond" w:cs="Calibri"/>
                <w:sz w:val="24"/>
                <w:szCs w:val="24"/>
              </w:rPr>
              <w:t xml:space="preserve"> albo jeżeli nie jest on znany Sprzedawcy i URD:</w:t>
            </w:r>
          </w:p>
        </w:tc>
      </w:tr>
      <w:tr w:rsidR="00C648AA" w:rsidRPr="00AE3F1B" w14:paraId="4A2680BA" w14:textId="77777777" w:rsidTr="00CA65D1">
        <w:trPr>
          <w:trHeight w:val="328"/>
        </w:trPr>
        <w:tc>
          <w:tcPr>
            <w:tcW w:w="1278" w:type="dxa"/>
            <w:tcBorders>
              <w:top w:val="single" w:sz="2" w:space="0" w:color="000000"/>
              <w:left w:val="single" w:sz="2" w:space="0" w:color="000000"/>
              <w:bottom w:val="single" w:sz="2" w:space="0" w:color="000000"/>
              <w:right w:val="single" w:sz="2" w:space="0" w:color="000000"/>
            </w:tcBorders>
            <w:vAlign w:val="center"/>
          </w:tcPr>
          <w:p w14:paraId="6FBB6E91" w14:textId="77777777" w:rsidR="00C648AA" w:rsidRPr="00AE3F1B" w:rsidRDefault="00C648AA" w:rsidP="00175586">
            <w:pPr>
              <w:spacing w:line="259" w:lineRule="auto"/>
              <w:ind w:left="567" w:right="-3" w:hanging="567"/>
              <w:jc w:val="center"/>
              <w:rPr>
                <w:rFonts w:ascii="Garamond" w:hAnsi="Garamond"/>
                <w:sz w:val="24"/>
                <w:szCs w:val="24"/>
              </w:rPr>
            </w:pPr>
            <w:r w:rsidRPr="00AE3F1B">
              <w:rPr>
                <w:rFonts w:ascii="Garamond" w:eastAsia="Calibri" w:hAnsi="Garamond" w:cs="Calibri"/>
                <w:sz w:val="24"/>
                <w:szCs w:val="24"/>
              </w:rPr>
              <w:t>5.1.</w:t>
            </w:r>
          </w:p>
        </w:tc>
        <w:tc>
          <w:tcPr>
            <w:tcW w:w="8492" w:type="dxa"/>
            <w:tcBorders>
              <w:top w:val="single" w:sz="2" w:space="0" w:color="000000"/>
              <w:left w:val="single" w:sz="2" w:space="0" w:color="000000"/>
              <w:bottom w:val="single" w:sz="2" w:space="0" w:color="000000"/>
              <w:right w:val="single" w:sz="2" w:space="0" w:color="000000"/>
            </w:tcBorders>
          </w:tcPr>
          <w:p w14:paraId="048DACB0" w14:textId="77777777" w:rsidR="00C648AA" w:rsidRPr="00AE3F1B" w:rsidRDefault="00C648AA" w:rsidP="00175586">
            <w:pPr>
              <w:spacing w:line="259" w:lineRule="auto"/>
              <w:ind w:left="567" w:right="-3" w:hanging="567"/>
              <w:jc w:val="left"/>
              <w:rPr>
                <w:rFonts w:ascii="Garamond" w:hAnsi="Garamond"/>
                <w:sz w:val="24"/>
                <w:szCs w:val="24"/>
              </w:rPr>
            </w:pPr>
            <w:r w:rsidRPr="00AE3F1B">
              <w:rPr>
                <w:rFonts w:ascii="Garamond" w:eastAsia="Calibri" w:hAnsi="Garamond" w:cs="Calibri"/>
                <w:sz w:val="24"/>
                <w:szCs w:val="24"/>
              </w:rPr>
              <w:t>kod pocztowy,</w:t>
            </w:r>
          </w:p>
        </w:tc>
      </w:tr>
      <w:tr w:rsidR="00C648AA" w:rsidRPr="00AE3F1B" w14:paraId="0EE970EE" w14:textId="77777777" w:rsidTr="00CA65D1">
        <w:trPr>
          <w:trHeight w:val="326"/>
        </w:trPr>
        <w:tc>
          <w:tcPr>
            <w:tcW w:w="1278" w:type="dxa"/>
            <w:tcBorders>
              <w:top w:val="single" w:sz="2" w:space="0" w:color="000000"/>
              <w:left w:val="single" w:sz="2" w:space="0" w:color="000000"/>
              <w:bottom w:val="single" w:sz="2" w:space="0" w:color="000000"/>
              <w:right w:val="single" w:sz="2" w:space="0" w:color="000000"/>
            </w:tcBorders>
            <w:vAlign w:val="center"/>
          </w:tcPr>
          <w:p w14:paraId="42254087" w14:textId="77777777" w:rsidR="00C648AA" w:rsidRPr="00AE3F1B" w:rsidRDefault="00C648AA" w:rsidP="00175586">
            <w:pPr>
              <w:spacing w:line="259" w:lineRule="auto"/>
              <w:ind w:left="567" w:right="-3" w:hanging="567"/>
              <w:jc w:val="center"/>
              <w:rPr>
                <w:rFonts w:ascii="Garamond" w:hAnsi="Garamond"/>
                <w:sz w:val="24"/>
                <w:szCs w:val="24"/>
              </w:rPr>
            </w:pPr>
            <w:r w:rsidRPr="00AE3F1B">
              <w:rPr>
                <w:rFonts w:ascii="Garamond" w:eastAsia="Calibri" w:hAnsi="Garamond" w:cs="Calibri"/>
                <w:sz w:val="24"/>
                <w:szCs w:val="24"/>
              </w:rPr>
              <w:t>5.2.</w:t>
            </w:r>
          </w:p>
        </w:tc>
        <w:tc>
          <w:tcPr>
            <w:tcW w:w="8492" w:type="dxa"/>
            <w:tcBorders>
              <w:top w:val="single" w:sz="2" w:space="0" w:color="000000"/>
              <w:left w:val="single" w:sz="2" w:space="0" w:color="000000"/>
              <w:bottom w:val="single" w:sz="2" w:space="0" w:color="000000"/>
              <w:right w:val="single" w:sz="2" w:space="0" w:color="000000"/>
            </w:tcBorders>
          </w:tcPr>
          <w:p w14:paraId="2A295688" w14:textId="77777777" w:rsidR="00C648AA" w:rsidRPr="00AE3F1B" w:rsidRDefault="00C648AA" w:rsidP="00175586">
            <w:pPr>
              <w:spacing w:line="259" w:lineRule="auto"/>
              <w:ind w:left="567" w:right="-3" w:hanging="567"/>
              <w:jc w:val="left"/>
              <w:rPr>
                <w:rFonts w:ascii="Garamond" w:hAnsi="Garamond"/>
                <w:sz w:val="24"/>
                <w:szCs w:val="24"/>
              </w:rPr>
            </w:pPr>
            <w:r w:rsidRPr="00AE3F1B">
              <w:rPr>
                <w:rFonts w:ascii="Garamond" w:eastAsia="Calibri" w:hAnsi="Garamond" w:cs="Calibri"/>
                <w:sz w:val="24"/>
                <w:szCs w:val="24"/>
              </w:rPr>
              <w:t>miejscowość,</w:t>
            </w:r>
          </w:p>
        </w:tc>
      </w:tr>
      <w:tr w:rsidR="00C648AA" w:rsidRPr="00AE3F1B" w14:paraId="7C4C0B52" w14:textId="77777777" w:rsidTr="00CA65D1">
        <w:trPr>
          <w:trHeight w:val="324"/>
        </w:trPr>
        <w:tc>
          <w:tcPr>
            <w:tcW w:w="1278" w:type="dxa"/>
            <w:tcBorders>
              <w:top w:val="single" w:sz="2" w:space="0" w:color="000000"/>
              <w:left w:val="single" w:sz="2" w:space="0" w:color="000000"/>
              <w:bottom w:val="single" w:sz="2" w:space="0" w:color="000000"/>
              <w:right w:val="single" w:sz="2" w:space="0" w:color="000000"/>
            </w:tcBorders>
            <w:vAlign w:val="center"/>
          </w:tcPr>
          <w:p w14:paraId="2C9E25EA" w14:textId="77777777" w:rsidR="00C648AA" w:rsidRPr="00AE3F1B" w:rsidRDefault="00C648AA" w:rsidP="00175586">
            <w:pPr>
              <w:spacing w:line="259" w:lineRule="auto"/>
              <w:ind w:left="567" w:right="-3" w:hanging="567"/>
              <w:jc w:val="center"/>
              <w:rPr>
                <w:rFonts w:ascii="Garamond" w:hAnsi="Garamond"/>
                <w:sz w:val="24"/>
                <w:szCs w:val="24"/>
              </w:rPr>
            </w:pPr>
            <w:r w:rsidRPr="00AE3F1B">
              <w:rPr>
                <w:rFonts w:ascii="Garamond" w:eastAsia="Calibri" w:hAnsi="Garamond" w:cs="Calibri"/>
                <w:sz w:val="24"/>
                <w:szCs w:val="24"/>
              </w:rPr>
              <w:t>5.3.</w:t>
            </w:r>
          </w:p>
        </w:tc>
        <w:tc>
          <w:tcPr>
            <w:tcW w:w="8492" w:type="dxa"/>
            <w:tcBorders>
              <w:top w:val="single" w:sz="2" w:space="0" w:color="000000"/>
              <w:left w:val="single" w:sz="2" w:space="0" w:color="000000"/>
              <w:bottom w:val="single" w:sz="2" w:space="0" w:color="000000"/>
              <w:right w:val="single" w:sz="2" w:space="0" w:color="000000"/>
            </w:tcBorders>
          </w:tcPr>
          <w:p w14:paraId="4A21587A" w14:textId="77777777" w:rsidR="00C648AA" w:rsidRPr="00AE3F1B" w:rsidRDefault="00C648AA" w:rsidP="00175586">
            <w:pPr>
              <w:spacing w:line="259" w:lineRule="auto"/>
              <w:ind w:left="567" w:right="-3" w:hanging="567"/>
              <w:jc w:val="left"/>
              <w:rPr>
                <w:rFonts w:ascii="Garamond" w:hAnsi="Garamond"/>
                <w:sz w:val="24"/>
                <w:szCs w:val="24"/>
              </w:rPr>
            </w:pPr>
            <w:r w:rsidRPr="00AE3F1B">
              <w:rPr>
                <w:rFonts w:ascii="Garamond" w:eastAsia="Calibri" w:hAnsi="Garamond" w:cs="Calibri"/>
                <w:sz w:val="24"/>
                <w:szCs w:val="24"/>
              </w:rPr>
              <w:t>ulica,</w:t>
            </w:r>
          </w:p>
        </w:tc>
      </w:tr>
      <w:tr w:rsidR="00C648AA" w:rsidRPr="00AE3F1B" w14:paraId="26DEBE41" w14:textId="77777777" w:rsidTr="00CA65D1">
        <w:trPr>
          <w:trHeight w:val="328"/>
        </w:trPr>
        <w:tc>
          <w:tcPr>
            <w:tcW w:w="1278" w:type="dxa"/>
            <w:tcBorders>
              <w:top w:val="single" w:sz="2" w:space="0" w:color="000000"/>
              <w:left w:val="single" w:sz="2" w:space="0" w:color="000000"/>
              <w:bottom w:val="single" w:sz="2" w:space="0" w:color="000000"/>
              <w:right w:val="single" w:sz="2" w:space="0" w:color="000000"/>
            </w:tcBorders>
            <w:vAlign w:val="center"/>
          </w:tcPr>
          <w:p w14:paraId="0C5B422D" w14:textId="77777777" w:rsidR="00C648AA" w:rsidRPr="00AE3F1B" w:rsidRDefault="00C648AA" w:rsidP="00175586">
            <w:pPr>
              <w:spacing w:line="259" w:lineRule="auto"/>
              <w:ind w:left="567" w:right="-3" w:hanging="567"/>
              <w:jc w:val="center"/>
              <w:rPr>
                <w:rFonts w:ascii="Garamond" w:hAnsi="Garamond"/>
                <w:sz w:val="24"/>
                <w:szCs w:val="24"/>
              </w:rPr>
            </w:pPr>
            <w:r w:rsidRPr="00AE3F1B">
              <w:rPr>
                <w:rFonts w:ascii="Garamond" w:eastAsia="Calibri" w:hAnsi="Garamond" w:cs="Calibri"/>
                <w:sz w:val="24"/>
                <w:szCs w:val="24"/>
              </w:rPr>
              <w:t>5.4.</w:t>
            </w:r>
          </w:p>
        </w:tc>
        <w:tc>
          <w:tcPr>
            <w:tcW w:w="8492" w:type="dxa"/>
            <w:tcBorders>
              <w:top w:val="single" w:sz="2" w:space="0" w:color="000000"/>
              <w:left w:val="single" w:sz="2" w:space="0" w:color="000000"/>
              <w:bottom w:val="single" w:sz="2" w:space="0" w:color="000000"/>
              <w:right w:val="single" w:sz="2" w:space="0" w:color="000000"/>
            </w:tcBorders>
          </w:tcPr>
          <w:p w14:paraId="240675B7" w14:textId="77777777" w:rsidR="00C648AA" w:rsidRPr="00AE3F1B" w:rsidRDefault="00C648AA" w:rsidP="00175586">
            <w:pPr>
              <w:spacing w:line="259" w:lineRule="auto"/>
              <w:ind w:left="567" w:right="-3" w:hanging="567"/>
              <w:jc w:val="left"/>
              <w:rPr>
                <w:rFonts w:ascii="Garamond" w:hAnsi="Garamond"/>
                <w:sz w:val="24"/>
                <w:szCs w:val="24"/>
              </w:rPr>
            </w:pPr>
            <w:r w:rsidRPr="00AE3F1B">
              <w:rPr>
                <w:rFonts w:ascii="Garamond" w:eastAsia="Calibri" w:hAnsi="Garamond" w:cs="Calibri"/>
                <w:sz w:val="24"/>
                <w:szCs w:val="24"/>
              </w:rPr>
              <w:t>nr budynku,</w:t>
            </w:r>
          </w:p>
        </w:tc>
      </w:tr>
      <w:tr w:rsidR="00C648AA" w:rsidRPr="00AE3F1B" w14:paraId="35C347AB" w14:textId="77777777" w:rsidTr="00CA65D1">
        <w:trPr>
          <w:trHeight w:val="324"/>
        </w:trPr>
        <w:tc>
          <w:tcPr>
            <w:tcW w:w="1278" w:type="dxa"/>
            <w:tcBorders>
              <w:top w:val="single" w:sz="2" w:space="0" w:color="000000"/>
              <w:left w:val="single" w:sz="2" w:space="0" w:color="000000"/>
              <w:bottom w:val="single" w:sz="2" w:space="0" w:color="000000"/>
              <w:right w:val="single" w:sz="2" w:space="0" w:color="000000"/>
            </w:tcBorders>
            <w:vAlign w:val="center"/>
          </w:tcPr>
          <w:p w14:paraId="4A35961C" w14:textId="77777777" w:rsidR="00C648AA" w:rsidRPr="00AE3F1B" w:rsidRDefault="00C648AA" w:rsidP="00175586">
            <w:pPr>
              <w:spacing w:line="259" w:lineRule="auto"/>
              <w:ind w:left="567" w:right="-3" w:hanging="567"/>
              <w:jc w:val="center"/>
              <w:rPr>
                <w:rFonts w:ascii="Garamond" w:hAnsi="Garamond"/>
                <w:sz w:val="24"/>
                <w:szCs w:val="24"/>
              </w:rPr>
            </w:pPr>
            <w:r w:rsidRPr="00AE3F1B">
              <w:rPr>
                <w:rFonts w:ascii="Garamond" w:eastAsia="Calibri" w:hAnsi="Garamond" w:cs="Calibri"/>
                <w:sz w:val="24"/>
                <w:szCs w:val="24"/>
              </w:rPr>
              <w:t>5.5.</w:t>
            </w:r>
          </w:p>
        </w:tc>
        <w:tc>
          <w:tcPr>
            <w:tcW w:w="8492" w:type="dxa"/>
            <w:tcBorders>
              <w:top w:val="single" w:sz="2" w:space="0" w:color="000000"/>
              <w:left w:val="single" w:sz="2" w:space="0" w:color="000000"/>
              <w:bottom w:val="single" w:sz="2" w:space="0" w:color="000000"/>
              <w:right w:val="single" w:sz="2" w:space="0" w:color="000000"/>
            </w:tcBorders>
          </w:tcPr>
          <w:p w14:paraId="04CC897E" w14:textId="77777777" w:rsidR="00C648AA" w:rsidRPr="00AE3F1B" w:rsidRDefault="00C648AA" w:rsidP="00175586">
            <w:pPr>
              <w:spacing w:line="259" w:lineRule="auto"/>
              <w:ind w:left="567" w:right="-3" w:hanging="567"/>
              <w:jc w:val="left"/>
              <w:rPr>
                <w:rFonts w:ascii="Garamond" w:hAnsi="Garamond"/>
                <w:sz w:val="24"/>
                <w:szCs w:val="24"/>
              </w:rPr>
            </w:pPr>
            <w:r w:rsidRPr="00AE3F1B">
              <w:rPr>
                <w:rFonts w:ascii="Garamond" w:eastAsia="Calibri" w:hAnsi="Garamond" w:cs="Calibri"/>
                <w:sz w:val="24"/>
                <w:szCs w:val="24"/>
              </w:rPr>
              <w:t>nr lokalu tego punktu poboru,</w:t>
            </w:r>
          </w:p>
        </w:tc>
      </w:tr>
      <w:tr w:rsidR="00C648AA" w:rsidRPr="00AE3F1B" w14:paraId="32524C91" w14:textId="77777777" w:rsidTr="00CA65D1">
        <w:trPr>
          <w:trHeight w:val="643"/>
        </w:trPr>
        <w:tc>
          <w:tcPr>
            <w:tcW w:w="1278" w:type="dxa"/>
            <w:tcBorders>
              <w:top w:val="single" w:sz="2" w:space="0" w:color="000000"/>
              <w:left w:val="single" w:sz="2" w:space="0" w:color="000000"/>
              <w:bottom w:val="single" w:sz="2" w:space="0" w:color="000000"/>
              <w:right w:val="single" w:sz="2" w:space="0" w:color="000000"/>
            </w:tcBorders>
            <w:vAlign w:val="center"/>
          </w:tcPr>
          <w:p w14:paraId="1FA13AFF" w14:textId="77777777" w:rsidR="00C648AA" w:rsidRPr="00AE3F1B" w:rsidRDefault="00C648AA" w:rsidP="00175586">
            <w:pPr>
              <w:spacing w:line="259" w:lineRule="auto"/>
              <w:ind w:left="567" w:right="-3" w:hanging="567"/>
              <w:jc w:val="center"/>
              <w:rPr>
                <w:rFonts w:ascii="Garamond" w:hAnsi="Garamond"/>
                <w:sz w:val="24"/>
                <w:szCs w:val="24"/>
              </w:rPr>
            </w:pPr>
            <w:r w:rsidRPr="00AE3F1B">
              <w:rPr>
                <w:rFonts w:ascii="Garamond" w:eastAsia="Calibri" w:hAnsi="Garamond" w:cs="Calibri"/>
                <w:sz w:val="24"/>
                <w:szCs w:val="24"/>
              </w:rPr>
              <w:t>5.6.</w:t>
            </w:r>
          </w:p>
        </w:tc>
        <w:tc>
          <w:tcPr>
            <w:tcW w:w="8492" w:type="dxa"/>
            <w:tcBorders>
              <w:top w:val="single" w:sz="2" w:space="0" w:color="000000"/>
              <w:left w:val="single" w:sz="2" w:space="0" w:color="000000"/>
              <w:bottom w:val="single" w:sz="2" w:space="0" w:color="000000"/>
              <w:right w:val="single" w:sz="2" w:space="0" w:color="000000"/>
            </w:tcBorders>
          </w:tcPr>
          <w:p w14:paraId="0761143E" w14:textId="77777777" w:rsidR="00C648AA" w:rsidRPr="00AE3F1B" w:rsidRDefault="00C648AA" w:rsidP="000A024C">
            <w:pPr>
              <w:spacing w:line="259" w:lineRule="auto"/>
              <w:ind w:left="49" w:right="-3" w:hanging="49"/>
              <w:jc w:val="left"/>
              <w:rPr>
                <w:rFonts w:ascii="Garamond" w:hAnsi="Garamond"/>
                <w:sz w:val="24"/>
                <w:szCs w:val="24"/>
              </w:rPr>
            </w:pPr>
            <w:r w:rsidRPr="00AE3F1B">
              <w:rPr>
                <w:rFonts w:ascii="Garamond" w:eastAsia="Calibri" w:hAnsi="Garamond" w:cs="Calibri"/>
                <w:sz w:val="24"/>
                <w:szCs w:val="24"/>
              </w:rPr>
              <w:t>nr fabryczny licznika - dla URD przyłączonych do sieci elektroenergetycznej na napięciu nN,</w:t>
            </w:r>
          </w:p>
        </w:tc>
      </w:tr>
      <w:tr w:rsidR="00C648AA" w:rsidRPr="00AE3F1B" w14:paraId="34A0CFBA" w14:textId="77777777" w:rsidTr="00CA65D1">
        <w:trPr>
          <w:trHeight w:val="957"/>
        </w:trPr>
        <w:tc>
          <w:tcPr>
            <w:tcW w:w="1278" w:type="dxa"/>
            <w:tcBorders>
              <w:top w:val="single" w:sz="2" w:space="0" w:color="000000"/>
              <w:left w:val="single" w:sz="2" w:space="0" w:color="000000"/>
              <w:bottom w:val="single" w:sz="2" w:space="0" w:color="000000"/>
              <w:right w:val="single" w:sz="2" w:space="0" w:color="000000"/>
            </w:tcBorders>
            <w:vAlign w:val="center"/>
          </w:tcPr>
          <w:p w14:paraId="1A501971" w14:textId="77777777" w:rsidR="00C648AA" w:rsidRPr="00AE3F1B" w:rsidRDefault="00C648AA" w:rsidP="00175586">
            <w:pPr>
              <w:spacing w:line="259" w:lineRule="auto"/>
              <w:ind w:left="567" w:right="-3" w:hanging="567"/>
              <w:jc w:val="center"/>
              <w:rPr>
                <w:rFonts w:ascii="Garamond" w:hAnsi="Garamond"/>
                <w:sz w:val="24"/>
                <w:szCs w:val="24"/>
              </w:rPr>
            </w:pPr>
            <w:r w:rsidRPr="00AE3F1B">
              <w:rPr>
                <w:rFonts w:ascii="Garamond" w:eastAsia="Calibri" w:hAnsi="Garamond" w:cs="Calibri"/>
                <w:sz w:val="24"/>
                <w:szCs w:val="24"/>
              </w:rPr>
              <w:t>5.7.</w:t>
            </w:r>
          </w:p>
        </w:tc>
        <w:tc>
          <w:tcPr>
            <w:tcW w:w="8492" w:type="dxa"/>
            <w:tcBorders>
              <w:top w:val="single" w:sz="2" w:space="0" w:color="000000"/>
              <w:left w:val="single" w:sz="2" w:space="0" w:color="000000"/>
              <w:bottom w:val="single" w:sz="2" w:space="0" w:color="000000"/>
              <w:right w:val="single" w:sz="2" w:space="0" w:color="000000"/>
            </w:tcBorders>
          </w:tcPr>
          <w:p w14:paraId="0DECB176" w14:textId="77777777" w:rsidR="00C648AA" w:rsidRPr="00AE3F1B" w:rsidRDefault="00C648AA" w:rsidP="000A024C">
            <w:pPr>
              <w:spacing w:line="260" w:lineRule="auto"/>
              <w:ind w:left="49" w:right="-3"/>
              <w:jc w:val="left"/>
              <w:rPr>
                <w:rFonts w:ascii="Garamond" w:hAnsi="Garamond"/>
                <w:sz w:val="24"/>
                <w:szCs w:val="24"/>
              </w:rPr>
            </w:pPr>
            <w:r w:rsidRPr="00AE3F1B">
              <w:rPr>
                <w:rFonts w:ascii="Garamond" w:eastAsia="Calibri" w:hAnsi="Garamond" w:cs="Calibri"/>
                <w:sz w:val="24"/>
                <w:szCs w:val="24"/>
              </w:rPr>
              <w:t xml:space="preserve">datę odczytu oraz wskazanie w odpowiedniej strefie czasowej — pole wypełnione nieobligatoryjnie, w przypadku braku ostatnich dwóch danych </w:t>
            </w:r>
            <w:r w:rsidR="00CA65D1" w:rsidRPr="00AE3F1B">
              <w:rPr>
                <w:rFonts w:ascii="Garamond" w:eastAsia="Calibri" w:hAnsi="Garamond" w:cs="Calibri"/>
                <w:sz w:val="24"/>
                <w:szCs w:val="24"/>
              </w:rPr>
              <w:t>ID</w:t>
            </w:r>
            <w:r w:rsidRPr="00AE3F1B">
              <w:rPr>
                <w:rFonts w:ascii="Garamond" w:eastAsia="Calibri" w:hAnsi="Garamond" w:cs="Calibri"/>
                <w:sz w:val="24"/>
                <w:szCs w:val="24"/>
              </w:rPr>
              <w:t xml:space="preserve"> Sp. z</w:t>
            </w:r>
          </w:p>
          <w:p w14:paraId="4C60B231" w14:textId="77777777" w:rsidR="00C648AA" w:rsidRPr="00AE3F1B" w:rsidRDefault="00C648AA" w:rsidP="00175586">
            <w:pPr>
              <w:spacing w:line="259" w:lineRule="auto"/>
              <w:ind w:left="567" w:right="-3" w:hanging="567"/>
              <w:jc w:val="left"/>
              <w:rPr>
                <w:rFonts w:ascii="Garamond" w:hAnsi="Garamond"/>
                <w:sz w:val="24"/>
                <w:szCs w:val="24"/>
              </w:rPr>
            </w:pPr>
            <w:r w:rsidRPr="00AE3F1B">
              <w:rPr>
                <w:rFonts w:ascii="Garamond" w:eastAsia="Calibri" w:hAnsi="Garamond" w:cs="Calibri"/>
                <w:sz w:val="24"/>
                <w:szCs w:val="24"/>
              </w:rPr>
              <w:t>o.o. przyjmuje swoje dane),</w:t>
            </w:r>
          </w:p>
        </w:tc>
      </w:tr>
      <w:tr w:rsidR="00C648AA" w:rsidRPr="00AE3F1B" w14:paraId="34AFD590" w14:textId="77777777" w:rsidTr="00CA65D1">
        <w:trPr>
          <w:trHeight w:val="321"/>
        </w:trPr>
        <w:tc>
          <w:tcPr>
            <w:tcW w:w="1278" w:type="dxa"/>
            <w:tcBorders>
              <w:top w:val="single" w:sz="2" w:space="0" w:color="000000"/>
              <w:left w:val="single" w:sz="2" w:space="0" w:color="000000"/>
              <w:bottom w:val="single" w:sz="2" w:space="0" w:color="000000"/>
              <w:right w:val="single" w:sz="2" w:space="0" w:color="000000"/>
            </w:tcBorders>
            <w:vAlign w:val="center"/>
          </w:tcPr>
          <w:p w14:paraId="184DE8D1" w14:textId="77777777" w:rsidR="00C648AA" w:rsidRPr="00AE3F1B" w:rsidRDefault="00C648AA" w:rsidP="00175586">
            <w:pPr>
              <w:spacing w:line="259" w:lineRule="auto"/>
              <w:ind w:left="567" w:right="-3" w:hanging="567"/>
              <w:jc w:val="center"/>
              <w:rPr>
                <w:rFonts w:ascii="Garamond" w:hAnsi="Garamond"/>
                <w:sz w:val="24"/>
                <w:szCs w:val="24"/>
              </w:rPr>
            </w:pPr>
            <w:r w:rsidRPr="00AE3F1B">
              <w:rPr>
                <w:rFonts w:ascii="Garamond" w:eastAsia="Calibri" w:hAnsi="Garamond" w:cs="Calibri"/>
                <w:sz w:val="24"/>
                <w:szCs w:val="24"/>
              </w:rPr>
              <w:t>6.</w:t>
            </w:r>
          </w:p>
        </w:tc>
        <w:tc>
          <w:tcPr>
            <w:tcW w:w="8492" w:type="dxa"/>
            <w:tcBorders>
              <w:top w:val="single" w:sz="2" w:space="0" w:color="000000"/>
              <w:left w:val="single" w:sz="2" w:space="0" w:color="000000"/>
              <w:bottom w:val="single" w:sz="2" w:space="0" w:color="000000"/>
              <w:right w:val="single" w:sz="2" w:space="0" w:color="000000"/>
            </w:tcBorders>
          </w:tcPr>
          <w:p w14:paraId="7FE95005" w14:textId="77777777" w:rsidR="00C648AA" w:rsidRPr="00AE3F1B" w:rsidRDefault="00C648AA" w:rsidP="00175586">
            <w:pPr>
              <w:spacing w:line="259" w:lineRule="auto"/>
              <w:ind w:left="567" w:right="-3" w:hanging="567"/>
              <w:jc w:val="left"/>
              <w:rPr>
                <w:rFonts w:ascii="Garamond" w:hAnsi="Garamond"/>
                <w:sz w:val="24"/>
                <w:szCs w:val="24"/>
              </w:rPr>
            </w:pPr>
            <w:r w:rsidRPr="00AE3F1B">
              <w:rPr>
                <w:rFonts w:ascii="Garamond" w:eastAsia="Calibri" w:hAnsi="Garamond" w:cs="Calibri"/>
                <w:sz w:val="24"/>
                <w:szCs w:val="24"/>
              </w:rPr>
              <w:t>Numer umowy sprzedaży u Sprzedawcy.</w:t>
            </w:r>
          </w:p>
        </w:tc>
      </w:tr>
      <w:tr w:rsidR="00C648AA" w:rsidRPr="00AE3F1B" w14:paraId="4A94CC98" w14:textId="77777777" w:rsidTr="00CA65D1">
        <w:trPr>
          <w:trHeight w:val="331"/>
        </w:trPr>
        <w:tc>
          <w:tcPr>
            <w:tcW w:w="1278" w:type="dxa"/>
            <w:tcBorders>
              <w:top w:val="single" w:sz="2" w:space="0" w:color="000000"/>
              <w:left w:val="single" w:sz="2" w:space="0" w:color="000000"/>
              <w:bottom w:val="single" w:sz="2" w:space="0" w:color="000000"/>
              <w:right w:val="single" w:sz="2" w:space="0" w:color="000000"/>
            </w:tcBorders>
            <w:vAlign w:val="center"/>
          </w:tcPr>
          <w:p w14:paraId="58A0D7FE" w14:textId="77777777" w:rsidR="00C648AA" w:rsidRPr="00AE3F1B" w:rsidRDefault="00C648AA" w:rsidP="00175586">
            <w:pPr>
              <w:spacing w:line="259" w:lineRule="auto"/>
              <w:ind w:left="567" w:right="-3" w:hanging="567"/>
              <w:jc w:val="center"/>
              <w:rPr>
                <w:rFonts w:ascii="Garamond" w:hAnsi="Garamond"/>
                <w:sz w:val="24"/>
                <w:szCs w:val="24"/>
              </w:rPr>
            </w:pPr>
            <w:r w:rsidRPr="00AE3F1B">
              <w:rPr>
                <w:rFonts w:ascii="Garamond" w:eastAsia="Calibri" w:hAnsi="Garamond" w:cs="Calibri"/>
                <w:sz w:val="24"/>
                <w:szCs w:val="24"/>
              </w:rPr>
              <w:t>7.</w:t>
            </w:r>
          </w:p>
        </w:tc>
        <w:tc>
          <w:tcPr>
            <w:tcW w:w="8492" w:type="dxa"/>
            <w:tcBorders>
              <w:top w:val="single" w:sz="2" w:space="0" w:color="000000"/>
              <w:left w:val="single" w:sz="2" w:space="0" w:color="000000"/>
              <w:bottom w:val="single" w:sz="2" w:space="0" w:color="000000"/>
              <w:right w:val="single" w:sz="2" w:space="0" w:color="000000"/>
            </w:tcBorders>
          </w:tcPr>
          <w:p w14:paraId="2D8B0D95" w14:textId="77777777" w:rsidR="00C648AA" w:rsidRPr="00AE3F1B" w:rsidRDefault="00C648AA" w:rsidP="00175586">
            <w:pPr>
              <w:spacing w:line="259" w:lineRule="auto"/>
              <w:ind w:left="567" w:right="-3" w:hanging="567"/>
              <w:jc w:val="left"/>
              <w:rPr>
                <w:rFonts w:ascii="Garamond" w:hAnsi="Garamond"/>
                <w:sz w:val="24"/>
                <w:szCs w:val="24"/>
              </w:rPr>
            </w:pPr>
            <w:r w:rsidRPr="00AE3F1B">
              <w:rPr>
                <w:rFonts w:ascii="Garamond" w:eastAsia="Calibri" w:hAnsi="Garamond" w:cs="Calibri"/>
                <w:sz w:val="24"/>
                <w:szCs w:val="24"/>
              </w:rPr>
              <w:t>Okres obowiązywania umowy Sprzedaży.</w:t>
            </w:r>
          </w:p>
        </w:tc>
      </w:tr>
    </w:tbl>
    <w:tbl>
      <w:tblPr>
        <w:tblStyle w:val="TableGrid"/>
        <w:tblpPr w:vertAnchor="text" w:tblpX="120" w:tblpY="156"/>
        <w:tblOverlap w:val="never"/>
        <w:tblW w:w="9728" w:type="dxa"/>
        <w:tblInd w:w="0" w:type="dxa"/>
        <w:tblCellMar>
          <w:left w:w="89" w:type="dxa"/>
          <w:right w:w="33" w:type="dxa"/>
        </w:tblCellMar>
        <w:tblLook w:val="04A0" w:firstRow="1" w:lastRow="0" w:firstColumn="1" w:lastColumn="0" w:noHBand="0" w:noVBand="1"/>
      </w:tblPr>
      <w:tblGrid>
        <w:gridCol w:w="1273"/>
        <w:gridCol w:w="8455"/>
      </w:tblGrid>
      <w:tr w:rsidR="00CA65D1" w:rsidRPr="00AE3F1B" w14:paraId="15013713" w14:textId="77777777" w:rsidTr="00BE3DC0">
        <w:trPr>
          <w:trHeight w:val="2553"/>
        </w:trPr>
        <w:tc>
          <w:tcPr>
            <w:tcW w:w="1273" w:type="dxa"/>
            <w:tcBorders>
              <w:top w:val="single" w:sz="2" w:space="0" w:color="000000"/>
              <w:left w:val="single" w:sz="2" w:space="0" w:color="000000"/>
              <w:right w:val="single" w:sz="2" w:space="0" w:color="000000"/>
            </w:tcBorders>
            <w:vAlign w:val="center"/>
          </w:tcPr>
          <w:p w14:paraId="4979B74A" w14:textId="77777777" w:rsidR="00CA65D1" w:rsidRPr="00AE3F1B" w:rsidRDefault="00CA65D1" w:rsidP="00175586">
            <w:pPr>
              <w:spacing w:line="259" w:lineRule="auto"/>
              <w:ind w:left="567" w:right="-3" w:hanging="567"/>
              <w:jc w:val="center"/>
              <w:rPr>
                <w:rFonts w:ascii="Garamond" w:hAnsi="Garamond"/>
                <w:sz w:val="24"/>
                <w:szCs w:val="24"/>
              </w:rPr>
            </w:pPr>
            <w:r w:rsidRPr="00AE3F1B">
              <w:rPr>
                <w:rFonts w:ascii="Garamond" w:eastAsia="Calibri" w:hAnsi="Garamond" w:cs="Calibri"/>
                <w:sz w:val="24"/>
                <w:szCs w:val="24"/>
              </w:rPr>
              <w:t>8.</w:t>
            </w:r>
          </w:p>
        </w:tc>
        <w:tc>
          <w:tcPr>
            <w:tcW w:w="8455" w:type="dxa"/>
            <w:tcBorders>
              <w:top w:val="single" w:sz="2" w:space="0" w:color="000000"/>
              <w:left w:val="single" w:sz="2" w:space="0" w:color="000000"/>
              <w:right w:val="single" w:sz="2" w:space="0" w:color="000000"/>
            </w:tcBorders>
          </w:tcPr>
          <w:p w14:paraId="5D796414" w14:textId="77777777" w:rsidR="00CA65D1" w:rsidRPr="00AE3F1B" w:rsidRDefault="00CA65D1" w:rsidP="000A024C">
            <w:pPr>
              <w:spacing w:line="216" w:lineRule="auto"/>
              <w:ind w:left="49" w:right="-3" w:hanging="49"/>
              <w:jc w:val="left"/>
              <w:rPr>
                <w:rFonts w:ascii="Garamond" w:hAnsi="Garamond"/>
                <w:sz w:val="24"/>
                <w:szCs w:val="24"/>
              </w:rPr>
            </w:pPr>
            <w:r w:rsidRPr="00AE3F1B">
              <w:rPr>
                <w:rFonts w:ascii="Garamond" w:eastAsia="Calibri" w:hAnsi="Garamond" w:cs="Calibri"/>
                <w:sz w:val="24"/>
                <w:szCs w:val="24"/>
              </w:rPr>
              <w:t xml:space="preserve">Planowana średnioroczną ilość energii elektrycznej objętej umową sprzedaży w podziale na poszczególne punkty PPE lub w przypadku umów zawartych na okres krótszy niż rok planowaną ilość energii elektrycznej objętą umową w MWh, z dokładnością </w:t>
            </w:r>
            <w:r w:rsidRPr="00AE3F1B">
              <w:rPr>
                <w:rFonts w:ascii="Garamond" w:eastAsia="Calibri" w:hAnsi="Garamond" w:cs="Calibri"/>
                <w:sz w:val="24"/>
                <w:szCs w:val="24"/>
              </w:rPr>
              <w:br/>
              <w:t xml:space="preserve">do 0,001MWh (w przypadku, gdy poszczególne punkty PPE są rozliczane w oparciu o standardowe profile zużycia i są rozliczane w różnych grupach taryfowych ID Sp. z o.o., </w:t>
            </w:r>
            <w:r w:rsidRPr="00AE3F1B">
              <w:rPr>
                <w:rFonts w:ascii="Garamond" w:eastAsia="Calibri" w:hAnsi="Garamond" w:cs="Calibri"/>
                <w:sz w:val="24"/>
                <w:szCs w:val="24"/>
              </w:rPr>
              <w:br/>
              <w:t>a także o ile jest to wymagane przez ID Sp. z o.o., również w podziale na zagregowane dla danego profilu grupy  PPE rozliczane w oparciu o te profile) — w przypadku nie podania tej wartości zostanie ona określona przez ID Sp. z o.o. i traktowana według takich samych zasad jak podana przez odbiorcę i/lub Sprzedawcę. W takim przypadku ID Sp. z o.o. nie ponosi żadnej odpowiedzialności za skutki określenia tej wartości,</w:t>
            </w:r>
          </w:p>
        </w:tc>
      </w:tr>
      <w:tr w:rsidR="00CA65D1" w:rsidRPr="00AE3F1B" w14:paraId="5256E018" w14:textId="77777777" w:rsidTr="00BE3DC0">
        <w:trPr>
          <w:trHeight w:val="326"/>
        </w:trPr>
        <w:tc>
          <w:tcPr>
            <w:tcW w:w="1273" w:type="dxa"/>
            <w:tcBorders>
              <w:top w:val="single" w:sz="2" w:space="0" w:color="000000"/>
              <w:left w:val="single" w:sz="2" w:space="0" w:color="000000"/>
              <w:bottom w:val="single" w:sz="2" w:space="0" w:color="000000"/>
              <w:right w:val="single" w:sz="2" w:space="0" w:color="000000"/>
            </w:tcBorders>
            <w:vAlign w:val="center"/>
          </w:tcPr>
          <w:p w14:paraId="6AAA8547" w14:textId="77777777" w:rsidR="00CA65D1" w:rsidRPr="00AE3F1B" w:rsidRDefault="00CA65D1" w:rsidP="00175586">
            <w:pPr>
              <w:spacing w:line="259" w:lineRule="auto"/>
              <w:ind w:left="567" w:right="-3" w:hanging="567"/>
              <w:jc w:val="center"/>
              <w:rPr>
                <w:rFonts w:ascii="Garamond" w:hAnsi="Garamond"/>
                <w:sz w:val="24"/>
                <w:szCs w:val="24"/>
              </w:rPr>
            </w:pPr>
            <w:r w:rsidRPr="00AE3F1B">
              <w:rPr>
                <w:rFonts w:ascii="Garamond" w:eastAsia="Calibri" w:hAnsi="Garamond" w:cs="Calibri"/>
                <w:sz w:val="24"/>
                <w:szCs w:val="24"/>
              </w:rPr>
              <w:t>9.</w:t>
            </w:r>
          </w:p>
        </w:tc>
        <w:tc>
          <w:tcPr>
            <w:tcW w:w="8455" w:type="dxa"/>
            <w:tcBorders>
              <w:top w:val="single" w:sz="2" w:space="0" w:color="000000"/>
              <w:left w:val="single" w:sz="2" w:space="0" w:color="000000"/>
              <w:bottom w:val="single" w:sz="2" w:space="0" w:color="000000"/>
              <w:right w:val="single" w:sz="2" w:space="0" w:color="000000"/>
            </w:tcBorders>
          </w:tcPr>
          <w:p w14:paraId="2AC7E988" w14:textId="77777777" w:rsidR="00CA65D1" w:rsidRPr="00AE3F1B" w:rsidRDefault="00CA65D1" w:rsidP="00175586">
            <w:pPr>
              <w:spacing w:line="259" w:lineRule="auto"/>
              <w:ind w:left="567" w:right="-3" w:hanging="567"/>
              <w:jc w:val="left"/>
              <w:rPr>
                <w:rFonts w:ascii="Garamond" w:hAnsi="Garamond"/>
                <w:sz w:val="24"/>
                <w:szCs w:val="24"/>
              </w:rPr>
            </w:pPr>
            <w:r w:rsidRPr="00AE3F1B">
              <w:rPr>
                <w:rFonts w:ascii="Garamond" w:eastAsia="Calibri" w:hAnsi="Garamond" w:cs="Calibri"/>
                <w:sz w:val="24"/>
                <w:szCs w:val="24"/>
              </w:rPr>
              <w:t>Kod MB do którego ma być przypisany URD.</w:t>
            </w:r>
          </w:p>
        </w:tc>
      </w:tr>
      <w:tr w:rsidR="00CA65D1" w:rsidRPr="00AE3F1B" w14:paraId="1265346E" w14:textId="77777777" w:rsidTr="00BE3DC0">
        <w:trPr>
          <w:trHeight w:val="331"/>
        </w:trPr>
        <w:tc>
          <w:tcPr>
            <w:tcW w:w="1273" w:type="dxa"/>
            <w:tcBorders>
              <w:top w:val="single" w:sz="2" w:space="0" w:color="000000"/>
              <w:left w:val="single" w:sz="2" w:space="0" w:color="000000"/>
              <w:bottom w:val="single" w:sz="2" w:space="0" w:color="000000"/>
              <w:right w:val="single" w:sz="2" w:space="0" w:color="000000"/>
            </w:tcBorders>
            <w:vAlign w:val="center"/>
          </w:tcPr>
          <w:p w14:paraId="69DFE2D1" w14:textId="77777777" w:rsidR="00CA65D1" w:rsidRPr="00AE3F1B" w:rsidRDefault="00CA65D1" w:rsidP="00175586">
            <w:pPr>
              <w:spacing w:line="259" w:lineRule="auto"/>
              <w:ind w:left="567" w:right="-3" w:hanging="567"/>
              <w:jc w:val="center"/>
              <w:rPr>
                <w:rFonts w:ascii="Garamond" w:hAnsi="Garamond"/>
                <w:sz w:val="24"/>
                <w:szCs w:val="24"/>
              </w:rPr>
            </w:pPr>
            <w:r w:rsidRPr="00AE3F1B">
              <w:rPr>
                <w:rFonts w:ascii="Garamond" w:eastAsia="Calibri" w:hAnsi="Garamond" w:cs="Calibri"/>
                <w:sz w:val="24"/>
                <w:szCs w:val="24"/>
              </w:rPr>
              <w:t>10.</w:t>
            </w:r>
          </w:p>
        </w:tc>
        <w:tc>
          <w:tcPr>
            <w:tcW w:w="8455" w:type="dxa"/>
            <w:tcBorders>
              <w:top w:val="single" w:sz="2" w:space="0" w:color="000000"/>
              <w:left w:val="single" w:sz="2" w:space="0" w:color="000000"/>
              <w:bottom w:val="single" w:sz="2" w:space="0" w:color="000000"/>
              <w:right w:val="single" w:sz="2" w:space="0" w:color="000000"/>
            </w:tcBorders>
          </w:tcPr>
          <w:p w14:paraId="4D0D4D8F" w14:textId="77777777" w:rsidR="00CA65D1" w:rsidRPr="00AE3F1B" w:rsidRDefault="00CA65D1" w:rsidP="00175586">
            <w:pPr>
              <w:spacing w:line="259" w:lineRule="auto"/>
              <w:ind w:left="567" w:right="-3" w:hanging="567"/>
              <w:jc w:val="left"/>
              <w:rPr>
                <w:rFonts w:ascii="Garamond" w:hAnsi="Garamond"/>
                <w:sz w:val="24"/>
                <w:szCs w:val="24"/>
              </w:rPr>
            </w:pPr>
            <w:r w:rsidRPr="00AE3F1B">
              <w:rPr>
                <w:rFonts w:ascii="Garamond" w:eastAsia="Calibri" w:hAnsi="Garamond" w:cs="Calibri"/>
                <w:sz w:val="24"/>
                <w:szCs w:val="24"/>
              </w:rPr>
              <w:t>Kod MDD.</w:t>
            </w:r>
          </w:p>
        </w:tc>
      </w:tr>
      <w:tr w:rsidR="00CA65D1" w:rsidRPr="00AE3F1B" w14:paraId="0B139E18" w14:textId="77777777" w:rsidTr="00BE3DC0">
        <w:trPr>
          <w:trHeight w:val="324"/>
        </w:trPr>
        <w:tc>
          <w:tcPr>
            <w:tcW w:w="1273" w:type="dxa"/>
            <w:tcBorders>
              <w:top w:val="single" w:sz="2" w:space="0" w:color="000000"/>
              <w:left w:val="single" w:sz="2" w:space="0" w:color="000000"/>
              <w:bottom w:val="single" w:sz="2" w:space="0" w:color="000000"/>
              <w:right w:val="single" w:sz="2" w:space="0" w:color="000000"/>
            </w:tcBorders>
            <w:vAlign w:val="center"/>
          </w:tcPr>
          <w:p w14:paraId="4F990C65" w14:textId="77777777" w:rsidR="00CA65D1" w:rsidRPr="00AE3F1B" w:rsidRDefault="00CA65D1" w:rsidP="00175586">
            <w:pPr>
              <w:spacing w:line="259" w:lineRule="auto"/>
              <w:ind w:left="567" w:right="-3" w:hanging="567"/>
              <w:jc w:val="center"/>
              <w:rPr>
                <w:rFonts w:ascii="Garamond" w:hAnsi="Garamond"/>
                <w:sz w:val="24"/>
                <w:szCs w:val="24"/>
              </w:rPr>
            </w:pPr>
            <w:r w:rsidRPr="00AE3F1B">
              <w:rPr>
                <w:rFonts w:ascii="Garamond" w:eastAsia="Calibri" w:hAnsi="Garamond" w:cs="Calibri"/>
                <w:sz w:val="24"/>
                <w:szCs w:val="24"/>
              </w:rPr>
              <w:t>11.</w:t>
            </w:r>
          </w:p>
        </w:tc>
        <w:tc>
          <w:tcPr>
            <w:tcW w:w="8455" w:type="dxa"/>
            <w:tcBorders>
              <w:top w:val="single" w:sz="2" w:space="0" w:color="000000"/>
              <w:left w:val="single" w:sz="2" w:space="0" w:color="000000"/>
              <w:bottom w:val="single" w:sz="2" w:space="0" w:color="000000"/>
              <w:right w:val="single" w:sz="2" w:space="0" w:color="000000"/>
            </w:tcBorders>
          </w:tcPr>
          <w:p w14:paraId="3D7D4D84" w14:textId="77777777" w:rsidR="00CA65D1" w:rsidRPr="00AE3F1B" w:rsidRDefault="00CA65D1" w:rsidP="00175586">
            <w:pPr>
              <w:spacing w:line="259" w:lineRule="auto"/>
              <w:ind w:left="567" w:right="-3" w:hanging="567"/>
              <w:jc w:val="left"/>
              <w:rPr>
                <w:rFonts w:ascii="Garamond" w:hAnsi="Garamond"/>
                <w:sz w:val="24"/>
                <w:szCs w:val="24"/>
              </w:rPr>
            </w:pPr>
            <w:r w:rsidRPr="00AE3F1B">
              <w:rPr>
                <w:rFonts w:ascii="Garamond" w:eastAsia="Calibri" w:hAnsi="Garamond" w:cs="Calibri"/>
                <w:sz w:val="24"/>
                <w:szCs w:val="24"/>
              </w:rPr>
              <w:t>Nazwę dotychczasowego Sprzedawcy.</w:t>
            </w:r>
          </w:p>
        </w:tc>
      </w:tr>
      <w:tr w:rsidR="00CA65D1" w:rsidRPr="00AE3F1B" w14:paraId="08ECA27E" w14:textId="77777777" w:rsidTr="00BE3DC0">
        <w:trPr>
          <w:trHeight w:val="561"/>
        </w:trPr>
        <w:tc>
          <w:tcPr>
            <w:tcW w:w="1273" w:type="dxa"/>
            <w:tcBorders>
              <w:top w:val="single" w:sz="2" w:space="0" w:color="000000"/>
              <w:left w:val="single" w:sz="2" w:space="0" w:color="000000"/>
              <w:bottom w:val="single" w:sz="2" w:space="0" w:color="000000"/>
              <w:right w:val="single" w:sz="2" w:space="0" w:color="000000"/>
            </w:tcBorders>
            <w:vAlign w:val="center"/>
          </w:tcPr>
          <w:p w14:paraId="0AA4A9BB" w14:textId="77777777" w:rsidR="00CA65D1" w:rsidRPr="00AE3F1B" w:rsidRDefault="00CA65D1" w:rsidP="00175586">
            <w:pPr>
              <w:spacing w:line="259" w:lineRule="auto"/>
              <w:ind w:left="567" w:right="-3" w:hanging="567"/>
              <w:jc w:val="center"/>
              <w:rPr>
                <w:rFonts w:ascii="Garamond" w:hAnsi="Garamond"/>
                <w:sz w:val="24"/>
                <w:szCs w:val="24"/>
              </w:rPr>
            </w:pPr>
            <w:r w:rsidRPr="00AE3F1B">
              <w:rPr>
                <w:rFonts w:ascii="Garamond" w:eastAsia="Calibri" w:hAnsi="Garamond" w:cs="Calibri"/>
                <w:sz w:val="24"/>
                <w:szCs w:val="24"/>
              </w:rPr>
              <w:t>12.</w:t>
            </w:r>
          </w:p>
        </w:tc>
        <w:tc>
          <w:tcPr>
            <w:tcW w:w="8455" w:type="dxa"/>
            <w:tcBorders>
              <w:top w:val="single" w:sz="2" w:space="0" w:color="000000"/>
              <w:left w:val="single" w:sz="2" w:space="0" w:color="000000"/>
              <w:bottom w:val="single" w:sz="2" w:space="0" w:color="000000"/>
              <w:right w:val="single" w:sz="2" w:space="0" w:color="000000"/>
            </w:tcBorders>
          </w:tcPr>
          <w:p w14:paraId="6A102873" w14:textId="77777777" w:rsidR="00CA65D1" w:rsidRPr="00AE3F1B" w:rsidRDefault="00CA65D1" w:rsidP="000A024C">
            <w:pPr>
              <w:spacing w:line="259" w:lineRule="auto"/>
              <w:ind w:left="49" w:right="-3" w:hanging="49"/>
              <w:rPr>
                <w:rFonts w:ascii="Garamond" w:hAnsi="Garamond"/>
                <w:sz w:val="24"/>
                <w:szCs w:val="24"/>
              </w:rPr>
            </w:pPr>
            <w:r w:rsidRPr="00AE3F1B">
              <w:rPr>
                <w:rFonts w:ascii="Garamond" w:eastAsia="Calibri" w:hAnsi="Garamond" w:cs="Calibri"/>
                <w:sz w:val="24"/>
                <w:szCs w:val="24"/>
              </w:rPr>
              <w:t>Oświadczenie URD, iż wyraża zgodę na udostępnianie swoich danych pomiarowych przez ID Sp. z o.o. do Sprzedawcy oraz POB Sprzedawcę</w:t>
            </w:r>
          </w:p>
        </w:tc>
      </w:tr>
      <w:tr w:rsidR="00CA65D1" w:rsidRPr="00AE3F1B" w14:paraId="058A1D05" w14:textId="77777777" w:rsidTr="00BE3DC0">
        <w:trPr>
          <w:trHeight w:val="566"/>
        </w:trPr>
        <w:tc>
          <w:tcPr>
            <w:tcW w:w="1273" w:type="dxa"/>
            <w:tcBorders>
              <w:top w:val="single" w:sz="2" w:space="0" w:color="000000"/>
              <w:left w:val="single" w:sz="2" w:space="0" w:color="000000"/>
              <w:bottom w:val="single" w:sz="2" w:space="0" w:color="000000"/>
              <w:right w:val="single" w:sz="2" w:space="0" w:color="000000"/>
            </w:tcBorders>
            <w:vAlign w:val="center"/>
          </w:tcPr>
          <w:p w14:paraId="79225FA9" w14:textId="77777777" w:rsidR="00CA65D1" w:rsidRPr="00AE3F1B" w:rsidRDefault="00CA65D1" w:rsidP="00175586">
            <w:pPr>
              <w:spacing w:line="259" w:lineRule="auto"/>
              <w:ind w:left="567" w:right="-3" w:hanging="567"/>
              <w:jc w:val="center"/>
              <w:rPr>
                <w:rFonts w:ascii="Garamond" w:hAnsi="Garamond"/>
                <w:sz w:val="24"/>
                <w:szCs w:val="24"/>
              </w:rPr>
            </w:pPr>
            <w:r w:rsidRPr="00AE3F1B">
              <w:rPr>
                <w:rFonts w:ascii="Garamond" w:eastAsia="Calibri" w:hAnsi="Garamond" w:cs="Calibri"/>
                <w:sz w:val="24"/>
                <w:szCs w:val="24"/>
              </w:rPr>
              <w:t>13.</w:t>
            </w:r>
          </w:p>
        </w:tc>
        <w:tc>
          <w:tcPr>
            <w:tcW w:w="8455" w:type="dxa"/>
            <w:tcBorders>
              <w:top w:val="single" w:sz="2" w:space="0" w:color="000000"/>
              <w:left w:val="single" w:sz="2" w:space="0" w:color="000000"/>
              <w:bottom w:val="single" w:sz="2" w:space="0" w:color="000000"/>
              <w:right w:val="single" w:sz="2" w:space="0" w:color="000000"/>
            </w:tcBorders>
          </w:tcPr>
          <w:p w14:paraId="36BCD6D3" w14:textId="77777777" w:rsidR="00CA65D1" w:rsidRPr="00AE3F1B" w:rsidRDefault="00CA65D1" w:rsidP="000A024C">
            <w:pPr>
              <w:spacing w:line="259" w:lineRule="auto"/>
              <w:ind w:left="49" w:right="-3" w:hanging="49"/>
              <w:rPr>
                <w:rFonts w:ascii="Garamond" w:hAnsi="Garamond"/>
                <w:sz w:val="24"/>
                <w:szCs w:val="24"/>
              </w:rPr>
            </w:pPr>
            <w:r w:rsidRPr="00AE3F1B">
              <w:rPr>
                <w:rFonts w:ascii="Garamond" w:eastAsia="Calibri" w:hAnsi="Garamond" w:cs="Calibri"/>
                <w:sz w:val="24"/>
                <w:szCs w:val="24"/>
              </w:rPr>
              <w:t>Oświadczenie URD oraz Sprzedawcy, iż dane i informacje zawarte w formularzu powiadomienia są zgodne ze stanem faktycznym,</w:t>
            </w:r>
          </w:p>
        </w:tc>
      </w:tr>
      <w:tr w:rsidR="00CA65D1" w:rsidRPr="00AE3F1B" w14:paraId="5CF2371E" w14:textId="77777777" w:rsidTr="00BE3DC0">
        <w:trPr>
          <w:trHeight w:val="837"/>
        </w:trPr>
        <w:tc>
          <w:tcPr>
            <w:tcW w:w="1273" w:type="dxa"/>
            <w:tcBorders>
              <w:top w:val="single" w:sz="2" w:space="0" w:color="000000"/>
              <w:left w:val="single" w:sz="2" w:space="0" w:color="000000"/>
              <w:bottom w:val="single" w:sz="2" w:space="0" w:color="000000"/>
              <w:right w:val="single" w:sz="2" w:space="0" w:color="000000"/>
            </w:tcBorders>
            <w:vAlign w:val="center"/>
          </w:tcPr>
          <w:p w14:paraId="1E87FD6B" w14:textId="77777777" w:rsidR="00CA65D1" w:rsidRPr="00AE3F1B" w:rsidRDefault="00CA65D1" w:rsidP="00175586">
            <w:pPr>
              <w:spacing w:after="160" w:line="259" w:lineRule="auto"/>
              <w:ind w:left="567" w:right="-3" w:hanging="567"/>
              <w:jc w:val="center"/>
              <w:rPr>
                <w:rFonts w:ascii="Garamond" w:hAnsi="Garamond"/>
                <w:sz w:val="24"/>
                <w:szCs w:val="24"/>
              </w:rPr>
            </w:pPr>
          </w:p>
        </w:tc>
        <w:tc>
          <w:tcPr>
            <w:tcW w:w="8455" w:type="dxa"/>
            <w:tcBorders>
              <w:top w:val="single" w:sz="2" w:space="0" w:color="000000"/>
              <w:left w:val="single" w:sz="2" w:space="0" w:color="000000"/>
              <w:bottom w:val="single" w:sz="2" w:space="0" w:color="000000"/>
              <w:right w:val="single" w:sz="2" w:space="0" w:color="000000"/>
            </w:tcBorders>
          </w:tcPr>
          <w:p w14:paraId="6211B8FA" w14:textId="77777777" w:rsidR="00CA65D1" w:rsidRPr="00AE3F1B" w:rsidRDefault="00CA65D1" w:rsidP="000A024C">
            <w:pPr>
              <w:spacing w:line="259" w:lineRule="auto"/>
              <w:ind w:right="-3"/>
              <w:rPr>
                <w:rFonts w:ascii="Garamond" w:hAnsi="Garamond"/>
                <w:sz w:val="24"/>
                <w:szCs w:val="24"/>
              </w:rPr>
            </w:pPr>
            <w:r w:rsidRPr="00AE3F1B">
              <w:rPr>
                <w:rFonts w:ascii="Garamond" w:eastAsia="Calibri" w:hAnsi="Garamond" w:cs="Calibri"/>
                <w:sz w:val="24"/>
                <w:szCs w:val="24"/>
              </w:rPr>
              <w:t>Oświadczenie URD, że z określoną datą zakończy się okres obowiązywania umowy sprzedaży energii elektrycznej lub umowy kompleksowej z dotychczasowym sprzedawcą</w:t>
            </w:r>
          </w:p>
        </w:tc>
      </w:tr>
      <w:tr w:rsidR="00CA65D1" w:rsidRPr="00AE3F1B" w14:paraId="427F8609" w14:textId="77777777" w:rsidTr="00BE3DC0">
        <w:trPr>
          <w:trHeight w:val="835"/>
        </w:trPr>
        <w:tc>
          <w:tcPr>
            <w:tcW w:w="1273" w:type="dxa"/>
            <w:tcBorders>
              <w:top w:val="single" w:sz="2" w:space="0" w:color="000000"/>
              <w:left w:val="single" w:sz="2" w:space="0" w:color="000000"/>
              <w:bottom w:val="single" w:sz="2" w:space="0" w:color="000000"/>
              <w:right w:val="single" w:sz="2" w:space="0" w:color="000000"/>
            </w:tcBorders>
            <w:vAlign w:val="center"/>
          </w:tcPr>
          <w:p w14:paraId="5339741B" w14:textId="77777777" w:rsidR="00CA65D1" w:rsidRPr="00AE3F1B" w:rsidRDefault="00CA65D1" w:rsidP="00175586">
            <w:pPr>
              <w:spacing w:line="259" w:lineRule="auto"/>
              <w:ind w:left="567" w:right="-3" w:hanging="567"/>
              <w:jc w:val="center"/>
              <w:rPr>
                <w:rFonts w:ascii="Garamond" w:hAnsi="Garamond"/>
                <w:sz w:val="24"/>
                <w:szCs w:val="24"/>
              </w:rPr>
            </w:pPr>
            <w:r w:rsidRPr="00AE3F1B">
              <w:rPr>
                <w:rFonts w:ascii="Garamond" w:eastAsia="Calibri" w:hAnsi="Garamond" w:cs="Calibri"/>
                <w:sz w:val="24"/>
                <w:szCs w:val="24"/>
              </w:rPr>
              <w:t>15.</w:t>
            </w:r>
          </w:p>
        </w:tc>
        <w:tc>
          <w:tcPr>
            <w:tcW w:w="8455" w:type="dxa"/>
            <w:tcBorders>
              <w:top w:val="single" w:sz="2" w:space="0" w:color="000000"/>
              <w:left w:val="single" w:sz="2" w:space="0" w:color="000000"/>
              <w:bottom w:val="single" w:sz="2" w:space="0" w:color="000000"/>
              <w:right w:val="single" w:sz="2" w:space="0" w:color="000000"/>
            </w:tcBorders>
          </w:tcPr>
          <w:p w14:paraId="181213EE" w14:textId="77777777" w:rsidR="00BE3DC0" w:rsidRDefault="00CA65D1" w:rsidP="000A024C">
            <w:pPr>
              <w:spacing w:line="259" w:lineRule="auto"/>
              <w:ind w:right="-3"/>
              <w:rPr>
                <w:rFonts w:ascii="Garamond" w:eastAsia="Calibri" w:hAnsi="Garamond" w:cs="Calibri"/>
                <w:sz w:val="24"/>
                <w:szCs w:val="24"/>
              </w:rPr>
            </w:pPr>
            <w:r w:rsidRPr="00AE3F1B">
              <w:rPr>
                <w:rFonts w:ascii="Garamond" w:eastAsia="Calibri" w:hAnsi="Garamond" w:cs="Calibri"/>
                <w:sz w:val="24"/>
                <w:szCs w:val="24"/>
              </w:rPr>
              <w:t xml:space="preserve">Oświadczenie URD, że wyraża zgodę na zawarcie przez ID Sp. z o.o., w swoim imieniu </w:t>
            </w:r>
          </w:p>
          <w:p w14:paraId="5E281376" w14:textId="4B3572BD" w:rsidR="00CA65D1" w:rsidRPr="00AE3F1B" w:rsidRDefault="00CA65D1" w:rsidP="000A024C">
            <w:pPr>
              <w:spacing w:line="259" w:lineRule="auto"/>
              <w:ind w:right="-3"/>
              <w:rPr>
                <w:rFonts w:ascii="Garamond" w:hAnsi="Garamond"/>
                <w:sz w:val="24"/>
                <w:szCs w:val="24"/>
              </w:rPr>
            </w:pPr>
            <w:r w:rsidRPr="00AE3F1B">
              <w:rPr>
                <w:rFonts w:ascii="Garamond" w:eastAsia="Calibri" w:hAnsi="Garamond" w:cs="Calibri"/>
                <w:sz w:val="24"/>
                <w:szCs w:val="24"/>
              </w:rPr>
              <w:t xml:space="preserve">i na swoją rzecz, umowy sprzedaży ze sprzedawcą rezerwowym </w:t>
            </w:r>
            <w:r w:rsidR="00BE3DC0" w:rsidRPr="00BE3DC0">
              <w:rPr>
                <w:rFonts w:ascii="Garamond" w:eastAsia="Calibri" w:hAnsi="Garamond" w:cs="Calibri"/>
                <w:sz w:val="24"/>
                <w:szCs w:val="24"/>
              </w:rPr>
              <w:t>wskazanym w IRiESD</w:t>
            </w:r>
          </w:p>
        </w:tc>
      </w:tr>
      <w:tr w:rsidR="00CA65D1" w:rsidRPr="00AE3F1B" w14:paraId="16F42E90" w14:textId="77777777" w:rsidTr="00BE3DC0">
        <w:trPr>
          <w:trHeight w:val="561"/>
        </w:trPr>
        <w:tc>
          <w:tcPr>
            <w:tcW w:w="1273" w:type="dxa"/>
            <w:tcBorders>
              <w:top w:val="single" w:sz="2" w:space="0" w:color="000000"/>
              <w:left w:val="single" w:sz="2" w:space="0" w:color="000000"/>
              <w:bottom w:val="single" w:sz="2" w:space="0" w:color="000000"/>
              <w:right w:val="single" w:sz="2" w:space="0" w:color="000000"/>
            </w:tcBorders>
            <w:vAlign w:val="center"/>
          </w:tcPr>
          <w:p w14:paraId="3145DDE3" w14:textId="77777777" w:rsidR="00CA65D1" w:rsidRPr="00AE3F1B" w:rsidRDefault="00CA65D1" w:rsidP="00175586">
            <w:pPr>
              <w:spacing w:line="259" w:lineRule="auto"/>
              <w:ind w:left="567" w:right="-3" w:hanging="567"/>
              <w:jc w:val="center"/>
              <w:rPr>
                <w:rFonts w:ascii="Garamond" w:hAnsi="Garamond"/>
                <w:sz w:val="24"/>
                <w:szCs w:val="24"/>
              </w:rPr>
            </w:pPr>
            <w:r w:rsidRPr="00AE3F1B">
              <w:rPr>
                <w:rFonts w:ascii="Garamond" w:eastAsia="Calibri" w:hAnsi="Garamond" w:cs="Calibri"/>
                <w:sz w:val="24"/>
                <w:szCs w:val="24"/>
              </w:rPr>
              <w:t>16.</w:t>
            </w:r>
          </w:p>
        </w:tc>
        <w:tc>
          <w:tcPr>
            <w:tcW w:w="8455" w:type="dxa"/>
            <w:tcBorders>
              <w:top w:val="single" w:sz="2" w:space="0" w:color="000000"/>
              <w:left w:val="single" w:sz="2" w:space="0" w:color="000000"/>
              <w:bottom w:val="single" w:sz="2" w:space="0" w:color="000000"/>
              <w:right w:val="single" w:sz="2" w:space="0" w:color="000000"/>
            </w:tcBorders>
          </w:tcPr>
          <w:p w14:paraId="605E2667" w14:textId="3B9967E9" w:rsidR="00CA65D1" w:rsidRPr="00AE3F1B" w:rsidRDefault="00CA65D1" w:rsidP="000A024C">
            <w:pPr>
              <w:spacing w:line="259" w:lineRule="auto"/>
              <w:ind w:left="49" w:right="-3" w:hanging="49"/>
              <w:rPr>
                <w:rFonts w:ascii="Garamond" w:hAnsi="Garamond"/>
                <w:sz w:val="24"/>
                <w:szCs w:val="24"/>
              </w:rPr>
            </w:pPr>
            <w:r w:rsidRPr="00AE3F1B">
              <w:rPr>
                <w:rFonts w:ascii="Garamond" w:eastAsia="Calibri" w:hAnsi="Garamond" w:cs="Calibri"/>
                <w:sz w:val="24"/>
                <w:szCs w:val="24"/>
              </w:rPr>
              <w:t xml:space="preserve">Wniosek URD, o zawarcie/aktualizację umowy o świadczenie usług dystrybucji energii elektrycznej z ID </w:t>
            </w:r>
            <w:r w:rsidR="0077061D" w:rsidRPr="00AE3F1B">
              <w:rPr>
                <w:rFonts w:ascii="Garamond" w:eastAsia="Calibri" w:hAnsi="Garamond" w:cs="Calibri"/>
                <w:sz w:val="24"/>
                <w:szCs w:val="24"/>
              </w:rPr>
              <w:t>S.</w:t>
            </w:r>
            <w:r w:rsidRPr="00AE3F1B">
              <w:rPr>
                <w:rFonts w:ascii="Garamond" w:eastAsia="Calibri" w:hAnsi="Garamond" w:cs="Calibri"/>
                <w:sz w:val="24"/>
                <w:szCs w:val="24"/>
              </w:rPr>
              <w:t xml:space="preserve"> z o.o.,</w:t>
            </w:r>
          </w:p>
        </w:tc>
      </w:tr>
      <w:tr w:rsidR="00CA65D1" w:rsidRPr="00AE3F1B" w14:paraId="4038AEF3" w14:textId="77777777" w:rsidTr="00BE3DC0">
        <w:trPr>
          <w:trHeight w:val="899"/>
        </w:trPr>
        <w:tc>
          <w:tcPr>
            <w:tcW w:w="1273" w:type="dxa"/>
            <w:tcBorders>
              <w:top w:val="single" w:sz="2" w:space="0" w:color="000000"/>
              <w:left w:val="single" w:sz="2" w:space="0" w:color="000000"/>
              <w:bottom w:val="single" w:sz="2" w:space="0" w:color="000000"/>
              <w:right w:val="single" w:sz="2" w:space="0" w:color="000000"/>
            </w:tcBorders>
            <w:vAlign w:val="center"/>
          </w:tcPr>
          <w:p w14:paraId="30AB086E" w14:textId="77777777" w:rsidR="00CA65D1" w:rsidRPr="00AE3F1B" w:rsidRDefault="00CA65D1" w:rsidP="00175586">
            <w:pPr>
              <w:spacing w:line="259" w:lineRule="auto"/>
              <w:ind w:left="567" w:right="-3" w:hanging="567"/>
              <w:jc w:val="center"/>
              <w:rPr>
                <w:rFonts w:ascii="Garamond" w:hAnsi="Garamond"/>
                <w:sz w:val="24"/>
                <w:szCs w:val="24"/>
              </w:rPr>
            </w:pPr>
            <w:r w:rsidRPr="00AE3F1B">
              <w:rPr>
                <w:rFonts w:ascii="Garamond" w:eastAsia="Calibri" w:hAnsi="Garamond" w:cs="Calibri"/>
                <w:sz w:val="24"/>
                <w:szCs w:val="24"/>
              </w:rPr>
              <w:lastRenderedPageBreak/>
              <w:t>17.</w:t>
            </w:r>
          </w:p>
        </w:tc>
        <w:tc>
          <w:tcPr>
            <w:tcW w:w="8455" w:type="dxa"/>
            <w:tcBorders>
              <w:top w:val="single" w:sz="2" w:space="0" w:color="000000"/>
              <w:left w:val="single" w:sz="2" w:space="0" w:color="000000"/>
              <w:bottom w:val="single" w:sz="2" w:space="0" w:color="000000"/>
              <w:right w:val="single" w:sz="2" w:space="0" w:color="000000"/>
            </w:tcBorders>
          </w:tcPr>
          <w:p w14:paraId="2C6F2DB1" w14:textId="77777777" w:rsidR="00CA65D1" w:rsidRPr="00AE3F1B" w:rsidRDefault="00CA65D1" w:rsidP="000A024C">
            <w:pPr>
              <w:spacing w:line="259" w:lineRule="auto"/>
              <w:ind w:left="49" w:right="-3" w:hanging="49"/>
              <w:rPr>
                <w:rFonts w:ascii="Garamond" w:hAnsi="Garamond"/>
                <w:sz w:val="24"/>
                <w:szCs w:val="24"/>
              </w:rPr>
            </w:pPr>
            <w:r w:rsidRPr="00AE3F1B">
              <w:rPr>
                <w:rFonts w:ascii="Garamond" w:eastAsia="Calibri" w:hAnsi="Garamond" w:cs="Calibri"/>
                <w:sz w:val="24"/>
                <w:szCs w:val="24"/>
              </w:rPr>
              <w:t>Dane sprzedawcy rezerwowego takie jak: nazwa, dane teleadresowe, kod nadany przez ID Sp. z o.o. (pozycja wypełniona nieobligatoryjne - w przypadku nie wypełnienia sprzedawcę rezerwowego określa ID Sp. z o.o.),</w:t>
            </w:r>
          </w:p>
        </w:tc>
      </w:tr>
      <w:tr w:rsidR="00CA65D1" w:rsidRPr="00AE3F1B" w14:paraId="700E5DB9" w14:textId="77777777" w:rsidTr="00BE3DC0">
        <w:trPr>
          <w:trHeight w:val="561"/>
        </w:trPr>
        <w:tc>
          <w:tcPr>
            <w:tcW w:w="1273" w:type="dxa"/>
            <w:tcBorders>
              <w:top w:val="single" w:sz="2" w:space="0" w:color="000000"/>
              <w:left w:val="single" w:sz="2" w:space="0" w:color="000000"/>
              <w:bottom w:val="single" w:sz="2" w:space="0" w:color="000000"/>
              <w:right w:val="single" w:sz="2" w:space="0" w:color="000000"/>
            </w:tcBorders>
            <w:vAlign w:val="center"/>
          </w:tcPr>
          <w:p w14:paraId="599C7D56" w14:textId="77777777" w:rsidR="00CA65D1" w:rsidRPr="00AE3F1B" w:rsidRDefault="00CA65D1" w:rsidP="00175586">
            <w:pPr>
              <w:spacing w:line="259" w:lineRule="auto"/>
              <w:ind w:left="567" w:right="-3" w:hanging="567"/>
              <w:jc w:val="center"/>
              <w:rPr>
                <w:rFonts w:ascii="Garamond" w:hAnsi="Garamond"/>
                <w:sz w:val="24"/>
                <w:szCs w:val="24"/>
              </w:rPr>
            </w:pPr>
            <w:r w:rsidRPr="00AE3F1B">
              <w:rPr>
                <w:rFonts w:ascii="Garamond" w:eastAsia="Calibri" w:hAnsi="Garamond" w:cs="Calibri"/>
                <w:sz w:val="24"/>
                <w:szCs w:val="24"/>
              </w:rPr>
              <w:t>18.</w:t>
            </w:r>
          </w:p>
        </w:tc>
        <w:tc>
          <w:tcPr>
            <w:tcW w:w="8455" w:type="dxa"/>
            <w:tcBorders>
              <w:top w:val="single" w:sz="2" w:space="0" w:color="000000"/>
              <w:left w:val="single" w:sz="2" w:space="0" w:color="000000"/>
              <w:bottom w:val="single" w:sz="2" w:space="0" w:color="000000"/>
              <w:right w:val="single" w:sz="2" w:space="0" w:color="000000"/>
            </w:tcBorders>
          </w:tcPr>
          <w:p w14:paraId="63813D02" w14:textId="77777777" w:rsidR="00CA65D1" w:rsidRPr="00AE3F1B" w:rsidRDefault="00CA65D1" w:rsidP="000A024C">
            <w:pPr>
              <w:spacing w:line="259" w:lineRule="auto"/>
              <w:ind w:right="-3" w:firstLine="49"/>
              <w:rPr>
                <w:rFonts w:ascii="Garamond" w:hAnsi="Garamond"/>
                <w:sz w:val="24"/>
                <w:szCs w:val="24"/>
              </w:rPr>
            </w:pPr>
            <w:r w:rsidRPr="00AE3F1B">
              <w:rPr>
                <w:rFonts w:ascii="Garamond" w:eastAsia="Calibri" w:hAnsi="Garamond" w:cs="Calibri"/>
                <w:sz w:val="24"/>
                <w:szCs w:val="24"/>
              </w:rPr>
              <w:t>Oświadczenie URD oraz Sprzedawcy, o wyrażeniu zgody na przetwarzanie danych osobowych zgodnie z obowiązującymi aktami prawnymi,</w:t>
            </w:r>
          </w:p>
        </w:tc>
      </w:tr>
      <w:tr w:rsidR="00CA65D1" w:rsidRPr="00AE3F1B" w14:paraId="047B27B4" w14:textId="77777777" w:rsidTr="00BE3DC0">
        <w:trPr>
          <w:trHeight w:val="561"/>
        </w:trPr>
        <w:tc>
          <w:tcPr>
            <w:tcW w:w="1273" w:type="dxa"/>
            <w:tcBorders>
              <w:top w:val="single" w:sz="2" w:space="0" w:color="000000"/>
              <w:left w:val="single" w:sz="2" w:space="0" w:color="000000"/>
              <w:bottom w:val="single" w:sz="2" w:space="0" w:color="000000"/>
              <w:right w:val="single" w:sz="2" w:space="0" w:color="000000"/>
            </w:tcBorders>
            <w:vAlign w:val="center"/>
          </w:tcPr>
          <w:p w14:paraId="722E86E7" w14:textId="77777777" w:rsidR="00CA65D1" w:rsidRPr="00AE3F1B" w:rsidRDefault="00CA65D1" w:rsidP="00175586">
            <w:pPr>
              <w:spacing w:line="259" w:lineRule="auto"/>
              <w:ind w:left="567" w:right="-3" w:hanging="567"/>
              <w:jc w:val="center"/>
              <w:rPr>
                <w:rFonts w:ascii="Garamond" w:hAnsi="Garamond"/>
                <w:sz w:val="24"/>
                <w:szCs w:val="24"/>
              </w:rPr>
            </w:pPr>
            <w:r w:rsidRPr="00AE3F1B">
              <w:rPr>
                <w:rFonts w:ascii="Garamond" w:eastAsia="Calibri" w:hAnsi="Garamond" w:cs="Calibri"/>
                <w:sz w:val="24"/>
                <w:szCs w:val="24"/>
              </w:rPr>
              <w:t>19.</w:t>
            </w:r>
          </w:p>
        </w:tc>
        <w:tc>
          <w:tcPr>
            <w:tcW w:w="8455" w:type="dxa"/>
            <w:tcBorders>
              <w:top w:val="single" w:sz="2" w:space="0" w:color="000000"/>
              <w:left w:val="single" w:sz="2" w:space="0" w:color="000000"/>
              <w:bottom w:val="single" w:sz="2" w:space="0" w:color="000000"/>
              <w:right w:val="single" w:sz="2" w:space="0" w:color="000000"/>
            </w:tcBorders>
          </w:tcPr>
          <w:p w14:paraId="7DFA4021" w14:textId="77777777" w:rsidR="00CA65D1" w:rsidRPr="00AE3F1B" w:rsidRDefault="00CA65D1" w:rsidP="000A024C">
            <w:pPr>
              <w:spacing w:line="259" w:lineRule="auto"/>
              <w:ind w:right="-3" w:firstLine="49"/>
              <w:rPr>
                <w:rFonts w:ascii="Garamond" w:hAnsi="Garamond"/>
                <w:sz w:val="24"/>
                <w:szCs w:val="24"/>
              </w:rPr>
            </w:pPr>
            <w:r w:rsidRPr="00AE3F1B">
              <w:rPr>
                <w:rFonts w:ascii="Garamond" w:eastAsia="Calibri" w:hAnsi="Garamond" w:cs="Calibri"/>
                <w:sz w:val="24"/>
                <w:szCs w:val="24"/>
              </w:rPr>
              <w:t>Oświadczenie URD oraz Sprzedawcy, że wnioskują o przyjęcie do realizacji zawartej umowy sprzedaży,</w:t>
            </w:r>
          </w:p>
        </w:tc>
      </w:tr>
      <w:tr w:rsidR="00CA65D1" w:rsidRPr="00AE3F1B" w14:paraId="76B90C0F" w14:textId="77777777" w:rsidTr="00BE3DC0">
        <w:trPr>
          <w:trHeight w:val="839"/>
        </w:trPr>
        <w:tc>
          <w:tcPr>
            <w:tcW w:w="1273" w:type="dxa"/>
            <w:tcBorders>
              <w:top w:val="single" w:sz="2" w:space="0" w:color="000000"/>
              <w:left w:val="single" w:sz="2" w:space="0" w:color="000000"/>
              <w:bottom w:val="single" w:sz="2" w:space="0" w:color="000000"/>
              <w:right w:val="single" w:sz="2" w:space="0" w:color="000000"/>
            </w:tcBorders>
            <w:vAlign w:val="center"/>
          </w:tcPr>
          <w:p w14:paraId="03AEE5A8" w14:textId="77777777" w:rsidR="00CA65D1" w:rsidRPr="00AE3F1B" w:rsidRDefault="00CA65D1" w:rsidP="00175586">
            <w:pPr>
              <w:spacing w:line="259" w:lineRule="auto"/>
              <w:ind w:left="567" w:right="-3" w:hanging="567"/>
              <w:jc w:val="center"/>
              <w:rPr>
                <w:rFonts w:ascii="Garamond" w:hAnsi="Garamond"/>
                <w:sz w:val="24"/>
                <w:szCs w:val="24"/>
              </w:rPr>
            </w:pPr>
            <w:r w:rsidRPr="00AE3F1B">
              <w:rPr>
                <w:rFonts w:ascii="Garamond" w:eastAsia="Calibri" w:hAnsi="Garamond" w:cs="Calibri"/>
                <w:sz w:val="24"/>
                <w:szCs w:val="24"/>
              </w:rPr>
              <w:t>20.</w:t>
            </w:r>
          </w:p>
        </w:tc>
        <w:tc>
          <w:tcPr>
            <w:tcW w:w="8455" w:type="dxa"/>
            <w:tcBorders>
              <w:top w:val="single" w:sz="2" w:space="0" w:color="000000"/>
              <w:left w:val="single" w:sz="2" w:space="0" w:color="000000"/>
              <w:bottom w:val="single" w:sz="2" w:space="0" w:color="000000"/>
              <w:right w:val="single" w:sz="2" w:space="0" w:color="000000"/>
            </w:tcBorders>
          </w:tcPr>
          <w:p w14:paraId="67AD1986" w14:textId="77777777" w:rsidR="00CA65D1" w:rsidRPr="00AE3F1B" w:rsidRDefault="00CA65D1" w:rsidP="000A024C">
            <w:pPr>
              <w:spacing w:line="259" w:lineRule="auto"/>
              <w:ind w:left="49" w:right="-3" w:firstLine="49"/>
              <w:rPr>
                <w:rFonts w:ascii="Garamond" w:hAnsi="Garamond"/>
                <w:sz w:val="24"/>
                <w:szCs w:val="24"/>
              </w:rPr>
            </w:pPr>
            <w:r w:rsidRPr="00AE3F1B">
              <w:rPr>
                <w:rFonts w:ascii="Garamond" w:eastAsia="Calibri" w:hAnsi="Garamond" w:cs="Calibri"/>
                <w:sz w:val="24"/>
                <w:szCs w:val="24"/>
              </w:rPr>
              <w:t xml:space="preserve">Informację, iż Sprzedawca jest zobowiązany do powiadomienia dotychczasowego sprzedawcy o planowanej dacie rozpoczęcia realizacji nowej umowy sprzedaży energii </w:t>
            </w:r>
            <w:r w:rsidRPr="00AE3F1B">
              <w:rPr>
                <w:rFonts w:ascii="Garamond" w:eastAsia="Calibri" w:hAnsi="Garamond" w:cs="Calibri"/>
                <w:sz w:val="24"/>
                <w:szCs w:val="24"/>
              </w:rPr>
              <w:br/>
              <w:t>elektrycznej</w:t>
            </w:r>
          </w:p>
        </w:tc>
      </w:tr>
      <w:tr w:rsidR="00CA65D1" w:rsidRPr="00AE3F1B" w14:paraId="4D24EC50" w14:textId="77777777" w:rsidTr="00BE3DC0">
        <w:trPr>
          <w:trHeight w:val="324"/>
        </w:trPr>
        <w:tc>
          <w:tcPr>
            <w:tcW w:w="1273" w:type="dxa"/>
            <w:tcBorders>
              <w:top w:val="single" w:sz="2" w:space="0" w:color="000000"/>
              <w:left w:val="single" w:sz="2" w:space="0" w:color="000000"/>
              <w:bottom w:val="single" w:sz="2" w:space="0" w:color="000000"/>
              <w:right w:val="single" w:sz="2" w:space="0" w:color="000000"/>
            </w:tcBorders>
            <w:vAlign w:val="center"/>
          </w:tcPr>
          <w:p w14:paraId="3410883F" w14:textId="77777777" w:rsidR="00CA65D1" w:rsidRPr="00AE3F1B" w:rsidRDefault="00CA65D1" w:rsidP="00175586">
            <w:pPr>
              <w:spacing w:line="259" w:lineRule="auto"/>
              <w:ind w:left="567" w:right="-3" w:hanging="567"/>
              <w:jc w:val="center"/>
              <w:rPr>
                <w:rFonts w:ascii="Garamond" w:hAnsi="Garamond"/>
                <w:sz w:val="24"/>
                <w:szCs w:val="24"/>
              </w:rPr>
            </w:pPr>
            <w:r w:rsidRPr="00AE3F1B">
              <w:rPr>
                <w:rFonts w:ascii="Garamond" w:eastAsia="Calibri" w:hAnsi="Garamond" w:cs="Calibri"/>
                <w:sz w:val="24"/>
                <w:szCs w:val="24"/>
              </w:rPr>
              <w:t>21.</w:t>
            </w:r>
          </w:p>
        </w:tc>
        <w:tc>
          <w:tcPr>
            <w:tcW w:w="8455" w:type="dxa"/>
            <w:tcBorders>
              <w:top w:val="single" w:sz="2" w:space="0" w:color="000000"/>
              <w:left w:val="single" w:sz="2" w:space="0" w:color="000000"/>
              <w:bottom w:val="single" w:sz="2" w:space="0" w:color="000000"/>
              <w:right w:val="single" w:sz="2" w:space="0" w:color="000000"/>
            </w:tcBorders>
          </w:tcPr>
          <w:p w14:paraId="7947A8D5" w14:textId="77777777" w:rsidR="00CA65D1" w:rsidRPr="00AE3F1B" w:rsidRDefault="00CA65D1" w:rsidP="00175586">
            <w:pPr>
              <w:spacing w:line="259" w:lineRule="auto"/>
              <w:ind w:left="567" w:right="-3" w:hanging="567"/>
              <w:jc w:val="left"/>
              <w:rPr>
                <w:rFonts w:ascii="Garamond" w:hAnsi="Garamond"/>
                <w:sz w:val="24"/>
                <w:szCs w:val="24"/>
              </w:rPr>
            </w:pPr>
            <w:r w:rsidRPr="00AE3F1B">
              <w:rPr>
                <w:rFonts w:ascii="Garamond" w:eastAsia="Calibri" w:hAnsi="Garamond" w:cs="Calibri"/>
                <w:sz w:val="24"/>
                <w:szCs w:val="24"/>
              </w:rPr>
              <w:t>Imię, nazwisko oraz podpisy osób zgłaszających,</w:t>
            </w:r>
          </w:p>
        </w:tc>
      </w:tr>
      <w:tr w:rsidR="00CA65D1" w:rsidRPr="00AE3F1B" w14:paraId="12A3D5A0" w14:textId="77777777" w:rsidTr="00BE3DC0">
        <w:trPr>
          <w:trHeight w:val="557"/>
        </w:trPr>
        <w:tc>
          <w:tcPr>
            <w:tcW w:w="1273" w:type="dxa"/>
            <w:tcBorders>
              <w:top w:val="single" w:sz="2" w:space="0" w:color="000000"/>
              <w:left w:val="single" w:sz="2" w:space="0" w:color="000000"/>
              <w:bottom w:val="single" w:sz="2" w:space="0" w:color="000000"/>
              <w:right w:val="single" w:sz="2" w:space="0" w:color="000000"/>
            </w:tcBorders>
            <w:vAlign w:val="center"/>
          </w:tcPr>
          <w:p w14:paraId="1C8A997F" w14:textId="77777777" w:rsidR="00CA65D1" w:rsidRPr="00AE3F1B" w:rsidRDefault="00CA65D1" w:rsidP="00175586">
            <w:pPr>
              <w:spacing w:line="259" w:lineRule="auto"/>
              <w:ind w:left="567" w:right="-3" w:hanging="567"/>
              <w:jc w:val="center"/>
              <w:rPr>
                <w:rFonts w:ascii="Garamond" w:hAnsi="Garamond"/>
                <w:sz w:val="24"/>
                <w:szCs w:val="24"/>
              </w:rPr>
            </w:pPr>
            <w:r w:rsidRPr="00AE3F1B">
              <w:rPr>
                <w:rFonts w:ascii="Garamond" w:eastAsia="Calibri" w:hAnsi="Garamond" w:cs="Calibri"/>
                <w:sz w:val="24"/>
                <w:szCs w:val="24"/>
              </w:rPr>
              <w:t>22.</w:t>
            </w:r>
          </w:p>
        </w:tc>
        <w:tc>
          <w:tcPr>
            <w:tcW w:w="8455" w:type="dxa"/>
            <w:tcBorders>
              <w:top w:val="single" w:sz="2" w:space="0" w:color="000000"/>
              <w:left w:val="single" w:sz="2" w:space="0" w:color="000000"/>
              <w:bottom w:val="single" w:sz="2" w:space="0" w:color="000000"/>
              <w:right w:val="single" w:sz="2" w:space="0" w:color="000000"/>
            </w:tcBorders>
          </w:tcPr>
          <w:p w14:paraId="0C2F6E36" w14:textId="77777777" w:rsidR="00CA65D1" w:rsidRPr="00AE3F1B" w:rsidRDefault="00CA65D1" w:rsidP="000A024C">
            <w:pPr>
              <w:spacing w:line="259" w:lineRule="auto"/>
              <w:ind w:left="49" w:right="-3" w:firstLine="49"/>
              <w:jc w:val="left"/>
              <w:rPr>
                <w:rFonts w:ascii="Garamond" w:hAnsi="Garamond"/>
                <w:sz w:val="24"/>
                <w:szCs w:val="24"/>
              </w:rPr>
            </w:pPr>
            <w:r w:rsidRPr="00AE3F1B">
              <w:rPr>
                <w:rFonts w:ascii="Garamond" w:eastAsia="Calibri" w:hAnsi="Garamond" w:cs="Calibri"/>
                <w:sz w:val="24"/>
                <w:szCs w:val="24"/>
              </w:rPr>
              <w:t>Informacja o wyniku weryfikacji zgłoszenia dokonanego przez ID sp. z o.o., w tym uzasadnienie negatywnej weryfikacji oraz datę weryfikacji zgłoszenia.</w:t>
            </w:r>
          </w:p>
        </w:tc>
      </w:tr>
    </w:tbl>
    <w:p w14:paraId="0F3CFED1" w14:textId="55C4E186" w:rsidR="00BE269F" w:rsidRPr="00BE269F" w:rsidRDefault="00706665" w:rsidP="00D356CE">
      <w:pPr>
        <w:spacing w:after="524" w:line="312" w:lineRule="auto"/>
        <w:ind w:right="-3"/>
        <w:jc w:val="left"/>
        <w:rPr>
          <w:rFonts w:ascii="Garamond" w:eastAsia="Calibri" w:hAnsi="Garamond" w:cs="Calibri"/>
          <w:b/>
          <w:bCs/>
          <w:sz w:val="24"/>
          <w:szCs w:val="24"/>
        </w:rPr>
      </w:pPr>
      <w:r>
        <w:rPr>
          <w:rFonts w:ascii="Garamond" w:eastAsia="Calibri" w:hAnsi="Garamond" w:cs="Calibri"/>
          <w:b/>
          <w:bCs/>
          <w:sz w:val="24"/>
          <w:szCs w:val="24"/>
        </w:rPr>
        <w:t>Z</w:t>
      </w:r>
      <w:r w:rsidR="00B178FD" w:rsidRPr="00791F8E">
        <w:rPr>
          <w:rFonts w:ascii="Garamond" w:eastAsia="Calibri" w:hAnsi="Garamond" w:cs="Calibri"/>
          <w:b/>
          <w:bCs/>
          <w:sz w:val="24"/>
          <w:szCs w:val="24"/>
        </w:rPr>
        <w:t>AŁĄCZNIK NR 2</w:t>
      </w:r>
    </w:p>
    <w:p w14:paraId="6E3B36C2" w14:textId="1E96158F" w:rsidR="00B178FD" w:rsidRPr="00BE269F" w:rsidRDefault="00B178FD" w:rsidP="00BE269F">
      <w:pPr>
        <w:spacing w:after="524" w:line="312" w:lineRule="auto"/>
        <w:ind w:right="-3"/>
        <w:jc w:val="left"/>
        <w:rPr>
          <w:rFonts w:ascii="Garamond" w:hAnsi="Garamond"/>
          <w:b/>
          <w:bCs/>
          <w:sz w:val="24"/>
          <w:szCs w:val="24"/>
        </w:rPr>
      </w:pPr>
      <w:r w:rsidRPr="00AE3F1B">
        <w:rPr>
          <w:rFonts w:ascii="Garamond" w:eastAsia="Calibri" w:hAnsi="Garamond" w:cs="Calibri"/>
          <w:sz w:val="24"/>
          <w:szCs w:val="24"/>
        </w:rPr>
        <w:t>Lista kodów którymi ID Sp. z o.o. informuje Sprzedawcę o wyniku przeprowadzonej weryfikacji zgłoszonych umów sprzedaży energii elektrycznej.</w:t>
      </w:r>
    </w:p>
    <w:tbl>
      <w:tblPr>
        <w:tblStyle w:val="TableGrid"/>
        <w:tblW w:w="9782" w:type="dxa"/>
        <w:tblInd w:w="144" w:type="dxa"/>
        <w:tblCellMar>
          <w:top w:w="38" w:type="dxa"/>
          <w:left w:w="103" w:type="dxa"/>
          <w:right w:w="55" w:type="dxa"/>
        </w:tblCellMar>
        <w:tblLook w:val="04A0" w:firstRow="1" w:lastRow="0" w:firstColumn="1" w:lastColumn="0" w:noHBand="0" w:noVBand="1"/>
      </w:tblPr>
      <w:tblGrid>
        <w:gridCol w:w="1400"/>
        <w:gridCol w:w="8382"/>
      </w:tblGrid>
      <w:tr w:rsidR="00B178FD" w:rsidRPr="00AE3F1B" w14:paraId="348CB468" w14:textId="77777777" w:rsidTr="00DA12DF">
        <w:trPr>
          <w:trHeight w:val="326"/>
        </w:trPr>
        <w:tc>
          <w:tcPr>
            <w:tcW w:w="1400" w:type="dxa"/>
            <w:tcBorders>
              <w:top w:val="single" w:sz="2" w:space="0" w:color="000000"/>
              <w:left w:val="single" w:sz="2" w:space="0" w:color="000000"/>
              <w:bottom w:val="single" w:sz="2" w:space="0" w:color="000000"/>
              <w:right w:val="single" w:sz="2" w:space="0" w:color="000000"/>
            </w:tcBorders>
          </w:tcPr>
          <w:p w14:paraId="70B098A0" w14:textId="77777777" w:rsidR="00B178FD" w:rsidRPr="00AE3F1B" w:rsidRDefault="00B178FD" w:rsidP="00175586">
            <w:pPr>
              <w:spacing w:line="259" w:lineRule="auto"/>
              <w:ind w:left="567" w:right="-3" w:hanging="567"/>
              <w:jc w:val="left"/>
              <w:rPr>
                <w:rFonts w:ascii="Garamond" w:hAnsi="Garamond"/>
                <w:sz w:val="24"/>
                <w:szCs w:val="24"/>
              </w:rPr>
            </w:pPr>
            <w:r w:rsidRPr="00AE3F1B">
              <w:rPr>
                <w:rFonts w:ascii="Garamond" w:eastAsia="Calibri" w:hAnsi="Garamond" w:cs="Calibri"/>
                <w:sz w:val="24"/>
                <w:szCs w:val="24"/>
              </w:rPr>
              <w:t>Nr kodu</w:t>
            </w:r>
          </w:p>
        </w:tc>
        <w:tc>
          <w:tcPr>
            <w:tcW w:w="8382" w:type="dxa"/>
            <w:tcBorders>
              <w:top w:val="single" w:sz="2" w:space="0" w:color="000000"/>
              <w:left w:val="single" w:sz="2" w:space="0" w:color="000000"/>
              <w:bottom w:val="single" w:sz="2" w:space="0" w:color="000000"/>
              <w:right w:val="single" w:sz="2" w:space="0" w:color="000000"/>
            </w:tcBorders>
          </w:tcPr>
          <w:p w14:paraId="41DC1E8C" w14:textId="77777777" w:rsidR="00B178FD" w:rsidRPr="00AE3F1B" w:rsidRDefault="00B178FD" w:rsidP="00175586">
            <w:pPr>
              <w:spacing w:line="259" w:lineRule="auto"/>
              <w:ind w:left="567" w:right="-3" w:hanging="567"/>
              <w:jc w:val="left"/>
              <w:rPr>
                <w:rFonts w:ascii="Garamond" w:hAnsi="Garamond"/>
                <w:sz w:val="24"/>
                <w:szCs w:val="24"/>
              </w:rPr>
            </w:pPr>
            <w:r w:rsidRPr="00AE3F1B">
              <w:rPr>
                <w:rFonts w:ascii="Garamond" w:eastAsia="Calibri" w:hAnsi="Garamond" w:cs="Calibri"/>
                <w:sz w:val="24"/>
                <w:szCs w:val="24"/>
              </w:rPr>
              <w:t>Objaśnienia</w:t>
            </w:r>
          </w:p>
        </w:tc>
      </w:tr>
      <w:tr w:rsidR="00B178FD" w:rsidRPr="00AE3F1B" w14:paraId="7F47680F" w14:textId="77777777" w:rsidTr="00B178FD">
        <w:trPr>
          <w:trHeight w:val="331"/>
        </w:trPr>
        <w:tc>
          <w:tcPr>
            <w:tcW w:w="1400" w:type="dxa"/>
            <w:tcBorders>
              <w:top w:val="single" w:sz="2" w:space="0" w:color="000000"/>
              <w:left w:val="single" w:sz="2" w:space="0" w:color="000000"/>
              <w:bottom w:val="single" w:sz="2" w:space="0" w:color="000000"/>
              <w:right w:val="single" w:sz="2" w:space="0" w:color="000000"/>
            </w:tcBorders>
            <w:vAlign w:val="center"/>
          </w:tcPr>
          <w:p w14:paraId="14F1C191" w14:textId="77777777" w:rsidR="00B178FD" w:rsidRPr="00AE3F1B" w:rsidRDefault="00B178FD" w:rsidP="00175586">
            <w:pPr>
              <w:tabs>
                <w:tab w:val="left" w:pos="34"/>
              </w:tabs>
              <w:spacing w:after="160" w:line="259" w:lineRule="auto"/>
              <w:ind w:left="567" w:right="-3" w:hanging="567"/>
              <w:jc w:val="left"/>
              <w:rPr>
                <w:rFonts w:ascii="Garamond" w:hAnsi="Garamond"/>
                <w:sz w:val="24"/>
                <w:szCs w:val="24"/>
              </w:rPr>
            </w:pPr>
            <w:r w:rsidRPr="00AE3F1B">
              <w:rPr>
                <w:rFonts w:ascii="Garamond" w:hAnsi="Garamond"/>
                <w:sz w:val="24"/>
                <w:szCs w:val="24"/>
              </w:rPr>
              <w:t xml:space="preserve">W </w:t>
            </w:r>
            <w:r w:rsidR="00791F8E">
              <w:rPr>
                <w:rFonts w:ascii="Garamond" w:hAnsi="Garamond"/>
                <w:sz w:val="24"/>
                <w:szCs w:val="24"/>
              </w:rPr>
              <w:t>–</w:t>
            </w:r>
            <w:r w:rsidRPr="00AE3F1B">
              <w:rPr>
                <w:rFonts w:ascii="Garamond" w:hAnsi="Garamond"/>
                <w:sz w:val="24"/>
                <w:szCs w:val="24"/>
              </w:rPr>
              <w:t xml:space="preserve"> 00</w:t>
            </w:r>
          </w:p>
        </w:tc>
        <w:tc>
          <w:tcPr>
            <w:tcW w:w="8382" w:type="dxa"/>
            <w:tcBorders>
              <w:top w:val="single" w:sz="2" w:space="0" w:color="000000"/>
              <w:left w:val="single" w:sz="2" w:space="0" w:color="000000"/>
              <w:bottom w:val="single" w:sz="2" w:space="0" w:color="000000"/>
              <w:right w:val="single" w:sz="2" w:space="0" w:color="000000"/>
            </w:tcBorders>
          </w:tcPr>
          <w:p w14:paraId="199B8B9B" w14:textId="77777777" w:rsidR="00B178FD" w:rsidRPr="00AE3F1B" w:rsidRDefault="00B178FD" w:rsidP="00175586">
            <w:pPr>
              <w:spacing w:line="259" w:lineRule="auto"/>
              <w:ind w:left="567" w:right="-3" w:hanging="567"/>
              <w:jc w:val="left"/>
              <w:rPr>
                <w:rFonts w:ascii="Garamond" w:hAnsi="Garamond"/>
                <w:sz w:val="24"/>
                <w:szCs w:val="24"/>
              </w:rPr>
            </w:pPr>
            <w:r w:rsidRPr="00AE3F1B">
              <w:rPr>
                <w:rFonts w:ascii="Garamond" w:eastAsia="Calibri" w:hAnsi="Garamond" w:cs="Calibri"/>
                <w:sz w:val="24"/>
                <w:szCs w:val="24"/>
              </w:rPr>
              <w:t>Weryfikacja pozytywna</w:t>
            </w:r>
          </w:p>
        </w:tc>
      </w:tr>
      <w:tr w:rsidR="00B178FD" w:rsidRPr="00AE3F1B" w14:paraId="657586B2" w14:textId="77777777" w:rsidTr="00B178FD">
        <w:trPr>
          <w:trHeight w:val="561"/>
        </w:trPr>
        <w:tc>
          <w:tcPr>
            <w:tcW w:w="1400" w:type="dxa"/>
            <w:tcBorders>
              <w:top w:val="single" w:sz="2" w:space="0" w:color="000000"/>
              <w:left w:val="single" w:sz="2" w:space="0" w:color="000000"/>
              <w:bottom w:val="single" w:sz="2" w:space="0" w:color="000000"/>
              <w:right w:val="single" w:sz="2" w:space="0" w:color="000000"/>
            </w:tcBorders>
            <w:vAlign w:val="center"/>
          </w:tcPr>
          <w:p w14:paraId="717014D6" w14:textId="77777777" w:rsidR="00B178FD" w:rsidRPr="00AE3F1B" w:rsidRDefault="00B178FD" w:rsidP="00175586">
            <w:pPr>
              <w:tabs>
                <w:tab w:val="left" w:pos="34"/>
              </w:tabs>
              <w:spacing w:line="259" w:lineRule="auto"/>
              <w:ind w:left="567" w:right="-3" w:hanging="567"/>
              <w:jc w:val="left"/>
              <w:rPr>
                <w:rFonts w:ascii="Garamond" w:hAnsi="Garamond"/>
                <w:sz w:val="24"/>
                <w:szCs w:val="24"/>
              </w:rPr>
            </w:pPr>
            <w:r w:rsidRPr="00AE3F1B">
              <w:rPr>
                <w:rFonts w:ascii="Garamond" w:eastAsia="Calibri" w:hAnsi="Garamond" w:cs="Calibri"/>
                <w:sz w:val="24"/>
                <w:szCs w:val="24"/>
              </w:rPr>
              <w:t xml:space="preserve">W </w:t>
            </w:r>
            <w:r w:rsidR="00791F8E">
              <w:rPr>
                <w:rFonts w:ascii="Garamond" w:eastAsia="Calibri" w:hAnsi="Garamond" w:cs="Calibri"/>
                <w:sz w:val="24"/>
                <w:szCs w:val="24"/>
              </w:rPr>
              <w:t>–</w:t>
            </w:r>
            <w:r w:rsidRPr="00AE3F1B">
              <w:rPr>
                <w:rFonts w:ascii="Garamond" w:eastAsia="Calibri" w:hAnsi="Garamond" w:cs="Calibri"/>
                <w:sz w:val="24"/>
                <w:szCs w:val="24"/>
              </w:rPr>
              <w:t xml:space="preserve"> 01</w:t>
            </w:r>
          </w:p>
        </w:tc>
        <w:tc>
          <w:tcPr>
            <w:tcW w:w="8382" w:type="dxa"/>
            <w:tcBorders>
              <w:top w:val="single" w:sz="2" w:space="0" w:color="000000"/>
              <w:left w:val="single" w:sz="2" w:space="0" w:color="000000"/>
              <w:bottom w:val="single" w:sz="2" w:space="0" w:color="000000"/>
              <w:right w:val="single" w:sz="2" w:space="0" w:color="000000"/>
            </w:tcBorders>
          </w:tcPr>
          <w:p w14:paraId="73DC4CA7" w14:textId="6AB8F077" w:rsidR="00B178FD" w:rsidRPr="00AE3F1B" w:rsidRDefault="00B178FD" w:rsidP="00F911AF">
            <w:pPr>
              <w:spacing w:line="259" w:lineRule="auto"/>
              <w:ind w:right="-3"/>
              <w:jc w:val="left"/>
              <w:rPr>
                <w:rFonts w:ascii="Garamond" w:hAnsi="Garamond"/>
                <w:sz w:val="24"/>
                <w:szCs w:val="24"/>
              </w:rPr>
            </w:pPr>
            <w:r w:rsidRPr="00AE3F1B">
              <w:rPr>
                <w:rFonts w:ascii="Garamond" w:eastAsia="Calibri" w:hAnsi="Garamond" w:cs="Calibri"/>
                <w:sz w:val="24"/>
                <w:szCs w:val="24"/>
              </w:rPr>
              <w:t xml:space="preserve">Weryfikacja negatywna - brak kompletnego wypełnienia formularza powiadomienia, </w:t>
            </w:r>
            <w:r w:rsidRPr="00AE3F1B">
              <w:rPr>
                <w:rFonts w:ascii="Garamond" w:eastAsia="Calibri" w:hAnsi="Garamond" w:cs="Calibri"/>
                <w:sz w:val="24"/>
                <w:szCs w:val="24"/>
              </w:rPr>
              <w:br/>
              <w:t xml:space="preserve">o którym mowa w pkt </w:t>
            </w:r>
            <w:r w:rsidR="0030233F" w:rsidRPr="00AE3F1B">
              <w:rPr>
                <w:rFonts w:ascii="Garamond" w:eastAsia="Calibri" w:hAnsi="Garamond" w:cs="Calibri"/>
                <w:sz w:val="24"/>
                <w:szCs w:val="24"/>
              </w:rPr>
              <w:t>B.</w:t>
            </w:r>
            <w:r w:rsidR="0030233F">
              <w:rPr>
                <w:rFonts w:ascii="Garamond" w:eastAsia="Calibri" w:hAnsi="Garamond" w:cs="Calibri"/>
                <w:sz w:val="24"/>
                <w:szCs w:val="24"/>
              </w:rPr>
              <w:t>1</w:t>
            </w:r>
            <w:r w:rsidR="0030233F" w:rsidRPr="00AE3F1B">
              <w:rPr>
                <w:rFonts w:ascii="Garamond" w:eastAsia="Calibri" w:hAnsi="Garamond" w:cs="Calibri"/>
                <w:sz w:val="24"/>
                <w:szCs w:val="24"/>
              </w:rPr>
              <w:t>.</w:t>
            </w:r>
            <w:r w:rsidR="0030233F">
              <w:rPr>
                <w:rFonts w:ascii="Garamond" w:eastAsia="Calibri" w:hAnsi="Garamond" w:cs="Calibri"/>
                <w:sz w:val="24"/>
                <w:szCs w:val="24"/>
              </w:rPr>
              <w:t>1</w:t>
            </w:r>
            <w:r w:rsidR="0030233F" w:rsidRPr="00AE3F1B">
              <w:rPr>
                <w:rFonts w:ascii="Garamond" w:eastAsia="Calibri" w:hAnsi="Garamond" w:cs="Calibri"/>
                <w:sz w:val="24"/>
                <w:szCs w:val="24"/>
              </w:rPr>
              <w:t>. IRiESD</w:t>
            </w:r>
            <w:r w:rsidR="00BA6D98">
              <w:rPr>
                <w:rFonts w:ascii="Garamond" w:eastAsia="Calibri" w:hAnsi="Garamond" w:cs="Calibri"/>
                <w:sz w:val="24"/>
                <w:szCs w:val="24"/>
              </w:rPr>
              <w:t xml:space="preserve"> </w:t>
            </w:r>
            <w:r w:rsidR="00B23F0A" w:rsidRPr="00AE3F1B">
              <w:rPr>
                <w:rFonts w:ascii="Garamond" w:eastAsia="Calibri" w:hAnsi="Garamond" w:cs="Calibri"/>
                <w:sz w:val="24"/>
                <w:szCs w:val="24"/>
              </w:rPr>
              <w:t>–</w:t>
            </w:r>
            <w:r w:rsidRPr="00AE3F1B">
              <w:rPr>
                <w:rFonts w:ascii="Garamond" w:eastAsia="Calibri" w:hAnsi="Garamond" w:cs="Calibri"/>
                <w:sz w:val="24"/>
                <w:szCs w:val="24"/>
              </w:rPr>
              <w:t xml:space="preserve"> Bilansowanie</w:t>
            </w:r>
          </w:p>
        </w:tc>
      </w:tr>
      <w:tr w:rsidR="00B178FD" w:rsidRPr="00AE3F1B" w14:paraId="00B53F9C" w14:textId="77777777" w:rsidTr="00B178FD">
        <w:trPr>
          <w:trHeight w:val="324"/>
        </w:trPr>
        <w:tc>
          <w:tcPr>
            <w:tcW w:w="1400" w:type="dxa"/>
            <w:tcBorders>
              <w:top w:val="single" w:sz="2" w:space="0" w:color="000000"/>
              <w:left w:val="single" w:sz="2" w:space="0" w:color="000000"/>
              <w:bottom w:val="single" w:sz="2" w:space="0" w:color="000000"/>
              <w:right w:val="single" w:sz="2" w:space="0" w:color="000000"/>
            </w:tcBorders>
            <w:vAlign w:val="center"/>
          </w:tcPr>
          <w:p w14:paraId="68BD4762" w14:textId="77777777" w:rsidR="00B178FD" w:rsidRPr="00AE3F1B" w:rsidRDefault="00B178FD" w:rsidP="00175586">
            <w:pPr>
              <w:tabs>
                <w:tab w:val="left" w:pos="34"/>
              </w:tabs>
              <w:spacing w:line="259" w:lineRule="auto"/>
              <w:ind w:left="567" w:right="-3" w:hanging="567"/>
              <w:jc w:val="left"/>
              <w:rPr>
                <w:rFonts w:ascii="Garamond" w:hAnsi="Garamond"/>
                <w:sz w:val="24"/>
                <w:szCs w:val="24"/>
              </w:rPr>
            </w:pPr>
            <w:r w:rsidRPr="00AE3F1B">
              <w:rPr>
                <w:rFonts w:ascii="Garamond" w:eastAsia="Calibri" w:hAnsi="Garamond" w:cs="Calibri"/>
                <w:sz w:val="24"/>
                <w:szCs w:val="24"/>
              </w:rPr>
              <w:t>W - 02 (x)</w:t>
            </w:r>
          </w:p>
        </w:tc>
        <w:tc>
          <w:tcPr>
            <w:tcW w:w="8382" w:type="dxa"/>
            <w:tcBorders>
              <w:top w:val="single" w:sz="2" w:space="0" w:color="000000"/>
              <w:left w:val="single" w:sz="2" w:space="0" w:color="000000"/>
              <w:bottom w:val="single" w:sz="2" w:space="0" w:color="000000"/>
              <w:right w:val="single" w:sz="2" w:space="0" w:color="000000"/>
            </w:tcBorders>
          </w:tcPr>
          <w:p w14:paraId="406869F2" w14:textId="77777777" w:rsidR="00B178FD" w:rsidRPr="00AE3F1B" w:rsidRDefault="00B178FD" w:rsidP="00175586">
            <w:pPr>
              <w:spacing w:line="259" w:lineRule="auto"/>
              <w:ind w:left="567" w:right="-3" w:hanging="567"/>
              <w:jc w:val="left"/>
              <w:rPr>
                <w:rFonts w:ascii="Garamond" w:hAnsi="Garamond"/>
                <w:sz w:val="24"/>
                <w:szCs w:val="24"/>
              </w:rPr>
            </w:pPr>
            <w:r w:rsidRPr="00AE3F1B">
              <w:rPr>
                <w:rFonts w:ascii="Garamond" w:eastAsia="Calibri" w:hAnsi="Garamond" w:cs="Calibri"/>
                <w:sz w:val="24"/>
                <w:szCs w:val="24"/>
              </w:rPr>
              <w:t>Weryfikacja negatywna - błąd w formularzu powiadamiania w pozycji „x”</w:t>
            </w:r>
          </w:p>
        </w:tc>
      </w:tr>
      <w:tr w:rsidR="00B178FD" w:rsidRPr="00AE3F1B" w14:paraId="7C6C3450" w14:textId="77777777" w:rsidTr="00B178FD">
        <w:trPr>
          <w:trHeight w:val="561"/>
        </w:trPr>
        <w:tc>
          <w:tcPr>
            <w:tcW w:w="1400" w:type="dxa"/>
            <w:tcBorders>
              <w:top w:val="single" w:sz="2" w:space="0" w:color="000000"/>
              <w:left w:val="single" w:sz="2" w:space="0" w:color="000000"/>
              <w:bottom w:val="single" w:sz="2" w:space="0" w:color="000000"/>
              <w:right w:val="single" w:sz="2" w:space="0" w:color="000000"/>
            </w:tcBorders>
            <w:vAlign w:val="center"/>
          </w:tcPr>
          <w:p w14:paraId="4455FD38" w14:textId="77777777" w:rsidR="00B178FD" w:rsidRPr="00AE3F1B" w:rsidRDefault="00B178FD" w:rsidP="00175586">
            <w:pPr>
              <w:tabs>
                <w:tab w:val="left" w:pos="34"/>
              </w:tabs>
              <w:spacing w:line="259" w:lineRule="auto"/>
              <w:ind w:left="567" w:right="-3" w:hanging="567"/>
              <w:jc w:val="left"/>
              <w:rPr>
                <w:rFonts w:ascii="Garamond" w:hAnsi="Garamond"/>
                <w:sz w:val="24"/>
                <w:szCs w:val="24"/>
              </w:rPr>
            </w:pPr>
            <w:r w:rsidRPr="00AE3F1B">
              <w:rPr>
                <w:rFonts w:ascii="Garamond" w:eastAsia="Calibri" w:hAnsi="Garamond" w:cs="Calibri"/>
                <w:sz w:val="24"/>
                <w:szCs w:val="24"/>
              </w:rPr>
              <w:t xml:space="preserve">W </w:t>
            </w:r>
            <w:r w:rsidR="00791F8E">
              <w:rPr>
                <w:rFonts w:ascii="Garamond" w:eastAsia="Calibri" w:hAnsi="Garamond" w:cs="Calibri"/>
                <w:sz w:val="24"/>
                <w:szCs w:val="24"/>
              </w:rPr>
              <w:t>–</w:t>
            </w:r>
            <w:r w:rsidRPr="00AE3F1B">
              <w:rPr>
                <w:rFonts w:ascii="Garamond" w:eastAsia="Calibri" w:hAnsi="Garamond" w:cs="Calibri"/>
                <w:sz w:val="24"/>
                <w:szCs w:val="24"/>
              </w:rPr>
              <w:t xml:space="preserve"> 03</w:t>
            </w:r>
          </w:p>
        </w:tc>
        <w:tc>
          <w:tcPr>
            <w:tcW w:w="8382" w:type="dxa"/>
            <w:tcBorders>
              <w:top w:val="single" w:sz="2" w:space="0" w:color="000000"/>
              <w:left w:val="single" w:sz="2" w:space="0" w:color="000000"/>
              <w:bottom w:val="single" w:sz="2" w:space="0" w:color="000000"/>
              <w:right w:val="single" w:sz="2" w:space="0" w:color="000000"/>
            </w:tcBorders>
          </w:tcPr>
          <w:p w14:paraId="31E01401" w14:textId="77777777" w:rsidR="00B178FD" w:rsidRPr="00AE3F1B" w:rsidRDefault="00B178FD" w:rsidP="00F911AF">
            <w:pPr>
              <w:spacing w:line="259" w:lineRule="auto"/>
              <w:ind w:left="18" w:right="-3" w:hanging="18"/>
              <w:jc w:val="left"/>
              <w:rPr>
                <w:rFonts w:ascii="Garamond" w:hAnsi="Garamond"/>
                <w:sz w:val="24"/>
                <w:szCs w:val="24"/>
              </w:rPr>
            </w:pPr>
            <w:r w:rsidRPr="00AE3F1B">
              <w:rPr>
                <w:rFonts w:ascii="Garamond" w:eastAsia="Calibri" w:hAnsi="Garamond" w:cs="Calibri"/>
                <w:sz w:val="24"/>
                <w:szCs w:val="24"/>
              </w:rPr>
              <w:t>Weryfikacja negatywna - brak wyznaczenia sprzedawcy rezerwowego posiadającego umowę GUD z ID Sp. z o.o.,</w:t>
            </w:r>
          </w:p>
        </w:tc>
      </w:tr>
      <w:tr w:rsidR="00B178FD" w:rsidRPr="00AE3F1B" w14:paraId="4542855F" w14:textId="77777777" w:rsidTr="00B178FD">
        <w:trPr>
          <w:trHeight w:val="561"/>
        </w:trPr>
        <w:tc>
          <w:tcPr>
            <w:tcW w:w="1400" w:type="dxa"/>
            <w:tcBorders>
              <w:top w:val="single" w:sz="2" w:space="0" w:color="000000"/>
              <w:left w:val="single" w:sz="2" w:space="0" w:color="000000"/>
              <w:bottom w:val="single" w:sz="2" w:space="0" w:color="000000"/>
              <w:right w:val="single" w:sz="2" w:space="0" w:color="000000"/>
            </w:tcBorders>
            <w:vAlign w:val="center"/>
          </w:tcPr>
          <w:p w14:paraId="5E1FEBFA" w14:textId="77777777" w:rsidR="00B178FD" w:rsidRPr="00AE3F1B" w:rsidRDefault="00B178FD" w:rsidP="00175586">
            <w:pPr>
              <w:tabs>
                <w:tab w:val="left" w:pos="34"/>
              </w:tabs>
              <w:spacing w:line="259" w:lineRule="auto"/>
              <w:ind w:left="567" w:right="-3" w:hanging="567"/>
              <w:jc w:val="left"/>
              <w:rPr>
                <w:rFonts w:ascii="Garamond" w:hAnsi="Garamond"/>
                <w:sz w:val="24"/>
                <w:szCs w:val="24"/>
              </w:rPr>
            </w:pPr>
            <w:r w:rsidRPr="00AE3F1B">
              <w:rPr>
                <w:rFonts w:ascii="Garamond" w:eastAsia="Calibri" w:hAnsi="Garamond" w:cs="Calibri"/>
                <w:sz w:val="24"/>
                <w:szCs w:val="24"/>
              </w:rPr>
              <w:t xml:space="preserve">W </w:t>
            </w:r>
            <w:r w:rsidR="00791F8E">
              <w:rPr>
                <w:rFonts w:ascii="Garamond" w:eastAsia="Calibri" w:hAnsi="Garamond" w:cs="Calibri"/>
                <w:sz w:val="24"/>
                <w:szCs w:val="24"/>
              </w:rPr>
              <w:t>–</w:t>
            </w:r>
            <w:r w:rsidRPr="00AE3F1B">
              <w:rPr>
                <w:rFonts w:ascii="Garamond" w:eastAsia="Calibri" w:hAnsi="Garamond" w:cs="Calibri"/>
                <w:sz w:val="24"/>
                <w:szCs w:val="24"/>
              </w:rPr>
              <w:t xml:space="preserve"> 04</w:t>
            </w:r>
          </w:p>
        </w:tc>
        <w:tc>
          <w:tcPr>
            <w:tcW w:w="8382" w:type="dxa"/>
            <w:tcBorders>
              <w:top w:val="single" w:sz="2" w:space="0" w:color="000000"/>
              <w:left w:val="single" w:sz="2" w:space="0" w:color="000000"/>
              <w:bottom w:val="single" w:sz="2" w:space="0" w:color="000000"/>
              <w:right w:val="single" w:sz="2" w:space="0" w:color="000000"/>
            </w:tcBorders>
          </w:tcPr>
          <w:p w14:paraId="09ACCD09" w14:textId="77777777" w:rsidR="00B178FD" w:rsidRPr="00AE3F1B" w:rsidRDefault="00B178FD" w:rsidP="00F911AF">
            <w:pPr>
              <w:spacing w:line="259" w:lineRule="auto"/>
              <w:ind w:left="18" w:right="-3" w:hanging="18"/>
              <w:jc w:val="left"/>
              <w:rPr>
                <w:rFonts w:ascii="Garamond" w:hAnsi="Garamond"/>
                <w:sz w:val="24"/>
                <w:szCs w:val="24"/>
              </w:rPr>
            </w:pPr>
            <w:r w:rsidRPr="00AE3F1B">
              <w:rPr>
                <w:rFonts w:ascii="Garamond" w:eastAsia="Calibri" w:hAnsi="Garamond" w:cs="Calibri"/>
                <w:sz w:val="24"/>
                <w:szCs w:val="24"/>
              </w:rPr>
              <w:t xml:space="preserve">Weryfikacja negatywna - brak umowy o świadczenie usług dystrybucji pomiędzy </w:t>
            </w:r>
            <w:r w:rsidRPr="00AE3F1B">
              <w:rPr>
                <w:rFonts w:ascii="Garamond" w:eastAsia="Calibri" w:hAnsi="Garamond" w:cs="Calibri"/>
                <w:sz w:val="24"/>
                <w:szCs w:val="24"/>
              </w:rPr>
              <w:br/>
              <w:t>ID Sp. z o.o. a URD,</w:t>
            </w:r>
          </w:p>
        </w:tc>
      </w:tr>
      <w:tr w:rsidR="00B178FD" w:rsidRPr="00AE3F1B" w14:paraId="48E67F51" w14:textId="77777777" w:rsidTr="00B178FD">
        <w:trPr>
          <w:trHeight w:val="566"/>
        </w:trPr>
        <w:tc>
          <w:tcPr>
            <w:tcW w:w="1400" w:type="dxa"/>
            <w:tcBorders>
              <w:top w:val="single" w:sz="2" w:space="0" w:color="000000"/>
              <w:left w:val="single" w:sz="2" w:space="0" w:color="000000"/>
              <w:bottom w:val="single" w:sz="2" w:space="0" w:color="000000"/>
              <w:right w:val="single" w:sz="2" w:space="0" w:color="000000"/>
            </w:tcBorders>
            <w:vAlign w:val="center"/>
          </w:tcPr>
          <w:p w14:paraId="240362B5" w14:textId="77777777" w:rsidR="00B178FD" w:rsidRPr="00AE3F1B" w:rsidRDefault="00B178FD" w:rsidP="00175586">
            <w:pPr>
              <w:tabs>
                <w:tab w:val="left" w:pos="34"/>
              </w:tabs>
              <w:spacing w:line="259" w:lineRule="auto"/>
              <w:ind w:left="567" w:right="-3" w:hanging="567"/>
              <w:jc w:val="left"/>
              <w:rPr>
                <w:rFonts w:ascii="Garamond" w:hAnsi="Garamond"/>
                <w:sz w:val="24"/>
                <w:szCs w:val="24"/>
              </w:rPr>
            </w:pPr>
            <w:r w:rsidRPr="00AE3F1B">
              <w:rPr>
                <w:rFonts w:ascii="Garamond" w:eastAsia="Calibri" w:hAnsi="Garamond" w:cs="Calibri"/>
                <w:sz w:val="24"/>
                <w:szCs w:val="24"/>
              </w:rPr>
              <w:t xml:space="preserve">W </w:t>
            </w:r>
            <w:r w:rsidR="00791F8E">
              <w:rPr>
                <w:rFonts w:ascii="Garamond" w:eastAsia="Calibri" w:hAnsi="Garamond" w:cs="Calibri"/>
                <w:sz w:val="24"/>
                <w:szCs w:val="24"/>
              </w:rPr>
              <w:t>–</w:t>
            </w:r>
            <w:r w:rsidRPr="00AE3F1B">
              <w:rPr>
                <w:rFonts w:ascii="Garamond" w:eastAsia="Calibri" w:hAnsi="Garamond" w:cs="Calibri"/>
                <w:sz w:val="24"/>
                <w:szCs w:val="24"/>
              </w:rPr>
              <w:t xml:space="preserve"> 05</w:t>
            </w:r>
          </w:p>
        </w:tc>
        <w:tc>
          <w:tcPr>
            <w:tcW w:w="8382" w:type="dxa"/>
            <w:tcBorders>
              <w:top w:val="single" w:sz="2" w:space="0" w:color="000000"/>
              <w:left w:val="single" w:sz="2" w:space="0" w:color="000000"/>
              <w:bottom w:val="single" w:sz="2" w:space="0" w:color="000000"/>
              <w:right w:val="single" w:sz="2" w:space="0" w:color="000000"/>
            </w:tcBorders>
          </w:tcPr>
          <w:p w14:paraId="30EE8163" w14:textId="77777777" w:rsidR="00B178FD" w:rsidRPr="00AE3F1B" w:rsidRDefault="00B178FD" w:rsidP="00F911AF">
            <w:pPr>
              <w:spacing w:line="259" w:lineRule="auto"/>
              <w:ind w:left="18" w:right="-3" w:hanging="18"/>
              <w:jc w:val="left"/>
              <w:rPr>
                <w:rFonts w:ascii="Garamond" w:hAnsi="Garamond"/>
                <w:sz w:val="24"/>
                <w:szCs w:val="24"/>
              </w:rPr>
            </w:pPr>
            <w:r w:rsidRPr="00AE3F1B">
              <w:rPr>
                <w:rFonts w:ascii="Garamond" w:eastAsia="Calibri" w:hAnsi="Garamond" w:cs="Calibri"/>
                <w:sz w:val="24"/>
                <w:szCs w:val="24"/>
              </w:rPr>
              <w:t xml:space="preserve">Weryfikacja negatywna - brak umowy dystrybucji pomiędzy ID sp. z o.o. </w:t>
            </w:r>
            <w:r w:rsidRPr="00AE3F1B">
              <w:rPr>
                <w:rFonts w:ascii="Garamond" w:eastAsia="Calibri" w:hAnsi="Garamond" w:cs="Calibri"/>
                <w:sz w:val="24"/>
                <w:szCs w:val="24"/>
              </w:rPr>
              <w:br/>
              <w:t>a URB sprzedawcę lub URD,</w:t>
            </w:r>
          </w:p>
        </w:tc>
      </w:tr>
      <w:tr w:rsidR="00B178FD" w:rsidRPr="00AE3F1B" w14:paraId="44D08720" w14:textId="77777777" w:rsidTr="00B178FD">
        <w:trPr>
          <w:trHeight w:val="564"/>
        </w:trPr>
        <w:tc>
          <w:tcPr>
            <w:tcW w:w="1400" w:type="dxa"/>
            <w:tcBorders>
              <w:top w:val="single" w:sz="2" w:space="0" w:color="000000"/>
              <w:left w:val="single" w:sz="2" w:space="0" w:color="000000"/>
              <w:bottom w:val="single" w:sz="2" w:space="0" w:color="000000"/>
              <w:right w:val="single" w:sz="2" w:space="0" w:color="000000"/>
            </w:tcBorders>
            <w:vAlign w:val="center"/>
          </w:tcPr>
          <w:p w14:paraId="4DAF23C9" w14:textId="77777777" w:rsidR="00B178FD" w:rsidRPr="00AE3F1B" w:rsidRDefault="00B178FD" w:rsidP="00175586">
            <w:pPr>
              <w:tabs>
                <w:tab w:val="left" w:pos="34"/>
              </w:tabs>
              <w:spacing w:line="259" w:lineRule="auto"/>
              <w:ind w:left="567" w:right="-3" w:hanging="567"/>
              <w:jc w:val="left"/>
              <w:rPr>
                <w:rFonts w:ascii="Garamond" w:hAnsi="Garamond"/>
                <w:sz w:val="24"/>
                <w:szCs w:val="24"/>
              </w:rPr>
            </w:pPr>
            <w:r w:rsidRPr="00AE3F1B">
              <w:rPr>
                <w:rFonts w:ascii="Garamond" w:eastAsia="Calibri" w:hAnsi="Garamond" w:cs="Calibri"/>
                <w:sz w:val="24"/>
                <w:szCs w:val="24"/>
              </w:rPr>
              <w:t xml:space="preserve">W </w:t>
            </w:r>
            <w:r w:rsidR="00791F8E">
              <w:rPr>
                <w:rFonts w:ascii="Garamond" w:eastAsia="Calibri" w:hAnsi="Garamond" w:cs="Calibri"/>
                <w:sz w:val="24"/>
                <w:szCs w:val="24"/>
              </w:rPr>
              <w:t>–</w:t>
            </w:r>
            <w:r w:rsidRPr="00AE3F1B">
              <w:rPr>
                <w:rFonts w:ascii="Garamond" w:eastAsia="Calibri" w:hAnsi="Garamond" w:cs="Calibri"/>
                <w:sz w:val="24"/>
                <w:szCs w:val="24"/>
              </w:rPr>
              <w:t xml:space="preserve"> 06</w:t>
            </w:r>
          </w:p>
        </w:tc>
        <w:tc>
          <w:tcPr>
            <w:tcW w:w="8382" w:type="dxa"/>
            <w:tcBorders>
              <w:top w:val="single" w:sz="2" w:space="0" w:color="000000"/>
              <w:left w:val="single" w:sz="2" w:space="0" w:color="000000"/>
              <w:bottom w:val="single" w:sz="2" w:space="0" w:color="000000"/>
              <w:right w:val="single" w:sz="2" w:space="0" w:color="000000"/>
            </w:tcBorders>
          </w:tcPr>
          <w:p w14:paraId="52FCBC4C" w14:textId="650F100D" w:rsidR="00B178FD" w:rsidRPr="00AE3F1B" w:rsidRDefault="00B178FD" w:rsidP="00F911AF">
            <w:pPr>
              <w:spacing w:line="259" w:lineRule="auto"/>
              <w:ind w:right="-3"/>
              <w:jc w:val="left"/>
              <w:rPr>
                <w:rFonts w:ascii="Garamond" w:hAnsi="Garamond"/>
                <w:sz w:val="24"/>
                <w:szCs w:val="24"/>
              </w:rPr>
            </w:pPr>
            <w:r w:rsidRPr="00AE3F1B">
              <w:rPr>
                <w:rFonts w:ascii="Garamond" w:eastAsia="Calibri" w:hAnsi="Garamond" w:cs="Calibri"/>
                <w:sz w:val="24"/>
                <w:szCs w:val="24"/>
              </w:rPr>
              <w:t>Weryfikacja negatywna - zmiana wybranego sprzedawcy dla danego PPE już w</w:t>
            </w:r>
            <w:r w:rsidR="006E34EA">
              <w:rPr>
                <w:rFonts w:ascii="Garamond" w:eastAsia="Calibri" w:hAnsi="Garamond" w:cs="Calibri"/>
                <w:sz w:val="24"/>
                <w:szCs w:val="24"/>
              </w:rPr>
              <w:t>y</w:t>
            </w:r>
            <w:r w:rsidRPr="00AE3F1B">
              <w:rPr>
                <w:rFonts w:ascii="Garamond" w:eastAsia="Calibri" w:hAnsi="Garamond" w:cs="Calibri"/>
                <w:sz w:val="24"/>
                <w:szCs w:val="24"/>
              </w:rPr>
              <w:t>stępuje w zgłaszanym okresie,</w:t>
            </w:r>
          </w:p>
        </w:tc>
      </w:tr>
      <w:tr w:rsidR="00B178FD" w:rsidRPr="00AE3F1B" w14:paraId="612D0C8F" w14:textId="77777777" w:rsidTr="00B178FD">
        <w:trPr>
          <w:trHeight w:val="561"/>
        </w:trPr>
        <w:tc>
          <w:tcPr>
            <w:tcW w:w="1400" w:type="dxa"/>
            <w:tcBorders>
              <w:top w:val="single" w:sz="2" w:space="0" w:color="000000"/>
              <w:left w:val="single" w:sz="2" w:space="0" w:color="000000"/>
              <w:bottom w:val="single" w:sz="2" w:space="0" w:color="000000"/>
              <w:right w:val="single" w:sz="2" w:space="0" w:color="000000"/>
            </w:tcBorders>
            <w:vAlign w:val="center"/>
          </w:tcPr>
          <w:p w14:paraId="0EDCB676" w14:textId="77777777" w:rsidR="00B178FD" w:rsidRPr="00AE3F1B" w:rsidRDefault="00B178FD" w:rsidP="00175586">
            <w:pPr>
              <w:tabs>
                <w:tab w:val="left" w:pos="34"/>
              </w:tabs>
              <w:spacing w:line="259" w:lineRule="auto"/>
              <w:ind w:left="567" w:right="-3" w:hanging="567"/>
              <w:jc w:val="left"/>
              <w:rPr>
                <w:rFonts w:ascii="Garamond" w:hAnsi="Garamond"/>
                <w:sz w:val="24"/>
                <w:szCs w:val="24"/>
              </w:rPr>
            </w:pPr>
            <w:r w:rsidRPr="00AE3F1B">
              <w:rPr>
                <w:rFonts w:ascii="Garamond" w:eastAsia="Calibri" w:hAnsi="Garamond" w:cs="Calibri"/>
                <w:sz w:val="24"/>
                <w:szCs w:val="24"/>
              </w:rPr>
              <w:t xml:space="preserve">W </w:t>
            </w:r>
            <w:r w:rsidR="00791F8E">
              <w:rPr>
                <w:rFonts w:ascii="Garamond" w:eastAsia="Calibri" w:hAnsi="Garamond" w:cs="Calibri"/>
                <w:sz w:val="24"/>
                <w:szCs w:val="24"/>
              </w:rPr>
              <w:t>–</w:t>
            </w:r>
            <w:r w:rsidRPr="00AE3F1B">
              <w:rPr>
                <w:rFonts w:ascii="Garamond" w:eastAsia="Calibri" w:hAnsi="Garamond" w:cs="Calibri"/>
                <w:sz w:val="24"/>
                <w:szCs w:val="24"/>
              </w:rPr>
              <w:t xml:space="preserve"> 07</w:t>
            </w:r>
          </w:p>
        </w:tc>
        <w:tc>
          <w:tcPr>
            <w:tcW w:w="8382" w:type="dxa"/>
            <w:tcBorders>
              <w:top w:val="single" w:sz="2" w:space="0" w:color="000000"/>
              <w:left w:val="single" w:sz="2" w:space="0" w:color="000000"/>
              <w:bottom w:val="single" w:sz="2" w:space="0" w:color="000000"/>
              <w:right w:val="single" w:sz="2" w:space="0" w:color="000000"/>
            </w:tcBorders>
          </w:tcPr>
          <w:p w14:paraId="44508C8E" w14:textId="77777777" w:rsidR="00B178FD" w:rsidRPr="00AE3F1B" w:rsidRDefault="00B178FD" w:rsidP="00F911AF">
            <w:pPr>
              <w:spacing w:line="259" w:lineRule="auto"/>
              <w:ind w:left="18" w:right="-3" w:hanging="18"/>
              <w:jc w:val="left"/>
              <w:rPr>
                <w:rFonts w:ascii="Garamond" w:hAnsi="Garamond"/>
                <w:sz w:val="24"/>
                <w:szCs w:val="24"/>
              </w:rPr>
            </w:pPr>
            <w:r w:rsidRPr="00AE3F1B">
              <w:rPr>
                <w:rFonts w:ascii="Garamond" w:eastAsia="Calibri" w:hAnsi="Garamond" w:cs="Calibri"/>
                <w:sz w:val="24"/>
                <w:szCs w:val="24"/>
              </w:rPr>
              <w:t>Weryfikacja negatywna- brak generalnej umowy dystrybucji pomiędzy ID Sp. z o.o. a danym Sprzedawcą</w:t>
            </w:r>
          </w:p>
        </w:tc>
      </w:tr>
      <w:tr w:rsidR="00B178FD" w:rsidRPr="00AE3F1B" w14:paraId="79199FAF" w14:textId="77777777" w:rsidTr="00B178FD">
        <w:trPr>
          <w:trHeight w:val="324"/>
        </w:trPr>
        <w:tc>
          <w:tcPr>
            <w:tcW w:w="1400" w:type="dxa"/>
            <w:tcBorders>
              <w:top w:val="single" w:sz="2" w:space="0" w:color="000000"/>
              <w:left w:val="single" w:sz="2" w:space="0" w:color="000000"/>
              <w:bottom w:val="single" w:sz="2" w:space="0" w:color="000000"/>
              <w:right w:val="single" w:sz="2" w:space="0" w:color="000000"/>
            </w:tcBorders>
            <w:vAlign w:val="center"/>
          </w:tcPr>
          <w:p w14:paraId="1847B626" w14:textId="77777777" w:rsidR="00B178FD" w:rsidRPr="00AE3F1B" w:rsidRDefault="00B178FD" w:rsidP="00175586">
            <w:pPr>
              <w:tabs>
                <w:tab w:val="left" w:pos="34"/>
              </w:tabs>
              <w:spacing w:line="259" w:lineRule="auto"/>
              <w:ind w:left="567" w:right="-3" w:hanging="567"/>
              <w:jc w:val="left"/>
              <w:rPr>
                <w:rFonts w:ascii="Garamond" w:hAnsi="Garamond"/>
                <w:sz w:val="24"/>
                <w:szCs w:val="24"/>
              </w:rPr>
            </w:pPr>
            <w:r w:rsidRPr="00AE3F1B">
              <w:rPr>
                <w:rFonts w:ascii="Garamond" w:eastAsia="Calibri" w:hAnsi="Garamond" w:cs="Calibri"/>
                <w:sz w:val="24"/>
                <w:szCs w:val="24"/>
              </w:rPr>
              <w:t xml:space="preserve">W </w:t>
            </w:r>
            <w:r w:rsidR="00791F8E">
              <w:rPr>
                <w:rFonts w:ascii="Garamond" w:eastAsia="Calibri" w:hAnsi="Garamond" w:cs="Calibri"/>
                <w:sz w:val="24"/>
                <w:szCs w:val="24"/>
              </w:rPr>
              <w:t>–</w:t>
            </w:r>
            <w:r w:rsidRPr="00AE3F1B">
              <w:rPr>
                <w:rFonts w:ascii="Garamond" w:eastAsia="Calibri" w:hAnsi="Garamond" w:cs="Calibri"/>
                <w:sz w:val="24"/>
                <w:szCs w:val="24"/>
              </w:rPr>
              <w:t xml:space="preserve"> 08</w:t>
            </w:r>
          </w:p>
        </w:tc>
        <w:tc>
          <w:tcPr>
            <w:tcW w:w="8382" w:type="dxa"/>
            <w:tcBorders>
              <w:top w:val="single" w:sz="2" w:space="0" w:color="000000"/>
              <w:left w:val="single" w:sz="2" w:space="0" w:color="000000"/>
              <w:bottom w:val="single" w:sz="2" w:space="0" w:color="000000"/>
              <w:right w:val="single" w:sz="2" w:space="0" w:color="000000"/>
            </w:tcBorders>
          </w:tcPr>
          <w:p w14:paraId="12238E5F" w14:textId="77777777" w:rsidR="00B178FD" w:rsidRPr="00AE3F1B" w:rsidRDefault="00B178FD" w:rsidP="00175586">
            <w:pPr>
              <w:spacing w:line="259" w:lineRule="auto"/>
              <w:ind w:left="567" w:right="-3" w:hanging="567"/>
              <w:jc w:val="left"/>
              <w:rPr>
                <w:rFonts w:ascii="Garamond" w:hAnsi="Garamond"/>
                <w:sz w:val="24"/>
                <w:szCs w:val="24"/>
              </w:rPr>
            </w:pPr>
            <w:r w:rsidRPr="00AE3F1B">
              <w:rPr>
                <w:rFonts w:ascii="Garamond" w:eastAsia="Calibri" w:hAnsi="Garamond" w:cs="Calibri"/>
                <w:sz w:val="24"/>
                <w:szCs w:val="24"/>
              </w:rPr>
              <w:t>Weryfikacja negatywna - brak dostosowania układów pomiarowo-rozliczeniowych</w:t>
            </w:r>
          </w:p>
        </w:tc>
      </w:tr>
      <w:tr w:rsidR="00B178FD" w:rsidRPr="00AE3F1B" w14:paraId="5B23D6F6" w14:textId="77777777" w:rsidTr="00B178FD">
        <w:trPr>
          <w:trHeight w:val="324"/>
        </w:trPr>
        <w:tc>
          <w:tcPr>
            <w:tcW w:w="1400" w:type="dxa"/>
            <w:tcBorders>
              <w:top w:val="single" w:sz="2" w:space="0" w:color="000000"/>
              <w:left w:val="single" w:sz="2" w:space="0" w:color="000000"/>
              <w:bottom w:val="single" w:sz="2" w:space="0" w:color="000000"/>
              <w:right w:val="single" w:sz="2" w:space="0" w:color="000000"/>
            </w:tcBorders>
            <w:vAlign w:val="center"/>
          </w:tcPr>
          <w:p w14:paraId="67100039" w14:textId="77777777" w:rsidR="00B178FD" w:rsidRPr="00AE3F1B" w:rsidRDefault="00B178FD" w:rsidP="00175586">
            <w:pPr>
              <w:tabs>
                <w:tab w:val="left" w:pos="34"/>
              </w:tabs>
              <w:spacing w:line="259" w:lineRule="auto"/>
              <w:ind w:left="567" w:right="-3" w:hanging="567"/>
              <w:jc w:val="left"/>
              <w:rPr>
                <w:rFonts w:ascii="Garamond" w:hAnsi="Garamond"/>
                <w:sz w:val="24"/>
                <w:szCs w:val="24"/>
              </w:rPr>
            </w:pPr>
            <w:r w:rsidRPr="00AE3F1B">
              <w:rPr>
                <w:rFonts w:ascii="Garamond" w:eastAsia="Calibri" w:hAnsi="Garamond" w:cs="Calibri"/>
                <w:sz w:val="24"/>
                <w:szCs w:val="24"/>
              </w:rPr>
              <w:t xml:space="preserve">W </w:t>
            </w:r>
            <w:r w:rsidR="00791F8E">
              <w:rPr>
                <w:rFonts w:ascii="Garamond" w:eastAsia="Calibri" w:hAnsi="Garamond" w:cs="Calibri"/>
                <w:sz w:val="24"/>
                <w:szCs w:val="24"/>
              </w:rPr>
              <w:t>–</w:t>
            </w:r>
            <w:r w:rsidRPr="00AE3F1B">
              <w:rPr>
                <w:rFonts w:ascii="Garamond" w:eastAsia="Calibri" w:hAnsi="Garamond" w:cs="Calibri"/>
                <w:sz w:val="24"/>
                <w:szCs w:val="24"/>
              </w:rPr>
              <w:t xml:space="preserve"> 09</w:t>
            </w:r>
          </w:p>
        </w:tc>
        <w:tc>
          <w:tcPr>
            <w:tcW w:w="8382" w:type="dxa"/>
            <w:tcBorders>
              <w:top w:val="single" w:sz="2" w:space="0" w:color="000000"/>
              <w:left w:val="single" w:sz="2" w:space="0" w:color="000000"/>
              <w:bottom w:val="single" w:sz="2" w:space="0" w:color="000000"/>
              <w:right w:val="single" w:sz="2" w:space="0" w:color="000000"/>
            </w:tcBorders>
          </w:tcPr>
          <w:p w14:paraId="6BE56A17" w14:textId="77777777" w:rsidR="00B178FD" w:rsidRPr="00AE3F1B" w:rsidRDefault="00B178FD" w:rsidP="00175586">
            <w:pPr>
              <w:spacing w:line="259" w:lineRule="auto"/>
              <w:ind w:left="567" w:right="-3" w:hanging="567"/>
              <w:jc w:val="left"/>
              <w:rPr>
                <w:rFonts w:ascii="Garamond" w:hAnsi="Garamond"/>
                <w:sz w:val="24"/>
                <w:szCs w:val="24"/>
              </w:rPr>
            </w:pPr>
            <w:r w:rsidRPr="00AE3F1B">
              <w:rPr>
                <w:rFonts w:ascii="Garamond" w:eastAsia="Calibri" w:hAnsi="Garamond" w:cs="Calibri"/>
                <w:sz w:val="24"/>
                <w:szCs w:val="24"/>
              </w:rPr>
              <w:t>Weryfikacja negatywna — powiadomienie wpłynęło po zamknięciu bramki czasowej</w:t>
            </w:r>
          </w:p>
        </w:tc>
      </w:tr>
      <w:tr w:rsidR="00B178FD" w:rsidRPr="00AE3F1B" w14:paraId="640DFA4C" w14:textId="77777777" w:rsidTr="00B178FD">
        <w:trPr>
          <w:trHeight w:val="331"/>
        </w:trPr>
        <w:tc>
          <w:tcPr>
            <w:tcW w:w="1400" w:type="dxa"/>
            <w:tcBorders>
              <w:top w:val="single" w:sz="2" w:space="0" w:color="000000"/>
              <w:left w:val="single" w:sz="2" w:space="0" w:color="000000"/>
              <w:bottom w:val="single" w:sz="2" w:space="0" w:color="000000"/>
              <w:right w:val="single" w:sz="2" w:space="0" w:color="000000"/>
            </w:tcBorders>
            <w:vAlign w:val="center"/>
          </w:tcPr>
          <w:p w14:paraId="08FA76B5" w14:textId="77777777" w:rsidR="00B178FD" w:rsidRPr="00AE3F1B" w:rsidRDefault="00B178FD" w:rsidP="00175586">
            <w:pPr>
              <w:tabs>
                <w:tab w:val="left" w:pos="34"/>
              </w:tabs>
              <w:spacing w:line="259" w:lineRule="auto"/>
              <w:ind w:left="567" w:right="-3" w:hanging="567"/>
              <w:jc w:val="left"/>
              <w:rPr>
                <w:rFonts w:ascii="Garamond" w:hAnsi="Garamond"/>
                <w:sz w:val="24"/>
                <w:szCs w:val="24"/>
              </w:rPr>
            </w:pPr>
            <w:r w:rsidRPr="00AE3F1B">
              <w:rPr>
                <w:rFonts w:ascii="Garamond" w:eastAsia="Calibri" w:hAnsi="Garamond" w:cs="Calibri"/>
                <w:sz w:val="24"/>
                <w:szCs w:val="24"/>
              </w:rPr>
              <w:t xml:space="preserve">W </w:t>
            </w:r>
            <w:r w:rsidR="00791F8E">
              <w:rPr>
                <w:rFonts w:ascii="Garamond" w:eastAsia="Calibri" w:hAnsi="Garamond" w:cs="Calibri"/>
                <w:sz w:val="24"/>
                <w:szCs w:val="24"/>
              </w:rPr>
              <w:t>–</w:t>
            </w:r>
            <w:r w:rsidRPr="00AE3F1B">
              <w:rPr>
                <w:rFonts w:ascii="Garamond" w:eastAsia="Calibri" w:hAnsi="Garamond" w:cs="Calibri"/>
                <w:sz w:val="24"/>
                <w:szCs w:val="24"/>
              </w:rPr>
              <w:t xml:space="preserve"> 10</w:t>
            </w:r>
          </w:p>
        </w:tc>
        <w:tc>
          <w:tcPr>
            <w:tcW w:w="8382" w:type="dxa"/>
            <w:tcBorders>
              <w:top w:val="single" w:sz="2" w:space="0" w:color="000000"/>
              <w:left w:val="single" w:sz="2" w:space="0" w:color="000000"/>
              <w:bottom w:val="single" w:sz="2" w:space="0" w:color="000000"/>
              <w:right w:val="single" w:sz="2" w:space="0" w:color="000000"/>
            </w:tcBorders>
          </w:tcPr>
          <w:p w14:paraId="0BA8C158" w14:textId="77777777" w:rsidR="00B178FD" w:rsidRPr="00AE3F1B" w:rsidRDefault="00B178FD" w:rsidP="00175586">
            <w:pPr>
              <w:spacing w:line="259" w:lineRule="auto"/>
              <w:ind w:left="567" w:right="-3" w:hanging="567"/>
              <w:jc w:val="left"/>
              <w:rPr>
                <w:rFonts w:ascii="Garamond" w:hAnsi="Garamond"/>
                <w:sz w:val="24"/>
                <w:szCs w:val="24"/>
              </w:rPr>
            </w:pPr>
            <w:r w:rsidRPr="00AE3F1B">
              <w:rPr>
                <w:rFonts w:ascii="Garamond" w:eastAsia="Calibri" w:hAnsi="Garamond" w:cs="Calibri"/>
                <w:sz w:val="24"/>
                <w:szCs w:val="24"/>
              </w:rPr>
              <w:t>Weryfikacje negatywna — brak lub błędne wskazanie POB lub MB</w:t>
            </w:r>
          </w:p>
        </w:tc>
      </w:tr>
      <w:tr w:rsidR="00B178FD" w:rsidRPr="00AE3F1B" w14:paraId="62509D33" w14:textId="77777777" w:rsidTr="00B178FD">
        <w:trPr>
          <w:trHeight w:val="324"/>
        </w:trPr>
        <w:tc>
          <w:tcPr>
            <w:tcW w:w="1400" w:type="dxa"/>
            <w:tcBorders>
              <w:top w:val="single" w:sz="2" w:space="0" w:color="000000"/>
              <w:left w:val="single" w:sz="2" w:space="0" w:color="000000"/>
              <w:bottom w:val="single" w:sz="2" w:space="0" w:color="000000"/>
              <w:right w:val="single" w:sz="2" w:space="0" w:color="000000"/>
            </w:tcBorders>
            <w:vAlign w:val="center"/>
          </w:tcPr>
          <w:p w14:paraId="074831B2" w14:textId="77777777" w:rsidR="00B178FD" w:rsidRPr="00AE3F1B" w:rsidRDefault="00B178FD" w:rsidP="00175586">
            <w:pPr>
              <w:tabs>
                <w:tab w:val="left" w:pos="34"/>
              </w:tabs>
              <w:spacing w:line="259" w:lineRule="auto"/>
              <w:ind w:left="567" w:right="-3" w:hanging="567"/>
              <w:jc w:val="left"/>
              <w:rPr>
                <w:rFonts w:ascii="Garamond" w:hAnsi="Garamond"/>
                <w:sz w:val="24"/>
                <w:szCs w:val="24"/>
              </w:rPr>
            </w:pPr>
            <w:r w:rsidRPr="00AE3F1B">
              <w:rPr>
                <w:rFonts w:ascii="Garamond" w:eastAsia="Calibri" w:hAnsi="Garamond" w:cs="Calibri"/>
                <w:sz w:val="24"/>
                <w:szCs w:val="24"/>
              </w:rPr>
              <w:t xml:space="preserve">W </w:t>
            </w:r>
            <w:r w:rsidR="00791F8E">
              <w:rPr>
                <w:rFonts w:ascii="Garamond" w:eastAsia="Calibri" w:hAnsi="Garamond" w:cs="Calibri"/>
                <w:sz w:val="24"/>
                <w:szCs w:val="24"/>
              </w:rPr>
              <w:t>–</w:t>
            </w:r>
            <w:r w:rsidRPr="00AE3F1B">
              <w:rPr>
                <w:rFonts w:ascii="Garamond" w:eastAsia="Calibri" w:hAnsi="Garamond" w:cs="Calibri"/>
                <w:sz w:val="24"/>
                <w:szCs w:val="24"/>
              </w:rPr>
              <w:t xml:space="preserve"> 11</w:t>
            </w:r>
          </w:p>
        </w:tc>
        <w:tc>
          <w:tcPr>
            <w:tcW w:w="8382" w:type="dxa"/>
            <w:tcBorders>
              <w:top w:val="single" w:sz="2" w:space="0" w:color="000000"/>
              <w:left w:val="single" w:sz="2" w:space="0" w:color="000000"/>
              <w:bottom w:val="single" w:sz="2" w:space="0" w:color="000000"/>
              <w:right w:val="single" w:sz="2" w:space="0" w:color="000000"/>
            </w:tcBorders>
          </w:tcPr>
          <w:p w14:paraId="77A72558" w14:textId="77777777" w:rsidR="00B178FD" w:rsidRPr="00AE3F1B" w:rsidRDefault="00B178FD" w:rsidP="00175586">
            <w:pPr>
              <w:spacing w:line="259" w:lineRule="auto"/>
              <w:ind w:left="567" w:right="-3" w:hanging="567"/>
              <w:jc w:val="left"/>
              <w:rPr>
                <w:rFonts w:ascii="Garamond" w:hAnsi="Garamond"/>
                <w:sz w:val="24"/>
                <w:szCs w:val="24"/>
              </w:rPr>
            </w:pPr>
            <w:r w:rsidRPr="00AE3F1B">
              <w:rPr>
                <w:rFonts w:ascii="Garamond" w:eastAsia="Calibri" w:hAnsi="Garamond" w:cs="Calibri"/>
                <w:sz w:val="24"/>
                <w:szCs w:val="24"/>
              </w:rPr>
              <w:t xml:space="preserve">Weryfikacja negatywna </w:t>
            </w:r>
            <w:r w:rsidR="00B23F0A" w:rsidRPr="00AE3F1B">
              <w:rPr>
                <w:rFonts w:ascii="Garamond" w:eastAsia="Calibri" w:hAnsi="Garamond" w:cs="Calibri"/>
                <w:sz w:val="24"/>
                <w:szCs w:val="24"/>
              </w:rPr>
              <w:t>–</w:t>
            </w:r>
            <w:r w:rsidRPr="00AE3F1B">
              <w:rPr>
                <w:rFonts w:ascii="Garamond" w:eastAsia="Calibri" w:hAnsi="Garamond" w:cs="Calibri"/>
                <w:sz w:val="24"/>
                <w:szCs w:val="24"/>
              </w:rPr>
              <w:t xml:space="preserve"> inne</w:t>
            </w:r>
          </w:p>
        </w:tc>
      </w:tr>
    </w:tbl>
    <w:p w14:paraId="7874E145" w14:textId="77777777" w:rsidR="004C1AF1" w:rsidRPr="00AE3F1B" w:rsidRDefault="004C1AF1" w:rsidP="004C1AF1">
      <w:pPr>
        <w:spacing w:after="889" w:line="249" w:lineRule="auto"/>
        <w:ind w:right="-3"/>
        <w:jc w:val="left"/>
        <w:rPr>
          <w:rFonts w:ascii="Garamond" w:hAnsi="Garamond"/>
          <w:sz w:val="24"/>
          <w:szCs w:val="24"/>
        </w:rPr>
      </w:pPr>
    </w:p>
    <w:p w14:paraId="57CCA178" w14:textId="54281CC8" w:rsidR="007F3A2D" w:rsidRPr="00AE3F1B" w:rsidRDefault="007F3A2D" w:rsidP="004C1AF1">
      <w:pPr>
        <w:spacing w:after="15" w:line="249" w:lineRule="auto"/>
        <w:ind w:right="-3"/>
        <w:jc w:val="left"/>
        <w:rPr>
          <w:rFonts w:ascii="Garamond" w:hAnsi="Garamond"/>
          <w:sz w:val="24"/>
          <w:szCs w:val="24"/>
        </w:rPr>
        <w:sectPr w:rsidR="007F3A2D" w:rsidRPr="00AE3F1B" w:rsidSect="00A15D3D">
          <w:headerReference w:type="even" r:id="rId18"/>
          <w:headerReference w:type="default" r:id="rId19"/>
          <w:footerReference w:type="even" r:id="rId20"/>
          <w:footerReference w:type="default" r:id="rId21"/>
          <w:pgSz w:w="11900" w:h="16820"/>
          <w:pgMar w:top="1418" w:right="1134" w:bottom="1418" w:left="1134" w:header="708" w:footer="709" w:gutter="0"/>
          <w:cols w:space="708"/>
        </w:sectPr>
      </w:pPr>
    </w:p>
    <w:p w14:paraId="605B4F6F" w14:textId="77777777" w:rsidR="002A143B" w:rsidRPr="00AE3F1B" w:rsidRDefault="00DA12DF" w:rsidP="00175586">
      <w:pPr>
        <w:spacing w:after="154"/>
        <w:ind w:left="567" w:right="-3" w:hanging="567"/>
        <w:jc w:val="left"/>
        <w:rPr>
          <w:rFonts w:ascii="Garamond" w:hAnsi="Garamond"/>
          <w:sz w:val="24"/>
          <w:szCs w:val="24"/>
        </w:rPr>
      </w:pPr>
      <w:r w:rsidRPr="00791F8E">
        <w:rPr>
          <w:rFonts w:ascii="Garamond" w:hAnsi="Garamond"/>
          <w:b/>
          <w:bCs/>
          <w:sz w:val="24"/>
          <w:szCs w:val="24"/>
        </w:rPr>
        <w:lastRenderedPageBreak/>
        <w:t>Załącznik nr 3</w:t>
      </w:r>
      <w:r w:rsidRPr="00AE3F1B">
        <w:rPr>
          <w:rFonts w:ascii="Garamond" w:hAnsi="Garamond"/>
          <w:sz w:val="24"/>
          <w:szCs w:val="24"/>
        </w:rPr>
        <w:t xml:space="preserve"> do Instrukcji Ruchu i Eksploatacji Sieci Dystrybucyjnej</w:t>
      </w:r>
    </w:p>
    <w:p w14:paraId="2A03432C" w14:textId="77777777" w:rsidR="002A143B" w:rsidRPr="00AE3F1B" w:rsidRDefault="00DA12DF" w:rsidP="00175586">
      <w:pPr>
        <w:spacing w:after="639" w:line="259" w:lineRule="auto"/>
        <w:ind w:left="567" w:right="-3" w:hanging="567"/>
        <w:jc w:val="left"/>
        <w:rPr>
          <w:rFonts w:ascii="Garamond" w:hAnsi="Garamond"/>
          <w:sz w:val="24"/>
          <w:szCs w:val="24"/>
        </w:rPr>
      </w:pPr>
      <w:r w:rsidRPr="00AE3F1B">
        <w:rPr>
          <w:rFonts w:ascii="Garamond" w:hAnsi="Garamond"/>
          <w:noProof/>
          <w:sz w:val="24"/>
          <w:szCs w:val="24"/>
          <w:lang w:eastAsia="pl-PL"/>
        </w:rPr>
        <w:drawing>
          <wp:inline distT="0" distB="0" distL="0" distR="0" wp14:anchorId="6A7525D2" wp14:editId="64685A6A">
            <wp:extent cx="4197927" cy="198089"/>
            <wp:effectExtent l="0" t="0" r="0" b="0"/>
            <wp:docPr id="879815" name="Picture 879815"/>
            <wp:cNvGraphicFramePr/>
            <a:graphic xmlns:a="http://schemas.openxmlformats.org/drawingml/2006/main">
              <a:graphicData uri="http://schemas.openxmlformats.org/drawingml/2006/picture">
                <pic:pic xmlns:pic="http://schemas.openxmlformats.org/drawingml/2006/picture">
                  <pic:nvPicPr>
                    <pic:cNvPr id="879815" name="Picture 879815"/>
                    <pic:cNvPicPr/>
                  </pic:nvPicPr>
                  <pic:blipFill>
                    <a:blip r:embed="rId22" cstate="print"/>
                    <a:stretch>
                      <a:fillRect/>
                    </a:stretch>
                  </pic:blipFill>
                  <pic:spPr>
                    <a:xfrm>
                      <a:off x="0" y="0"/>
                      <a:ext cx="4324023" cy="204039"/>
                    </a:xfrm>
                    <a:prstGeom prst="rect">
                      <a:avLst/>
                    </a:prstGeom>
                  </pic:spPr>
                </pic:pic>
              </a:graphicData>
            </a:graphic>
          </wp:inline>
        </w:drawing>
      </w:r>
    </w:p>
    <w:p w14:paraId="5A34AD66" w14:textId="77777777" w:rsidR="002A143B" w:rsidRPr="00AE3F1B" w:rsidRDefault="00000000" w:rsidP="00175586">
      <w:pPr>
        <w:tabs>
          <w:tab w:val="center" w:pos="2963"/>
        </w:tabs>
        <w:spacing w:after="132" w:line="259" w:lineRule="auto"/>
        <w:ind w:left="567" w:right="-3" w:hanging="567"/>
        <w:jc w:val="left"/>
        <w:rPr>
          <w:rFonts w:ascii="Garamond" w:hAnsi="Garamond"/>
          <w:sz w:val="24"/>
          <w:szCs w:val="24"/>
        </w:rPr>
      </w:pPr>
      <w:r>
        <w:rPr>
          <w:rFonts w:ascii="Garamond" w:hAnsi="Garamond"/>
          <w:noProof/>
          <w:sz w:val="24"/>
          <w:szCs w:val="24"/>
        </w:rPr>
      </w:r>
      <w:r>
        <w:rPr>
          <w:rFonts w:ascii="Garamond" w:hAnsi="Garamond"/>
          <w:noProof/>
          <w:sz w:val="24"/>
          <w:szCs w:val="24"/>
        </w:rPr>
        <w:pict w14:anchorId="1D21C402">
          <v:group id="Group 1229349" o:spid="_x0000_s3074" style="width:118.3pt;height:12.6pt;mso-position-horizontal-relative:char;mso-position-vertical-relative:line" coordsize="16246,1907">
            <v:shape id="Picture 1242509" o:spid="_x0000_s3075" type="#_x0000_t75" style="position:absolute;width:13228;height:15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">
              <v:imagedata r:id="rId23" o:title=""/>
            </v:shape>
            <v:rect id="Rectangle 875760" o:spid="_x0000_s2052" style="position:absolute;left:11308;top:609;width:4938;height:12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" filled="f" stroked="f">
              <v:textbox inset="0,0,0,0">
                <w:txbxContent>
                  <w:p w14:paraId="563578C2" w14:textId="77777777" w:rsidR="00DA12DF" w:rsidRDefault="00DA12DF">
                    <w:pPr>
                      <w:spacing w:after="160" w:line="259" w:lineRule="auto"/>
                      <w:jc w:val="left"/>
                    </w:pPr>
                    <w:r>
                      <w:t>a</w:t>
                    </w:r>
                  </w:p>
                </w:txbxContent>
              </v:textbox>
            </v:rect>
            <w10:anchorlock/>
          </v:group>
        </w:pict>
      </w:r>
    </w:p>
    <w:p w14:paraId="31ED07A9" w14:textId="77777777" w:rsidR="002A143B" w:rsidRPr="00AE3F1B" w:rsidRDefault="00DA12DF" w:rsidP="00175586">
      <w:pPr>
        <w:pStyle w:val="Nagwek4"/>
        <w:spacing w:after="83"/>
        <w:ind w:left="567" w:right="-3" w:hanging="567"/>
        <w:rPr>
          <w:rFonts w:ascii="Garamond" w:hAnsi="Garamond"/>
          <w:sz w:val="24"/>
          <w:szCs w:val="24"/>
        </w:rPr>
      </w:pPr>
      <w:bookmarkStart w:id="100" w:name="_Toc171860260"/>
      <w:r w:rsidRPr="00AE3F1B">
        <w:rPr>
          <w:rFonts w:ascii="Garamond" w:eastAsia="Times New Roman" w:hAnsi="Garamond" w:cs="Times New Roman"/>
          <w:sz w:val="24"/>
          <w:szCs w:val="24"/>
        </w:rPr>
        <w:t>FORMULARZ ZGŁOSZENIA ZMIANY SPRZEDAWCY</w:t>
      </w:r>
      <w:bookmarkEnd w:id="100"/>
    </w:p>
    <w:p w14:paraId="6D4B9D8F" w14:textId="77777777" w:rsidR="002A143B" w:rsidRPr="00AE3F1B" w:rsidRDefault="00DA12DF" w:rsidP="00175586">
      <w:pPr>
        <w:spacing w:after="84" w:line="249" w:lineRule="auto"/>
        <w:ind w:left="567" w:right="-3" w:hanging="567"/>
        <w:jc w:val="left"/>
        <w:rPr>
          <w:rFonts w:ascii="Garamond" w:hAnsi="Garamond"/>
          <w:sz w:val="24"/>
          <w:szCs w:val="24"/>
        </w:rPr>
      </w:pPr>
      <w:r w:rsidRPr="00AE3F1B">
        <w:rPr>
          <w:rFonts w:ascii="Garamond" w:hAnsi="Garamond"/>
          <w:sz w:val="24"/>
          <w:szCs w:val="24"/>
        </w:rPr>
        <w:t>DLA ODBIORCY PRZYŁĄCZONEGO DO SIECI DYSTRYBUCYJNEJ</w:t>
      </w:r>
    </w:p>
    <w:p w14:paraId="08E85583" w14:textId="77777777" w:rsidR="002A143B" w:rsidRPr="00AE3F1B" w:rsidRDefault="00B3461E" w:rsidP="00175586">
      <w:pPr>
        <w:spacing w:after="321" w:line="259" w:lineRule="auto"/>
        <w:ind w:left="567" w:right="-3" w:hanging="567"/>
        <w:jc w:val="left"/>
        <w:rPr>
          <w:rFonts w:ascii="Garamond" w:hAnsi="Garamond"/>
          <w:sz w:val="24"/>
          <w:szCs w:val="24"/>
        </w:rPr>
      </w:pPr>
      <w:r w:rsidRPr="00AE3F1B">
        <w:rPr>
          <w:rFonts w:ascii="Garamond" w:hAnsi="Garamond"/>
          <w:sz w:val="24"/>
          <w:szCs w:val="24"/>
        </w:rPr>
        <w:t>INDUSTRIA DYSTRYBUCJA SP. Z O.O.</w:t>
      </w:r>
    </w:p>
    <w:p w14:paraId="54253F0E" w14:textId="77777777" w:rsidR="002A143B" w:rsidRPr="00AE3F1B" w:rsidRDefault="00DA12DF">
      <w:pPr>
        <w:numPr>
          <w:ilvl w:val="0"/>
          <w:numId w:val="10"/>
        </w:numPr>
        <w:spacing w:after="11" w:line="249" w:lineRule="auto"/>
        <w:ind w:left="567" w:right="-3" w:hanging="567"/>
        <w:jc w:val="left"/>
        <w:rPr>
          <w:rFonts w:ascii="Garamond" w:hAnsi="Garamond"/>
          <w:sz w:val="24"/>
          <w:szCs w:val="24"/>
        </w:rPr>
      </w:pPr>
      <w:r w:rsidRPr="00AE3F1B">
        <w:rPr>
          <w:rFonts w:ascii="Garamond" w:hAnsi="Garamond"/>
          <w:sz w:val="24"/>
          <w:szCs w:val="24"/>
        </w:rPr>
        <w:t>DANE WNIOSKODAWCY</w:t>
      </w:r>
    </w:p>
    <w:p w14:paraId="33F0EC54" w14:textId="77777777" w:rsidR="002A143B" w:rsidRPr="00AE3F1B" w:rsidRDefault="00000000" w:rsidP="00175586">
      <w:pPr>
        <w:spacing w:after="262" w:line="259" w:lineRule="auto"/>
        <w:ind w:left="567" w:right="-3" w:hanging="567"/>
        <w:jc w:val="left"/>
        <w:rPr>
          <w:rFonts w:ascii="Garamond" w:hAnsi="Garamond"/>
          <w:sz w:val="24"/>
          <w:szCs w:val="24"/>
        </w:rPr>
      </w:pPr>
      <w:r>
        <w:rPr>
          <w:rFonts w:ascii="Garamond" w:hAnsi="Garamond"/>
          <w:noProof/>
          <w:sz w:val="24"/>
          <w:szCs w:val="24"/>
        </w:rPr>
      </w:r>
      <w:r>
        <w:rPr>
          <w:rFonts w:ascii="Garamond" w:hAnsi="Garamond"/>
          <w:noProof/>
          <w:sz w:val="24"/>
          <w:szCs w:val="24"/>
        </w:rPr>
        <w:pict w14:anchorId="67C20C84">
          <v:group id="Group 1229350" o:spid="_x0000_s2053" style="width:478.55pt;height:69.75pt;mso-position-horizontal-relative:char;mso-position-vertical-relative:line" coordsize="60777,8856">
            <v:shape id="Picture 1242510" o:spid="_x0000_s2054" type="#_x0000_t75" style="position:absolute;width:60777;height:85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">
              <v:imagedata r:id="rId24" o:title=""/>
            </v:shape>
            <v:rect id="Rectangle 875780" o:spid="_x0000_s2055" style="position:absolute;left:23957;top:7835;width:1783;height:13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" filled="f" stroked="f">
              <v:textbox inset="0,0,0,0">
                <w:txbxContent>
                  <w:p w14:paraId="631472ED" w14:textId="77777777" w:rsidR="00DA12DF" w:rsidRDefault="00DA12DF">
                    <w:pPr>
                      <w:spacing w:after="160" w:line="259" w:lineRule="auto"/>
                      <w:jc w:val="left"/>
                    </w:pPr>
                    <w:r>
                      <w:rPr>
                        <w:sz w:val="14"/>
                      </w:rPr>
                      <w:t>NIP</w:t>
                    </w:r>
                  </w:p>
                </w:txbxContent>
              </v:textbox>
            </v:rect>
            <w10:anchorlock/>
          </v:group>
        </w:pict>
      </w:r>
    </w:p>
    <w:p w14:paraId="3CA7301A" w14:textId="77777777" w:rsidR="002A143B" w:rsidRPr="00AE3F1B" w:rsidRDefault="00DA12DF" w:rsidP="00175586">
      <w:pPr>
        <w:ind w:left="567" w:right="-3" w:hanging="567"/>
        <w:jc w:val="left"/>
        <w:rPr>
          <w:rFonts w:ascii="Garamond" w:hAnsi="Garamond"/>
          <w:sz w:val="24"/>
          <w:szCs w:val="24"/>
        </w:rPr>
      </w:pPr>
      <w:r w:rsidRPr="00AE3F1B">
        <w:rPr>
          <w:rFonts w:ascii="Garamond" w:hAnsi="Garamond"/>
          <w:sz w:val="24"/>
          <w:szCs w:val="24"/>
        </w:rPr>
        <w:t>Adres stałego zameldowania / Adres wnioskodawcy</w:t>
      </w:r>
    </w:p>
    <w:p w14:paraId="74ED2A43" w14:textId="77777777" w:rsidR="002A143B" w:rsidRPr="00AE3F1B" w:rsidRDefault="00DA12DF" w:rsidP="00175586">
      <w:pPr>
        <w:spacing w:after="147" w:line="259" w:lineRule="auto"/>
        <w:ind w:left="567" w:right="-3" w:hanging="567"/>
        <w:jc w:val="left"/>
        <w:rPr>
          <w:rFonts w:ascii="Garamond" w:hAnsi="Garamond"/>
          <w:sz w:val="24"/>
          <w:szCs w:val="24"/>
        </w:rPr>
      </w:pPr>
      <w:r w:rsidRPr="00AE3F1B">
        <w:rPr>
          <w:rFonts w:ascii="Garamond" w:hAnsi="Garamond"/>
          <w:noProof/>
          <w:sz w:val="24"/>
          <w:szCs w:val="24"/>
          <w:lang w:eastAsia="pl-PL"/>
        </w:rPr>
        <w:drawing>
          <wp:inline distT="0" distB="0" distL="0" distR="0" wp14:anchorId="1A670AC2" wp14:editId="7E14700B">
            <wp:extent cx="6252254" cy="1536700"/>
            <wp:effectExtent l="0" t="0" r="0" b="6350"/>
            <wp:docPr id="1242511" name="Picture 1242511"/>
            <wp:cNvGraphicFramePr/>
            <a:graphic xmlns:a="http://schemas.openxmlformats.org/drawingml/2006/main">
              <a:graphicData uri="http://schemas.openxmlformats.org/drawingml/2006/picture">
                <pic:pic xmlns:pic="http://schemas.openxmlformats.org/drawingml/2006/picture">
                  <pic:nvPicPr>
                    <pic:cNvPr id="1242511" name="Picture 1242511"/>
                    <pic:cNvPicPr/>
                  </pic:nvPicPr>
                  <pic:blipFill>
                    <a:blip r:embed="rId25" cstate="print"/>
                    <a:stretch>
                      <a:fillRect/>
                    </a:stretch>
                  </pic:blipFill>
                  <pic:spPr>
                    <a:xfrm>
                      <a:off x="0" y="0"/>
                      <a:ext cx="6255288" cy="1537446"/>
                    </a:xfrm>
                    <a:prstGeom prst="rect">
                      <a:avLst/>
                    </a:prstGeom>
                  </pic:spPr>
                </pic:pic>
              </a:graphicData>
            </a:graphic>
          </wp:inline>
        </w:drawing>
      </w:r>
    </w:p>
    <w:p w14:paraId="497B3DDB" w14:textId="07C0CBEA" w:rsidR="002A143B" w:rsidRPr="00AE3F1B" w:rsidRDefault="00DA12DF">
      <w:pPr>
        <w:numPr>
          <w:ilvl w:val="0"/>
          <w:numId w:val="10"/>
        </w:numPr>
        <w:spacing w:after="121"/>
        <w:ind w:left="567" w:right="-3" w:hanging="567"/>
        <w:jc w:val="left"/>
        <w:rPr>
          <w:rFonts w:ascii="Garamond" w:hAnsi="Garamond"/>
          <w:sz w:val="24"/>
          <w:szCs w:val="24"/>
        </w:rPr>
      </w:pPr>
      <w:r w:rsidRPr="00AE3F1B">
        <w:rPr>
          <w:rFonts w:ascii="Garamond" w:hAnsi="Garamond"/>
          <w:sz w:val="24"/>
          <w:szCs w:val="24"/>
        </w:rPr>
        <w:t>WNIOSEK DOTYCZY PUNK</w:t>
      </w:r>
      <w:r w:rsidR="00BE3DC0">
        <w:rPr>
          <w:rFonts w:ascii="Garamond" w:hAnsi="Garamond"/>
          <w:sz w:val="24"/>
          <w:szCs w:val="24"/>
        </w:rPr>
        <w:t>TU</w:t>
      </w:r>
      <w:r w:rsidRPr="00AE3F1B">
        <w:rPr>
          <w:rFonts w:ascii="Garamond" w:hAnsi="Garamond"/>
          <w:sz w:val="24"/>
          <w:szCs w:val="24"/>
        </w:rPr>
        <w:t xml:space="preserve"> POBORU ENERGII ELEKTRYCZNEJ</w:t>
      </w:r>
    </w:p>
    <w:p w14:paraId="1800DB98" w14:textId="01C1B5D7" w:rsidR="002A143B" w:rsidRPr="00AE3F1B" w:rsidRDefault="00885931" w:rsidP="00175586">
      <w:pPr>
        <w:tabs>
          <w:tab w:val="center" w:pos="2795"/>
          <w:tab w:val="center" w:pos="5145"/>
        </w:tabs>
        <w:spacing w:after="93" w:line="259" w:lineRule="auto"/>
        <w:ind w:left="567" w:right="-3" w:hanging="567"/>
        <w:jc w:val="left"/>
        <w:rPr>
          <w:rFonts w:ascii="Garamond" w:hAnsi="Garamond"/>
          <w:sz w:val="24"/>
          <w:szCs w:val="24"/>
        </w:rPr>
      </w:pPr>
      <w:r w:rsidRPr="00AE3F1B">
        <w:rPr>
          <w:rFonts w:ascii="Garamond" w:hAnsi="Garamond"/>
          <w:noProof/>
          <w:sz w:val="24"/>
          <w:szCs w:val="24"/>
          <w:lang w:eastAsia="pl-PL"/>
        </w:rPr>
        <w:drawing>
          <wp:anchor distT="0" distB="0" distL="114300" distR="114300" simplePos="0" relativeHeight="251761664" behindDoc="0" locked="0" layoutInCell="1" allowOverlap="0" wp14:anchorId="711B3F58" wp14:editId="3D59FBCB">
            <wp:simplePos x="0" y="0"/>
            <wp:positionH relativeFrom="column">
              <wp:posOffset>3270250</wp:posOffset>
            </wp:positionH>
            <wp:positionV relativeFrom="paragraph">
              <wp:posOffset>31115</wp:posOffset>
            </wp:positionV>
            <wp:extent cx="306070" cy="196850"/>
            <wp:effectExtent l="0" t="0" r="0" b="0"/>
            <wp:wrapSquare wrapText="bothSides"/>
            <wp:docPr id="1578888861" name="Picture 879818" descr="Obraz zawierający tekst, zrzut ekranu, Prostokąt, linia&#10;&#10;Opis wygenerowany automatycznie"/>
            <wp:cNvGraphicFramePr/>
            <a:graphic xmlns:a="http://schemas.openxmlformats.org/drawingml/2006/main">
              <a:graphicData uri="http://schemas.openxmlformats.org/drawingml/2006/picture">
                <pic:pic xmlns:pic="http://schemas.openxmlformats.org/drawingml/2006/picture">
                  <pic:nvPicPr>
                    <pic:cNvPr id="1578888861" name="Picture 879818" descr="Obraz zawierający tekst, zrzut ekranu, Prostokąt, linia&#10;&#10;Opis wygenerowany automatycznie"/>
                    <pic:cNvPicPr/>
                  </pic:nvPicPr>
                  <pic:blipFill rotWithShape="1">
                    <a:blip r:embed="rId26" cstate="print"/>
                    <a:srcRect l="53743" b="53523"/>
                    <a:stretch/>
                  </pic:blipFill>
                  <pic:spPr bwMode="auto">
                    <a:xfrm>
                      <a:off x="0" y="0"/>
                      <a:ext cx="306070" cy="196850"/>
                    </a:xfrm>
                    <a:prstGeom prst="rect">
                      <a:avLst/>
                    </a:prstGeom>
                    <a:ln>
                      <a:noFill/>
                    </a:ln>
                    <a:extLst>
                      <a:ext uri="{53640926-AAD7-44D8-BBD7-CCE9431645EC}">
                        <a14:shadowObscured xmlns:a14="http://schemas.microsoft.com/office/drawing/2010/main"/>
                      </a:ext>
                    </a:extLst>
                  </pic:spPr>
                </pic:pic>
              </a:graphicData>
            </a:graphic>
          </wp:anchor>
        </w:drawing>
      </w:r>
      <w:r w:rsidRPr="00AE3F1B">
        <w:rPr>
          <w:rFonts w:ascii="Garamond" w:hAnsi="Garamond"/>
          <w:noProof/>
          <w:sz w:val="24"/>
          <w:szCs w:val="24"/>
          <w:lang w:eastAsia="pl-PL"/>
        </w:rPr>
        <w:drawing>
          <wp:anchor distT="0" distB="0" distL="114300" distR="114300" simplePos="0" relativeHeight="251678720" behindDoc="0" locked="0" layoutInCell="1" allowOverlap="0" wp14:anchorId="401D7915" wp14:editId="45BAE868">
            <wp:simplePos x="0" y="0"/>
            <wp:positionH relativeFrom="column">
              <wp:posOffset>1269365</wp:posOffset>
            </wp:positionH>
            <wp:positionV relativeFrom="paragraph">
              <wp:posOffset>3810</wp:posOffset>
            </wp:positionV>
            <wp:extent cx="306070" cy="196850"/>
            <wp:effectExtent l="0" t="0" r="0" b="0"/>
            <wp:wrapSquare wrapText="bothSides"/>
            <wp:docPr id="879818" name="Picture 879818"/>
            <wp:cNvGraphicFramePr/>
            <a:graphic xmlns:a="http://schemas.openxmlformats.org/drawingml/2006/main">
              <a:graphicData uri="http://schemas.openxmlformats.org/drawingml/2006/picture">
                <pic:pic xmlns:pic="http://schemas.openxmlformats.org/drawingml/2006/picture">
                  <pic:nvPicPr>
                    <pic:cNvPr id="879818" name="Picture 879818"/>
                    <pic:cNvPicPr/>
                  </pic:nvPicPr>
                  <pic:blipFill rotWithShape="1">
                    <a:blip r:embed="rId26" cstate="print"/>
                    <a:srcRect l="53743" b="53523"/>
                    <a:stretch/>
                  </pic:blipFill>
                  <pic:spPr bwMode="auto">
                    <a:xfrm>
                      <a:off x="0" y="0"/>
                      <a:ext cx="306070" cy="196850"/>
                    </a:xfrm>
                    <a:prstGeom prst="rect">
                      <a:avLst/>
                    </a:prstGeom>
                    <a:ln>
                      <a:noFill/>
                    </a:ln>
                    <a:extLst>
                      <a:ext uri="{53640926-AAD7-44D8-BBD7-CCE9431645EC}">
                        <a14:shadowObscured xmlns:a14="http://schemas.microsoft.com/office/drawing/2010/main"/>
                      </a:ext>
                    </a:extLst>
                  </pic:spPr>
                </pic:pic>
              </a:graphicData>
            </a:graphic>
          </wp:anchor>
        </w:drawing>
      </w:r>
      <w:r w:rsidR="00107781" w:rsidRPr="00AE3F1B">
        <w:rPr>
          <w:rFonts w:ascii="Garamond" w:hAnsi="Garamond"/>
          <w:sz w:val="24"/>
          <w:szCs w:val="24"/>
        </w:rPr>
        <w:t>Rodzaj odbiorcy</w:t>
      </w:r>
      <w:r w:rsidRPr="00AE3F1B">
        <w:rPr>
          <w:rFonts w:ascii="Garamond" w:hAnsi="Garamond"/>
          <w:sz w:val="24"/>
          <w:szCs w:val="24"/>
        </w:rPr>
        <w:t xml:space="preserve"> *</w:t>
      </w:r>
      <w:r w:rsidRPr="00AE3F1B">
        <w:rPr>
          <w:rFonts w:ascii="Garamond" w:hAnsi="Garamond"/>
          <w:sz w:val="24"/>
          <w:szCs w:val="24"/>
        </w:rPr>
        <w:tab/>
        <w:t>Gospodarstwo domowe</w:t>
      </w:r>
      <w:r w:rsidRPr="00AE3F1B">
        <w:rPr>
          <w:rFonts w:ascii="Garamond" w:hAnsi="Garamond"/>
          <w:sz w:val="24"/>
          <w:szCs w:val="24"/>
        </w:rPr>
        <w:tab/>
        <w:t xml:space="preserve">              Podmiot gospodarczy</w:t>
      </w:r>
      <w:r w:rsidRPr="00AE3F1B">
        <w:rPr>
          <w:rFonts w:ascii="Garamond" w:hAnsi="Garamond"/>
          <w:noProof/>
          <w:sz w:val="24"/>
          <w:szCs w:val="24"/>
          <w:lang w:eastAsia="pl-PL"/>
        </w:rPr>
        <w:drawing>
          <wp:inline distT="0" distB="0" distL="0" distR="0" wp14:anchorId="2E72A617" wp14:editId="7F5A7EB1">
            <wp:extent cx="3048" cy="6097"/>
            <wp:effectExtent l="0" t="0" r="0" b="0"/>
            <wp:docPr id="879657" name="Picture 879657"/>
            <wp:cNvGraphicFramePr/>
            <a:graphic xmlns:a="http://schemas.openxmlformats.org/drawingml/2006/main">
              <a:graphicData uri="http://schemas.openxmlformats.org/drawingml/2006/picture">
                <pic:pic xmlns:pic="http://schemas.openxmlformats.org/drawingml/2006/picture">
                  <pic:nvPicPr>
                    <pic:cNvPr id="879657" name="Picture 879657"/>
                    <pic:cNvPicPr/>
                  </pic:nvPicPr>
                  <pic:blipFill>
                    <a:blip r:embed="rId27"/>
                    <a:stretch>
                      <a:fillRect/>
                    </a:stretch>
                  </pic:blipFill>
                  <pic:spPr>
                    <a:xfrm>
                      <a:off x="0" y="0"/>
                      <a:ext cx="3048" cy="6097"/>
                    </a:xfrm>
                    <a:prstGeom prst="rect">
                      <a:avLst/>
                    </a:prstGeom>
                  </pic:spPr>
                </pic:pic>
              </a:graphicData>
            </a:graphic>
          </wp:inline>
        </w:drawing>
      </w:r>
    </w:p>
    <w:p w14:paraId="73F5124F" w14:textId="77777777" w:rsidR="002A143B" w:rsidRPr="00AE3F1B" w:rsidRDefault="00DA12DF" w:rsidP="00175586">
      <w:pPr>
        <w:tabs>
          <w:tab w:val="center" w:pos="7718"/>
        </w:tabs>
        <w:spacing w:after="175" w:line="259" w:lineRule="auto"/>
        <w:ind w:left="567" w:right="-3" w:hanging="567"/>
        <w:jc w:val="left"/>
        <w:rPr>
          <w:rFonts w:ascii="Garamond" w:hAnsi="Garamond"/>
          <w:sz w:val="24"/>
          <w:szCs w:val="24"/>
        </w:rPr>
      </w:pPr>
      <w:r w:rsidRPr="00AE3F1B">
        <w:rPr>
          <w:rFonts w:ascii="Garamond" w:hAnsi="Garamond"/>
          <w:sz w:val="24"/>
          <w:szCs w:val="24"/>
        </w:rPr>
        <w:t>Grupa taryfowa stosowana dotychczas</w:t>
      </w:r>
      <w:r w:rsidR="00885931" w:rsidRPr="00AE3F1B">
        <w:rPr>
          <w:rFonts w:ascii="Garamond" w:hAnsi="Garamond"/>
          <w:noProof/>
          <w:sz w:val="24"/>
          <w:szCs w:val="24"/>
          <w:lang w:eastAsia="pl-PL"/>
        </w:rPr>
        <w:drawing>
          <wp:inline distT="0" distB="0" distL="0" distR="0" wp14:anchorId="4DBB514C" wp14:editId="262ABA56">
            <wp:extent cx="1112946" cy="148590"/>
            <wp:effectExtent l="0" t="0" r="0" b="3810"/>
            <wp:docPr id="959833006" name="Picture 879820" descr="Obraz zawierający Prostokąt, tekst, zrzut ekranu&#10;&#10;Opis wygenerowany automatycznie"/>
            <wp:cNvGraphicFramePr/>
            <a:graphic xmlns:a="http://schemas.openxmlformats.org/drawingml/2006/main">
              <a:graphicData uri="http://schemas.openxmlformats.org/drawingml/2006/picture">
                <pic:pic xmlns:pic="http://schemas.openxmlformats.org/drawingml/2006/picture">
                  <pic:nvPicPr>
                    <pic:cNvPr id="879820" name="Picture 879820" descr="Obraz zawierający Prostokąt, tekst, zrzut ekranu&#10;&#10;Opis wygenerowany automatycznie"/>
                    <pic:cNvPicPr/>
                  </pic:nvPicPr>
                  <pic:blipFill>
                    <a:blip r:embed="rId28" cstate="print"/>
                    <a:stretch>
                      <a:fillRect/>
                    </a:stretch>
                  </pic:blipFill>
                  <pic:spPr>
                    <a:xfrm>
                      <a:off x="0" y="0"/>
                      <a:ext cx="1116217" cy="149027"/>
                    </a:xfrm>
                    <a:prstGeom prst="rect">
                      <a:avLst/>
                    </a:prstGeom>
                  </pic:spPr>
                </pic:pic>
              </a:graphicData>
            </a:graphic>
          </wp:inline>
        </w:drawing>
      </w:r>
      <w:r w:rsidR="00885931" w:rsidRPr="00AE3F1B">
        <w:rPr>
          <w:rFonts w:ascii="Garamond" w:hAnsi="Garamond"/>
          <w:sz w:val="24"/>
          <w:szCs w:val="24"/>
        </w:rPr>
        <w:br/>
      </w:r>
      <w:r w:rsidRPr="00AE3F1B">
        <w:rPr>
          <w:rFonts w:ascii="Garamond" w:hAnsi="Garamond"/>
          <w:sz w:val="24"/>
          <w:szCs w:val="24"/>
        </w:rPr>
        <w:t>Moc umowna w kW</w:t>
      </w:r>
      <w:r w:rsidRPr="00AE3F1B">
        <w:rPr>
          <w:rFonts w:ascii="Garamond" w:hAnsi="Garamond"/>
          <w:sz w:val="24"/>
          <w:szCs w:val="24"/>
        </w:rPr>
        <w:tab/>
      </w:r>
      <w:r w:rsidR="00885931" w:rsidRPr="00AE3F1B">
        <w:rPr>
          <w:rFonts w:ascii="Garamond" w:hAnsi="Garamond"/>
          <w:noProof/>
          <w:sz w:val="24"/>
          <w:szCs w:val="24"/>
          <w:lang w:eastAsia="pl-PL"/>
        </w:rPr>
        <w:drawing>
          <wp:inline distT="0" distB="0" distL="0" distR="0" wp14:anchorId="503B3408" wp14:editId="0A47F8FE">
            <wp:extent cx="1112946" cy="148590"/>
            <wp:effectExtent l="0" t="0" r="0" b="3810"/>
            <wp:docPr id="879820" name="Picture 879820" descr="Obraz zawierający Prostokąt, tekst, zrzut ekranu&#10;&#10;Opis wygenerowany automatycznie"/>
            <wp:cNvGraphicFramePr/>
            <a:graphic xmlns:a="http://schemas.openxmlformats.org/drawingml/2006/main">
              <a:graphicData uri="http://schemas.openxmlformats.org/drawingml/2006/picture">
                <pic:pic xmlns:pic="http://schemas.openxmlformats.org/drawingml/2006/picture">
                  <pic:nvPicPr>
                    <pic:cNvPr id="879820" name="Picture 879820" descr="Obraz zawierający Prostokąt, tekst, zrzut ekranu&#10;&#10;Opis wygenerowany automatycznie"/>
                    <pic:cNvPicPr/>
                  </pic:nvPicPr>
                  <pic:blipFill>
                    <a:blip r:embed="rId28" cstate="print"/>
                    <a:stretch>
                      <a:fillRect/>
                    </a:stretch>
                  </pic:blipFill>
                  <pic:spPr>
                    <a:xfrm>
                      <a:off x="0" y="0"/>
                      <a:ext cx="1116217" cy="149027"/>
                    </a:xfrm>
                    <a:prstGeom prst="rect">
                      <a:avLst/>
                    </a:prstGeom>
                  </pic:spPr>
                </pic:pic>
              </a:graphicData>
            </a:graphic>
          </wp:inline>
        </w:drawing>
      </w:r>
    </w:p>
    <w:p w14:paraId="1BCC5477" w14:textId="77777777" w:rsidR="002A143B" w:rsidRPr="00AE3F1B" w:rsidRDefault="00DA12DF" w:rsidP="00175586">
      <w:pPr>
        <w:ind w:left="567" w:right="-3" w:hanging="567"/>
        <w:jc w:val="left"/>
        <w:rPr>
          <w:rFonts w:ascii="Garamond" w:hAnsi="Garamond"/>
          <w:sz w:val="24"/>
          <w:szCs w:val="24"/>
        </w:rPr>
      </w:pPr>
      <w:r w:rsidRPr="00AE3F1B">
        <w:rPr>
          <w:rFonts w:ascii="Garamond" w:hAnsi="Garamond"/>
          <w:sz w:val="24"/>
          <w:szCs w:val="24"/>
        </w:rPr>
        <w:t>Nazwa i Adres Punktu Poboru Energii Elektrycznej</w:t>
      </w:r>
    </w:p>
    <w:tbl>
      <w:tblPr>
        <w:tblStyle w:val="TableGrid"/>
        <w:tblW w:w="9821" w:type="dxa"/>
        <w:tblInd w:w="-71" w:type="dxa"/>
        <w:tblCellMar>
          <w:top w:w="157" w:type="dxa"/>
          <w:left w:w="100" w:type="dxa"/>
          <w:right w:w="115" w:type="dxa"/>
        </w:tblCellMar>
        <w:tblLook w:val="04A0" w:firstRow="1" w:lastRow="0" w:firstColumn="1" w:lastColumn="0" w:noHBand="0" w:noVBand="1"/>
      </w:tblPr>
      <w:tblGrid>
        <w:gridCol w:w="9821"/>
      </w:tblGrid>
      <w:tr w:rsidR="002A143B" w:rsidRPr="00AE3F1B" w14:paraId="5D13AD44" w14:textId="77777777" w:rsidTr="008C55DA">
        <w:trPr>
          <w:trHeight w:val="2416"/>
        </w:trPr>
        <w:tc>
          <w:tcPr>
            <w:tcW w:w="9821" w:type="dxa"/>
            <w:tcBorders>
              <w:top w:val="single" w:sz="2" w:space="0" w:color="000000"/>
              <w:left w:val="single" w:sz="2" w:space="0" w:color="000000"/>
              <w:bottom w:val="single" w:sz="2" w:space="0" w:color="000000"/>
              <w:right w:val="single" w:sz="2" w:space="0" w:color="000000"/>
            </w:tcBorders>
          </w:tcPr>
          <w:p w14:paraId="08D12523" w14:textId="77777777" w:rsidR="002A143B" w:rsidRPr="00AE3F1B" w:rsidRDefault="00DA12DF" w:rsidP="00175586">
            <w:pPr>
              <w:spacing w:after="144" w:line="259" w:lineRule="auto"/>
              <w:ind w:left="567" w:right="-3" w:hanging="567"/>
              <w:jc w:val="left"/>
              <w:rPr>
                <w:rFonts w:ascii="Garamond" w:hAnsi="Garamond"/>
                <w:sz w:val="24"/>
                <w:szCs w:val="24"/>
              </w:rPr>
            </w:pPr>
            <w:r w:rsidRPr="00AE3F1B">
              <w:rPr>
                <w:rFonts w:ascii="Garamond" w:hAnsi="Garamond"/>
                <w:noProof/>
                <w:sz w:val="24"/>
                <w:szCs w:val="24"/>
                <w:lang w:eastAsia="pl-PL"/>
              </w:rPr>
              <w:drawing>
                <wp:inline distT="0" distB="0" distL="0" distR="0" wp14:anchorId="0627D2D6" wp14:editId="40D015D0">
                  <wp:extent cx="6071617" cy="323181"/>
                  <wp:effectExtent l="0" t="0" r="0" b="0"/>
                  <wp:docPr id="1242513" name="Picture 1242513"/>
                  <wp:cNvGraphicFramePr/>
                  <a:graphic xmlns:a="http://schemas.openxmlformats.org/drawingml/2006/main">
                    <a:graphicData uri="http://schemas.openxmlformats.org/drawingml/2006/picture">
                      <pic:pic xmlns:pic="http://schemas.openxmlformats.org/drawingml/2006/picture">
                        <pic:nvPicPr>
                          <pic:cNvPr id="1242513" name="Picture 1242513"/>
                          <pic:cNvPicPr/>
                        </pic:nvPicPr>
                        <pic:blipFill>
                          <a:blip r:embed="rId29" cstate="print"/>
                          <a:stretch>
                            <a:fillRect/>
                          </a:stretch>
                        </pic:blipFill>
                        <pic:spPr>
                          <a:xfrm>
                            <a:off x="0" y="0"/>
                            <a:ext cx="6071617" cy="323181"/>
                          </a:xfrm>
                          <a:prstGeom prst="rect">
                            <a:avLst/>
                          </a:prstGeom>
                        </pic:spPr>
                      </pic:pic>
                    </a:graphicData>
                  </a:graphic>
                </wp:inline>
              </w:drawing>
            </w:r>
          </w:p>
          <w:p w14:paraId="5A8A6344" w14:textId="77777777" w:rsidR="002A143B" w:rsidRPr="00AE3F1B" w:rsidRDefault="00DA12DF" w:rsidP="00175586">
            <w:pPr>
              <w:spacing w:line="259" w:lineRule="auto"/>
              <w:ind w:left="567" w:right="-3" w:hanging="567"/>
              <w:jc w:val="left"/>
              <w:rPr>
                <w:rFonts w:ascii="Garamond" w:hAnsi="Garamond"/>
                <w:sz w:val="24"/>
                <w:szCs w:val="24"/>
              </w:rPr>
            </w:pPr>
            <w:r w:rsidRPr="00AE3F1B">
              <w:rPr>
                <w:rFonts w:ascii="Garamond" w:hAnsi="Garamond"/>
                <w:noProof/>
                <w:sz w:val="24"/>
                <w:szCs w:val="24"/>
                <w:lang w:eastAsia="pl-PL"/>
              </w:rPr>
              <w:drawing>
                <wp:inline distT="0" distB="0" distL="0" distR="0" wp14:anchorId="09E19DA3" wp14:editId="2F693E39">
                  <wp:extent cx="4980433" cy="314033"/>
                  <wp:effectExtent l="0" t="0" r="0" b="0"/>
                  <wp:docPr id="1242515" name="Picture 1242515"/>
                  <wp:cNvGraphicFramePr/>
                  <a:graphic xmlns:a="http://schemas.openxmlformats.org/drawingml/2006/main">
                    <a:graphicData uri="http://schemas.openxmlformats.org/drawingml/2006/picture">
                      <pic:pic xmlns:pic="http://schemas.openxmlformats.org/drawingml/2006/picture">
                        <pic:nvPicPr>
                          <pic:cNvPr id="1242515" name="Picture 1242515"/>
                          <pic:cNvPicPr/>
                        </pic:nvPicPr>
                        <pic:blipFill>
                          <a:blip r:embed="rId30" cstate="print"/>
                          <a:stretch>
                            <a:fillRect/>
                          </a:stretch>
                        </pic:blipFill>
                        <pic:spPr>
                          <a:xfrm>
                            <a:off x="0" y="0"/>
                            <a:ext cx="4980433" cy="314033"/>
                          </a:xfrm>
                          <a:prstGeom prst="rect">
                            <a:avLst/>
                          </a:prstGeom>
                        </pic:spPr>
                      </pic:pic>
                    </a:graphicData>
                  </a:graphic>
                </wp:inline>
              </w:drawing>
            </w:r>
          </w:p>
          <w:tbl>
            <w:tblPr>
              <w:tblStyle w:val="TableGrid"/>
              <w:tblW w:w="8195" w:type="dxa"/>
              <w:tblInd w:w="10" w:type="dxa"/>
              <w:tblCellMar>
                <w:left w:w="77" w:type="dxa"/>
                <w:bottom w:w="78" w:type="dxa"/>
                <w:right w:w="48" w:type="dxa"/>
              </w:tblCellMar>
              <w:tblLook w:val="04A0" w:firstRow="1" w:lastRow="0" w:firstColumn="1" w:lastColumn="0" w:noHBand="0" w:noVBand="1"/>
            </w:tblPr>
            <w:tblGrid>
              <w:gridCol w:w="1111"/>
              <w:gridCol w:w="336"/>
              <w:gridCol w:w="340"/>
              <w:gridCol w:w="336"/>
              <w:gridCol w:w="264"/>
              <w:gridCol w:w="74"/>
              <w:gridCol w:w="337"/>
              <w:gridCol w:w="315"/>
              <w:gridCol w:w="22"/>
              <w:gridCol w:w="338"/>
              <w:gridCol w:w="337"/>
              <w:gridCol w:w="337"/>
              <w:gridCol w:w="337"/>
              <w:gridCol w:w="338"/>
              <w:gridCol w:w="337"/>
              <w:gridCol w:w="337"/>
              <w:gridCol w:w="338"/>
              <w:gridCol w:w="337"/>
              <w:gridCol w:w="337"/>
              <w:gridCol w:w="337"/>
              <w:gridCol w:w="338"/>
              <w:gridCol w:w="337"/>
              <w:gridCol w:w="337"/>
              <w:gridCol w:w="338"/>
            </w:tblGrid>
            <w:tr w:rsidR="002A143B" w:rsidRPr="00AE3F1B" w14:paraId="22E6E14D" w14:textId="77777777" w:rsidTr="008C55DA">
              <w:trPr>
                <w:trHeight w:val="501"/>
              </w:trPr>
              <w:tc>
                <w:tcPr>
                  <w:tcW w:w="1112" w:type="dxa"/>
                  <w:tcBorders>
                    <w:top w:val="single" w:sz="2" w:space="0" w:color="000000"/>
                    <w:left w:val="single" w:sz="2" w:space="0" w:color="000000"/>
                    <w:bottom w:val="single" w:sz="2" w:space="0" w:color="000000"/>
                    <w:right w:val="single" w:sz="2" w:space="0" w:color="000000"/>
                  </w:tcBorders>
                  <w:vAlign w:val="center"/>
                </w:tcPr>
                <w:p w14:paraId="0A0F0059" w14:textId="77777777" w:rsidR="002A143B" w:rsidRPr="00AE3F1B" w:rsidRDefault="00DA12DF" w:rsidP="00175586">
                  <w:pPr>
                    <w:spacing w:line="259" w:lineRule="auto"/>
                    <w:ind w:left="567" w:right="-3" w:hanging="567"/>
                    <w:jc w:val="left"/>
                    <w:rPr>
                      <w:rFonts w:ascii="Garamond" w:hAnsi="Garamond"/>
                      <w:sz w:val="24"/>
                      <w:szCs w:val="24"/>
                    </w:rPr>
                  </w:pPr>
                  <w:r w:rsidRPr="00AE3F1B">
                    <w:rPr>
                      <w:rFonts w:ascii="Garamond" w:hAnsi="Garamond"/>
                      <w:sz w:val="24"/>
                      <w:szCs w:val="24"/>
                    </w:rPr>
                    <w:t>Nr PPE*</w:t>
                  </w:r>
                </w:p>
              </w:tc>
              <w:tc>
                <w:tcPr>
                  <w:tcW w:w="337" w:type="dxa"/>
                  <w:tcBorders>
                    <w:top w:val="single" w:sz="2" w:space="0" w:color="000000"/>
                    <w:left w:val="single" w:sz="2" w:space="0" w:color="000000"/>
                    <w:bottom w:val="single" w:sz="2" w:space="0" w:color="000000"/>
                    <w:right w:val="single" w:sz="2" w:space="0" w:color="000000"/>
                  </w:tcBorders>
                  <w:vAlign w:val="center"/>
                </w:tcPr>
                <w:p w14:paraId="7C8D053C" w14:textId="77777777" w:rsidR="002A143B" w:rsidRPr="00AE3F1B" w:rsidRDefault="00B3461E" w:rsidP="00175586">
                  <w:pPr>
                    <w:spacing w:after="100" w:afterAutospacing="1" w:line="259" w:lineRule="auto"/>
                    <w:ind w:left="567" w:right="-3" w:hanging="567"/>
                    <w:jc w:val="center"/>
                    <w:rPr>
                      <w:rFonts w:ascii="Garamond" w:hAnsi="Garamond"/>
                      <w:sz w:val="24"/>
                      <w:szCs w:val="24"/>
                    </w:rPr>
                  </w:pPr>
                  <w:r w:rsidRPr="00AE3F1B">
                    <w:rPr>
                      <w:rFonts w:ascii="Garamond" w:hAnsi="Garamond"/>
                      <w:sz w:val="24"/>
                      <w:szCs w:val="24"/>
                    </w:rPr>
                    <w:t>5</w:t>
                  </w:r>
                </w:p>
              </w:tc>
              <w:tc>
                <w:tcPr>
                  <w:tcW w:w="337" w:type="dxa"/>
                  <w:tcBorders>
                    <w:top w:val="single" w:sz="2" w:space="0" w:color="000000"/>
                    <w:left w:val="single" w:sz="2" w:space="0" w:color="000000"/>
                    <w:bottom w:val="single" w:sz="2" w:space="0" w:color="000000"/>
                    <w:right w:val="single" w:sz="2" w:space="0" w:color="000000"/>
                  </w:tcBorders>
                  <w:vAlign w:val="center"/>
                </w:tcPr>
                <w:p w14:paraId="490EC3C2" w14:textId="77777777" w:rsidR="002A143B" w:rsidRPr="00AE3F1B" w:rsidRDefault="008711AB" w:rsidP="00175586">
                  <w:pPr>
                    <w:spacing w:after="100" w:afterAutospacing="1" w:line="259" w:lineRule="auto"/>
                    <w:ind w:left="567" w:right="-3" w:hanging="567"/>
                    <w:jc w:val="center"/>
                    <w:rPr>
                      <w:rFonts w:ascii="Garamond" w:hAnsi="Garamond"/>
                      <w:sz w:val="24"/>
                      <w:szCs w:val="24"/>
                    </w:rPr>
                  </w:pPr>
                  <w:r w:rsidRPr="00AE3F1B">
                    <w:rPr>
                      <w:rFonts w:ascii="Garamond" w:hAnsi="Garamond"/>
                      <w:sz w:val="24"/>
                      <w:szCs w:val="24"/>
                    </w:rPr>
                    <w:t>9</w:t>
                  </w:r>
                </w:p>
              </w:tc>
              <w:tc>
                <w:tcPr>
                  <w:tcW w:w="337" w:type="dxa"/>
                  <w:tcBorders>
                    <w:top w:val="single" w:sz="2" w:space="0" w:color="000000"/>
                    <w:left w:val="single" w:sz="2" w:space="0" w:color="000000"/>
                    <w:bottom w:val="single" w:sz="2" w:space="0" w:color="000000"/>
                    <w:right w:val="single" w:sz="2" w:space="0" w:color="000000"/>
                  </w:tcBorders>
                  <w:vAlign w:val="center"/>
                </w:tcPr>
                <w:p w14:paraId="5678D825" w14:textId="77777777" w:rsidR="002A143B" w:rsidRPr="00AE3F1B" w:rsidRDefault="008711AB" w:rsidP="00175586">
                  <w:pPr>
                    <w:spacing w:after="100" w:afterAutospacing="1" w:line="259" w:lineRule="auto"/>
                    <w:ind w:left="567" w:right="-3" w:hanging="567"/>
                    <w:jc w:val="center"/>
                    <w:rPr>
                      <w:rFonts w:ascii="Garamond" w:hAnsi="Garamond"/>
                      <w:sz w:val="24"/>
                      <w:szCs w:val="24"/>
                    </w:rPr>
                  </w:pPr>
                  <w:r w:rsidRPr="00AE3F1B">
                    <w:rPr>
                      <w:rFonts w:ascii="Garamond" w:hAnsi="Garamond"/>
                      <w:sz w:val="24"/>
                      <w:szCs w:val="24"/>
                    </w:rPr>
                    <w:t>0</w:t>
                  </w:r>
                </w:p>
              </w:tc>
              <w:tc>
                <w:tcPr>
                  <w:tcW w:w="338" w:type="dxa"/>
                  <w:gridSpan w:val="2"/>
                  <w:tcBorders>
                    <w:top w:val="single" w:sz="2" w:space="0" w:color="000000"/>
                    <w:left w:val="single" w:sz="2" w:space="0" w:color="000000"/>
                    <w:bottom w:val="single" w:sz="2" w:space="0" w:color="000000"/>
                    <w:right w:val="single" w:sz="2" w:space="0" w:color="000000"/>
                  </w:tcBorders>
                  <w:vAlign w:val="center"/>
                </w:tcPr>
                <w:p w14:paraId="7508E824" w14:textId="77777777" w:rsidR="002A143B" w:rsidRPr="00AE3F1B" w:rsidRDefault="002A143B" w:rsidP="00175586">
                  <w:pPr>
                    <w:spacing w:after="100" w:afterAutospacing="1" w:line="259" w:lineRule="auto"/>
                    <w:ind w:left="567" w:right="-3" w:hanging="567"/>
                    <w:jc w:val="center"/>
                    <w:rPr>
                      <w:rFonts w:ascii="Garamond" w:hAnsi="Garamond"/>
                      <w:sz w:val="24"/>
                      <w:szCs w:val="24"/>
                    </w:rPr>
                  </w:pPr>
                </w:p>
              </w:tc>
              <w:tc>
                <w:tcPr>
                  <w:tcW w:w="337" w:type="dxa"/>
                  <w:tcBorders>
                    <w:top w:val="single" w:sz="2" w:space="0" w:color="000000"/>
                    <w:left w:val="single" w:sz="2" w:space="0" w:color="000000"/>
                    <w:bottom w:val="single" w:sz="2" w:space="0" w:color="000000"/>
                    <w:right w:val="single" w:sz="2" w:space="0" w:color="000000"/>
                  </w:tcBorders>
                  <w:vAlign w:val="center"/>
                </w:tcPr>
                <w:p w14:paraId="71BEB213" w14:textId="77777777" w:rsidR="002A143B" w:rsidRPr="00AE3F1B" w:rsidRDefault="002A143B" w:rsidP="00175586">
                  <w:pPr>
                    <w:spacing w:after="100" w:afterAutospacing="1" w:line="259" w:lineRule="auto"/>
                    <w:ind w:left="567" w:right="-3" w:hanging="567"/>
                    <w:jc w:val="center"/>
                    <w:rPr>
                      <w:rFonts w:ascii="Garamond" w:hAnsi="Garamond"/>
                      <w:sz w:val="24"/>
                      <w:szCs w:val="24"/>
                    </w:rPr>
                  </w:pPr>
                </w:p>
              </w:tc>
              <w:tc>
                <w:tcPr>
                  <w:tcW w:w="337" w:type="dxa"/>
                  <w:gridSpan w:val="2"/>
                  <w:tcBorders>
                    <w:top w:val="single" w:sz="2" w:space="0" w:color="000000"/>
                    <w:left w:val="single" w:sz="2" w:space="0" w:color="000000"/>
                    <w:bottom w:val="single" w:sz="2" w:space="0" w:color="000000"/>
                    <w:right w:val="single" w:sz="2" w:space="0" w:color="000000"/>
                  </w:tcBorders>
                  <w:vAlign w:val="center"/>
                </w:tcPr>
                <w:p w14:paraId="3BC26CA0" w14:textId="77777777" w:rsidR="002A143B" w:rsidRPr="00AE3F1B" w:rsidRDefault="002A143B" w:rsidP="00175586">
                  <w:pPr>
                    <w:spacing w:after="100" w:afterAutospacing="1" w:line="259" w:lineRule="auto"/>
                    <w:ind w:left="567" w:right="-3" w:hanging="567"/>
                    <w:jc w:val="center"/>
                    <w:rPr>
                      <w:rFonts w:ascii="Garamond" w:hAnsi="Garamond"/>
                      <w:sz w:val="24"/>
                      <w:szCs w:val="24"/>
                    </w:rPr>
                  </w:pPr>
                </w:p>
              </w:tc>
              <w:tc>
                <w:tcPr>
                  <w:tcW w:w="338" w:type="dxa"/>
                  <w:tcBorders>
                    <w:top w:val="single" w:sz="2" w:space="0" w:color="000000"/>
                    <w:left w:val="single" w:sz="2" w:space="0" w:color="000000"/>
                    <w:bottom w:val="single" w:sz="2" w:space="0" w:color="000000"/>
                    <w:right w:val="single" w:sz="2" w:space="0" w:color="000000"/>
                  </w:tcBorders>
                  <w:vAlign w:val="center"/>
                </w:tcPr>
                <w:p w14:paraId="2CCE1B5B" w14:textId="77777777" w:rsidR="002A143B" w:rsidRPr="00AE3F1B" w:rsidRDefault="002A143B" w:rsidP="00175586">
                  <w:pPr>
                    <w:spacing w:after="100" w:afterAutospacing="1" w:line="259" w:lineRule="auto"/>
                    <w:ind w:left="567" w:right="-3" w:hanging="567"/>
                    <w:jc w:val="center"/>
                    <w:rPr>
                      <w:rFonts w:ascii="Garamond" w:hAnsi="Garamond"/>
                      <w:sz w:val="24"/>
                      <w:szCs w:val="24"/>
                    </w:rPr>
                  </w:pPr>
                </w:p>
              </w:tc>
              <w:tc>
                <w:tcPr>
                  <w:tcW w:w="337" w:type="dxa"/>
                  <w:tcBorders>
                    <w:top w:val="single" w:sz="2" w:space="0" w:color="000000"/>
                    <w:left w:val="single" w:sz="2" w:space="0" w:color="000000"/>
                    <w:bottom w:val="single" w:sz="2" w:space="0" w:color="000000"/>
                    <w:right w:val="single" w:sz="2" w:space="0" w:color="000000"/>
                  </w:tcBorders>
                  <w:vAlign w:val="center"/>
                </w:tcPr>
                <w:p w14:paraId="79FC34BE" w14:textId="77777777" w:rsidR="002A143B" w:rsidRPr="00AE3F1B" w:rsidRDefault="002A143B" w:rsidP="00175586">
                  <w:pPr>
                    <w:spacing w:after="100" w:afterAutospacing="1" w:line="259" w:lineRule="auto"/>
                    <w:ind w:left="567" w:right="-3" w:hanging="567"/>
                    <w:jc w:val="center"/>
                    <w:rPr>
                      <w:rFonts w:ascii="Garamond" w:hAnsi="Garamond"/>
                      <w:sz w:val="24"/>
                      <w:szCs w:val="24"/>
                    </w:rPr>
                  </w:pPr>
                </w:p>
              </w:tc>
              <w:tc>
                <w:tcPr>
                  <w:tcW w:w="337" w:type="dxa"/>
                  <w:tcBorders>
                    <w:top w:val="single" w:sz="2" w:space="0" w:color="000000"/>
                    <w:left w:val="single" w:sz="2" w:space="0" w:color="000000"/>
                    <w:bottom w:val="single" w:sz="2" w:space="0" w:color="000000"/>
                    <w:right w:val="single" w:sz="2" w:space="0" w:color="000000"/>
                  </w:tcBorders>
                  <w:vAlign w:val="center"/>
                </w:tcPr>
                <w:p w14:paraId="5B805030" w14:textId="77777777" w:rsidR="002A143B" w:rsidRPr="00AE3F1B" w:rsidRDefault="002A143B" w:rsidP="00175586">
                  <w:pPr>
                    <w:spacing w:after="100" w:afterAutospacing="1" w:line="259" w:lineRule="auto"/>
                    <w:ind w:left="567" w:right="-3" w:hanging="567"/>
                    <w:jc w:val="center"/>
                    <w:rPr>
                      <w:rFonts w:ascii="Garamond" w:hAnsi="Garamond"/>
                      <w:sz w:val="24"/>
                      <w:szCs w:val="24"/>
                    </w:rPr>
                  </w:pPr>
                </w:p>
              </w:tc>
              <w:tc>
                <w:tcPr>
                  <w:tcW w:w="337" w:type="dxa"/>
                  <w:tcBorders>
                    <w:top w:val="single" w:sz="2" w:space="0" w:color="000000"/>
                    <w:left w:val="single" w:sz="2" w:space="0" w:color="000000"/>
                    <w:bottom w:val="single" w:sz="2" w:space="0" w:color="000000"/>
                    <w:right w:val="single" w:sz="2" w:space="0" w:color="000000"/>
                  </w:tcBorders>
                  <w:vAlign w:val="center"/>
                </w:tcPr>
                <w:p w14:paraId="64912251" w14:textId="77777777" w:rsidR="002A143B" w:rsidRPr="00AE3F1B" w:rsidRDefault="002A143B" w:rsidP="00175586">
                  <w:pPr>
                    <w:spacing w:after="100" w:afterAutospacing="1" w:line="259" w:lineRule="auto"/>
                    <w:ind w:left="567" w:right="-3" w:hanging="567"/>
                    <w:jc w:val="center"/>
                    <w:rPr>
                      <w:rFonts w:ascii="Garamond" w:hAnsi="Garamond"/>
                      <w:sz w:val="24"/>
                      <w:szCs w:val="24"/>
                    </w:rPr>
                  </w:pPr>
                </w:p>
              </w:tc>
              <w:tc>
                <w:tcPr>
                  <w:tcW w:w="338" w:type="dxa"/>
                  <w:tcBorders>
                    <w:top w:val="single" w:sz="2" w:space="0" w:color="000000"/>
                    <w:left w:val="single" w:sz="2" w:space="0" w:color="000000"/>
                    <w:bottom w:val="single" w:sz="2" w:space="0" w:color="000000"/>
                    <w:right w:val="single" w:sz="2" w:space="0" w:color="000000"/>
                  </w:tcBorders>
                  <w:vAlign w:val="center"/>
                </w:tcPr>
                <w:p w14:paraId="2EDE784F" w14:textId="77777777" w:rsidR="002A143B" w:rsidRPr="00AE3F1B" w:rsidRDefault="002A143B" w:rsidP="00175586">
                  <w:pPr>
                    <w:spacing w:after="100" w:afterAutospacing="1" w:line="259" w:lineRule="auto"/>
                    <w:ind w:left="567" w:right="-3" w:hanging="567"/>
                    <w:jc w:val="center"/>
                    <w:rPr>
                      <w:rFonts w:ascii="Garamond" w:hAnsi="Garamond"/>
                      <w:sz w:val="24"/>
                      <w:szCs w:val="24"/>
                    </w:rPr>
                  </w:pPr>
                </w:p>
              </w:tc>
              <w:tc>
                <w:tcPr>
                  <w:tcW w:w="337" w:type="dxa"/>
                  <w:tcBorders>
                    <w:top w:val="single" w:sz="2" w:space="0" w:color="000000"/>
                    <w:left w:val="single" w:sz="2" w:space="0" w:color="000000"/>
                    <w:bottom w:val="single" w:sz="2" w:space="0" w:color="000000"/>
                    <w:right w:val="single" w:sz="2" w:space="0" w:color="000000"/>
                  </w:tcBorders>
                  <w:vAlign w:val="center"/>
                </w:tcPr>
                <w:p w14:paraId="27BA4458" w14:textId="77777777" w:rsidR="002A143B" w:rsidRPr="00AE3F1B" w:rsidRDefault="002A143B" w:rsidP="00175586">
                  <w:pPr>
                    <w:spacing w:after="100" w:afterAutospacing="1" w:line="259" w:lineRule="auto"/>
                    <w:ind w:left="567" w:right="-3" w:hanging="567"/>
                    <w:jc w:val="center"/>
                    <w:rPr>
                      <w:rFonts w:ascii="Garamond" w:hAnsi="Garamond"/>
                      <w:sz w:val="24"/>
                      <w:szCs w:val="24"/>
                    </w:rPr>
                  </w:pPr>
                </w:p>
              </w:tc>
              <w:tc>
                <w:tcPr>
                  <w:tcW w:w="337" w:type="dxa"/>
                  <w:tcBorders>
                    <w:top w:val="single" w:sz="2" w:space="0" w:color="000000"/>
                    <w:left w:val="single" w:sz="2" w:space="0" w:color="000000"/>
                    <w:bottom w:val="single" w:sz="2" w:space="0" w:color="000000"/>
                    <w:right w:val="single" w:sz="2" w:space="0" w:color="000000"/>
                  </w:tcBorders>
                  <w:vAlign w:val="center"/>
                </w:tcPr>
                <w:p w14:paraId="2FDCAF0C" w14:textId="77777777" w:rsidR="002A143B" w:rsidRPr="00AE3F1B" w:rsidRDefault="002A143B" w:rsidP="00175586">
                  <w:pPr>
                    <w:spacing w:after="100" w:afterAutospacing="1" w:line="259" w:lineRule="auto"/>
                    <w:ind w:left="567" w:right="-3" w:hanging="567"/>
                    <w:jc w:val="center"/>
                    <w:rPr>
                      <w:rFonts w:ascii="Garamond" w:hAnsi="Garamond"/>
                      <w:sz w:val="24"/>
                      <w:szCs w:val="24"/>
                    </w:rPr>
                  </w:pPr>
                </w:p>
              </w:tc>
              <w:tc>
                <w:tcPr>
                  <w:tcW w:w="338" w:type="dxa"/>
                  <w:tcBorders>
                    <w:top w:val="single" w:sz="2" w:space="0" w:color="000000"/>
                    <w:left w:val="single" w:sz="2" w:space="0" w:color="000000"/>
                    <w:bottom w:val="single" w:sz="2" w:space="0" w:color="000000"/>
                    <w:right w:val="single" w:sz="2" w:space="0" w:color="000000"/>
                  </w:tcBorders>
                  <w:vAlign w:val="center"/>
                </w:tcPr>
                <w:p w14:paraId="40343959" w14:textId="77777777" w:rsidR="002A143B" w:rsidRPr="00AE3F1B" w:rsidRDefault="002A143B" w:rsidP="00175586">
                  <w:pPr>
                    <w:spacing w:after="100" w:afterAutospacing="1" w:line="259" w:lineRule="auto"/>
                    <w:ind w:left="567" w:right="-3" w:hanging="567"/>
                    <w:jc w:val="center"/>
                    <w:rPr>
                      <w:rFonts w:ascii="Garamond" w:hAnsi="Garamond"/>
                      <w:sz w:val="24"/>
                      <w:szCs w:val="24"/>
                    </w:rPr>
                  </w:pPr>
                </w:p>
              </w:tc>
              <w:tc>
                <w:tcPr>
                  <w:tcW w:w="337" w:type="dxa"/>
                  <w:tcBorders>
                    <w:top w:val="single" w:sz="2" w:space="0" w:color="000000"/>
                    <w:left w:val="single" w:sz="2" w:space="0" w:color="000000"/>
                    <w:bottom w:val="single" w:sz="2" w:space="0" w:color="000000"/>
                    <w:right w:val="single" w:sz="2" w:space="0" w:color="000000"/>
                  </w:tcBorders>
                  <w:vAlign w:val="center"/>
                </w:tcPr>
                <w:p w14:paraId="2E88EAF1" w14:textId="77777777" w:rsidR="002A143B" w:rsidRPr="00AE3F1B" w:rsidRDefault="002A143B" w:rsidP="00175586">
                  <w:pPr>
                    <w:spacing w:after="100" w:afterAutospacing="1" w:line="259" w:lineRule="auto"/>
                    <w:ind w:left="567" w:right="-3" w:hanging="567"/>
                    <w:jc w:val="center"/>
                    <w:rPr>
                      <w:rFonts w:ascii="Garamond" w:hAnsi="Garamond"/>
                      <w:sz w:val="24"/>
                      <w:szCs w:val="24"/>
                    </w:rPr>
                  </w:pPr>
                </w:p>
              </w:tc>
              <w:tc>
                <w:tcPr>
                  <w:tcW w:w="337" w:type="dxa"/>
                  <w:tcBorders>
                    <w:top w:val="single" w:sz="2" w:space="0" w:color="000000"/>
                    <w:left w:val="single" w:sz="2" w:space="0" w:color="000000"/>
                    <w:bottom w:val="single" w:sz="2" w:space="0" w:color="000000"/>
                    <w:right w:val="single" w:sz="2" w:space="0" w:color="000000"/>
                  </w:tcBorders>
                  <w:vAlign w:val="center"/>
                </w:tcPr>
                <w:p w14:paraId="55A9F0B2" w14:textId="77777777" w:rsidR="002A143B" w:rsidRPr="00AE3F1B" w:rsidRDefault="002A143B" w:rsidP="00175586">
                  <w:pPr>
                    <w:spacing w:after="100" w:afterAutospacing="1" w:line="259" w:lineRule="auto"/>
                    <w:ind w:left="567" w:right="-3" w:hanging="567"/>
                    <w:jc w:val="center"/>
                    <w:rPr>
                      <w:rFonts w:ascii="Garamond" w:hAnsi="Garamond"/>
                      <w:sz w:val="24"/>
                      <w:szCs w:val="24"/>
                    </w:rPr>
                  </w:pPr>
                </w:p>
              </w:tc>
              <w:tc>
                <w:tcPr>
                  <w:tcW w:w="337" w:type="dxa"/>
                  <w:tcBorders>
                    <w:top w:val="single" w:sz="2" w:space="0" w:color="000000"/>
                    <w:left w:val="single" w:sz="2" w:space="0" w:color="000000"/>
                    <w:bottom w:val="single" w:sz="2" w:space="0" w:color="000000"/>
                    <w:right w:val="single" w:sz="2" w:space="0" w:color="000000"/>
                  </w:tcBorders>
                  <w:vAlign w:val="center"/>
                </w:tcPr>
                <w:p w14:paraId="7383D200" w14:textId="77777777" w:rsidR="002A143B" w:rsidRPr="00AE3F1B" w:rsidRDefault="002A143B" w:rsidP="00175586">
                  <w:pPr>
                    <w:spacing w:after="100" w:afterAutospacing="1" w:line="259" w:lineRule="auto"/>
                    <w:ind w:left="567" w:right="-3" w:hanging="567"/>
                    <w:jc w:val="center"/>
                    <w:rPr>
                      <w:rFonts w:ascii="Garamond" w:hAnsi="Garamond"/>
                      <w:sz w:val="24"/>
                      <w:szCs w:val="24"/>
                    </w:rPr>
                  </w:pPr>
                </w:p>
              </w:tc>
              <w:tc>
                <w:tcPr>
                  <w:tcW w:w="338" w:type="dxa"/>
                  <w:tcBorders>
                    <w:top w:val="single" w:sz="2" w:space="0" w:color="000000"/>
                    <w:left w:val="single" w:sz="2" w:space="0" w:color="000000"/>
                    <w:bottom w:val="single" w:sz="2" w:space="0" w:color="000000"/>
                    <w:right w:val="single" w:sz="2" w:space="0" w:color="000000"/>
                  </w:tcBorders>
                  <w:vAlign w:val="center"/>
                </w:tcPr>
                <w:p w14:paraId="231C3513" w14:textId="77777777" w:rsidR="002A143B" w:rsidRPr="00AE3F1B" w:rsidRDefault="002A143B" w:rsidP="00175586">
                  <w:pPr>
                    <w:spacing w:after="100" w:afterAutospacing="1" w:line="259" w:lineRule="auto"/>
                    <w:ind w:left="567" w:right="-3" w:hanging="567"/>
                    <w:jc w:val="center"/>
                    <w:rPr>
                      <w:rFonts w:ascii="Garamond" w:hAnsi="Garamond"/>
                      <w:sz w:val="24"/>
                      <w:szCs w:val="24"/>
                    </w:rPr>
                  </w:pPr>
                </w:p>
              </w:tc>
              <w:tc>
                <w:tcPr>
                  <w:tcW w:w="337" w:type="dxa"/>
                  <w:tcBorders>
                    <w:top w:val="single" w:sz="2" w:space="0" w:color="000000"/>
                    <w:left w:val="single" w:sz="2" w:space="0" w:color="000000"/>
                    <w:bottom w:val="single" w:sz="2" w:space="0" w:color="000000"/>
                    <w:right w:val="single" w:sz="2" w:space="0" w:color="000000"/>
                  </w:tcBorders>
                  <w:vAlign w:val="center"/>
                </w:tcPr>
                <w:p w14:paraId="0C2CE31C" w14:textId="77777777" w:rsidR="002A143B" w:rsidRPr="00AE3F1B" w:rsidRDefault="002A143B" w:rsidP="00175586">
                  <w:pPr>
                    <w:spacing w:after="100" w:afterAutospacing="1" w:line="259" w:lineRule="auto"/>
                    <w:ind w:left="567" w:right="-3" w:hanging="567"/>
                    <w:jc w:val="center"/>
                    <w:rPr>
                      <w:rFonts w:ascii="Garamond" w:hAnsi="Garamond"/>
                      <w:sz w:val="24"/>
                      <w:szCs w:val="24"/>
                    </w:rPr>
                  </w:pPr>
                </w:p>
              </w:tc>
              <w:tc>
                <w:tcPr>
                  <w:tcW w:w="337" w:type="dxa"/>
                  <w:tcBorders>
                    <w:top w:val="single" w:sz="2" w:space="0" w:color="000000"/>
                    <w:left w:val="single" w:sz="2" w:space="0" w:color="000000"/>
                    <w:bottom w:val="single" w:sz="2" w:space="0" w:color="000000"/>
                    <w:right w:val="single" w:sz="2" w:space="0" w:color="000000"/>
                  </w:tcBorders>
                  <w:vAlign w:val="center"/>
                </w:tcPr>
                <w:p w14:paraId="31116E68" w14:textId="77777777" w:rsidR="002A143B" w:rsidRPr="00AE3F1B" w:rsidRDefault="002A143B" w:rsidP="00175586">
                  <w:pPr>
                    <w:spacing w:after="100" w:afterAutospacing="1" w:line="259" w:lineRule="auto"/>
                    <w:ind w:left="567" w:right="-3" w:hanging="567"/>
                    <w:jc w:val="center"/>
                    <w:rPr>
                      <w:rFonts w:ascii="Garamond" w:hAnsi="Garamond"/>
                      <w:sz w:val="24"/>
                      <w:szCs w:val="24"/>
                    </w:rPr>
                  </w:pPr>
                </w:p>
              </w:tc>
              <w:tc>
                <w:tcPr>
                  <w:tcW w:w="338" w:type="dxa"/>
                  <w:tcBorders>
                    <w:top w:val="single" w:sz="2" w:space="0" w:color="000000"/>
                    <w:left w:val="single" w:sz="2" w:space="0" w:color="000000"/>
                    <w:bottom w:val="single" w:sz="2" w:space="0" w:color="000000"/>
                    <w:right w:val="single" w:sz="2" w:space="0" w:color="000000"/>
                  </w:tcBorders>
                  <w:vAlign w:val="center"/>
                </w:tcPr>
                <w:p w14:paraId="04C55F55" w14:textId="77777777" w:rsidR="002A143B" w:rsidRPr="00AE3F1B" w:rsidRDefault="002A143B" w:rsidP="00175586">
                  <w:pPr>
                    <w:spacing w:after="100" w:afterAutospacing="1" w:line="259" w:lineRule="auto"/>
                    <w:ind w:left="567" w:right="-3" w:hanging="567"/>
                    <w:jc w:val="center"/>
                    <w:rPr>
                      <w:rFonts w:ascii="Garamond" w:hAnsi="Garamond"/>
                      <w:sz w:val="24"/>
                      <w:szCs w:val="24"/>
                    </w:rPr>
                  </w:pPr>
                </w:p>
              </w:tc>
            </w:tr>
            <w:tr w:rsidR="002A143B" w:rsidRPr="00AE3F1B" w14:paraId="4DD8D6FC" w14:textId="77777777" w:rsidTr="008C55DA">
              <w:trPr>
                <w:trHeight w:val="498"/>
              </w:trPr>
              <w:tc>
                <w:tcPr>
                  <w:tcW w:w="1112" w:type="dxa"/>
                  <w:tcBorders>
                    <w:top w:val="single" w:sz="2" w:space="0" w:color="000000"/>
                    <w:left w:val="single" w:sz="2" w:space="0" w:color="000000"/>
                    <w:bottom w:val="single" w:sz="2" w:space="0" w:color="000000"/>
                    <w:right w:val="single" w:sz="2" w:space="0" w:color="000000"/>
                  </w:tcBorders>
                  <w:vAlign w:val="bottom"/>
                </w:tcPr>
                <w:p w14:paraId="0E5DFAE7" w14:textId="77777777" w:rsidR="002A143B" w:rsidRPr="00AE3F1B" w:rsidRDefault="00DA12DF" w:rsidP="00175586">
                  <w:pPr>
                    <w:spacing w:line="259" w:lineRule="auto"/>
                    <w:ind w:left="567" w:right="-3" w:hanging="567"/>
                    <w:jc w:val="left"/>
                    <w:rPr>
                      <w:rFonts w:ascii="Garamond" w:hAnsi="Garamond"/>
                      <w:sz w:val="24"/>
                      <w:szCs w:val="24"/>
                    </w:rPr>
                  </w:pPr>
                  <w:r w:rsidRPr="00AE3F1B">
                    <w:rPr>
                      <w:rFonts w:ascii="Garamond" w:hAnsi="Garamond"/>
                      <w:noProof/>
                      <w:sz w:val="24"/>
                      <w:szCs w:val="24"/>
                      <w:lang w:eastAsia="pl-PL"/>
                    </w:rPr>
                    <w:drawing>
                      <wp:inline distT="0" distB="0" distL="0" distR="0" wp14:anchorId="7384D989" wp14:editId="4A9A4BE3">
                        <wp:extent cx="451104" cy="70124"/>
                        <wp:effectExtent l="0" t="0" r="0" b="0"/>
                        <wp:docPr id="879546" name="Picture 879546"/>
                        <wp:cNvGraphicFramePr/>
                        <a:graphic xmlns:a="http://schemas.openxmlformats.org/drawingml/2006/main">
                          <a:graphicData uri="http://schemas.openxmlformats.org/drawingml/2006/picture">
                            <pic:pic xmlns:pic="http://schemas.openxmlformats.org/drawingml/2006/picture">
                              <pic:nvPicPr>
                                <pic:cNvPr id="879546" name="Picture 879546"/>
                                <pic:cNvPicPr/>
                              </pic:nvPicPr>
                              <pic:blipFill>
                                <a:blip r:embed="rId31" cstate="print"/>
                                <a:stretch>
                                  <a:fillRect/>
                                </a:stretch>
                              </pic:blipFill>
                              <pic:spPr>
                                <a:xfrm>
                                  <a:off x="0" y="0"/>
                                  <a:ext cx="451104" cy="70124"/>
                                </a:xfrm>
                                <a:prstGeom prst="rect">
                                  <a:avLst/>
                                </a:prstGeom>
                              </pic:spPr>
                            </pic:pic>
                          </a:graphicData>
                        </a:graphic>
                      </wp:inline>
                    </w:drawing>
                  </w:r>
                </w:p>
              </w:tc>
              <w:tc>
                <w:tcPr>
                  <w:tcW w:w="678" w:type="dxa"/>
                  <w:gridSpan w:val="2"/>
                  <w:tcBorders>
                    <w:top w:val="single" w:sz="2" w:space="0" w:color="000000"/>
                    <w:left w:val="single" w:sz="2" w:space="0" w:color="000000"/>
                    <w:bottom w:val="single" w:sz="2" w:space="0" w:color="000000"/>
                    <w:right w:val="nil"/>
                  </w:tcBorders>
                  <w:vAlign w:val="center"/>
                </w:tcPr>
                <w:p w14:paraId="466F1EAC" w14:textId="77777777" w:rsidR="002A143B" w:rsidRPr="00AE3F1B" w:rsidRDefault="002A143B" w:rsidP="00175586">
                  <w:pPr>
                    <w:spacing w:after="160" w:line="259" w:lineRule="auto"/>
                    <w:ind w:left="567" w:right="-3" w:hanging="567"/>
                    <w:jc w:val="left"/>
                    <w:rPr>
                      <w:rFonts w:ascii="Garamond" w:hAnsi="Garamond"/>
                      <w:sz w:val="24"/>
                      <w:szCs w:val="24"/>
                    </w:rPr>
                  </w:pPr>
                </w:p>
              </w:tc>
              <w:tc>
                <w:tcPr>
                  <w:tcW w:w="601" w:type="dxa"/>
                  <w:gridSpan w:val="2"/>
                  <w:tcBorders>
                    <w:top w:val="single" w:sz="2" w:space="0" w:color="000000"/>
                    <w:left w:val="nil"/>
                    <w:bottom w:val="single" w:sz="2" w:space="0" w:color="000000"/>
                    <w:right w:val="nil"/>
                  </w:tcBorders>
                </w:tcPr>
                <w:p w14:paraId="2FF89383" w14:textId="77777777" w:rsidR="002A143B" w:rsidRPr="00AE3F1B" w:rsidRDefault="002A143B" w:rsidP="00175586">
                  <w:pPr>
                    <w:spacing w:after="160" w:line="259" w:lineRule="auto"/>
                    <w:ind w:left="567" w:right="-3" w:hanging="567"/>
                    <w:jc w:val="left"/>
                    <w:rPr>
                      <w:rFonts w:ascii="Garamond" w:hAnsi="Garamond"/>
                      <w:sz w:val="24"/>
                      <w:szCs w:val="24"/>
                    </w:rPr>
                  </w:pPr>
                </w:p>
              </w:tc>
              <w:tc>
                <w:tcPr>
                  <w:tcW w:w="726" w:type="dxa"/>
                  <w:gridSpan w:val="3"/>
                  <w:tcBorders>
                    <w:top w:val="single" w:sz="2" w:space="0" w:color="000000"/>
                    <w:left w:val="nil"/>
                    <w:bottom w:val="single" w:sz="2" w:space="0" w:color="000000"/>
                    <w:right w:val="nil"/>
                  </w:tcBorders>
                </w:tcPr>
                <w:p w14:paraId="6E3FD90F" w14:textId="77777777" w:rsidR="002A143B" w:rsidRPr="00AE3F1B" w:rsidRDefault="002A143B" w:rsidP="00175586">
                  <w:pPr>
                    <w:spacing w:after="160" w:line="259" w:lineRule="auto"/>
                    <w:ind w:left="567" w:right="-3" w:hanging="567"/>
                    <w:jc w:val="left"/>
                    <w:rPr>
                      <w:rFonts w:ascii="Garamond" w:hAnsi="Garamond"/>
                      <w:sz w:val="24"/>
                      <w:szCs w:val="24"/>
                    </w:rPr>
                  </w:pPr>
                </w:p>
              </w:tc>
              <w:tc>
                <w:tcPr>
                  <w:tcW w:w="5078" w:type="dxa"/>
                  <w:gridSpan w:val="16"/>
                  <w:tcBorders>
                    <w:top w:val="single" w:sz="2" w:space="0" w:color="000000"/>
                    <w:left w:val="nil"/>
                    <w:bottom w:val="single" w:sz="2" w:space="0" w:color="000000"/>
                    <w:right w:val="single" w:sz="2" w:space="0" w:color="000000"/>
                  </w:tcBorders>
                </w:tcPr>
                <w:p w14:paraId="227717CD" w14:textId="77777777" w:rsidR="002A143B" w:rsidRPr="00AE3F1B" w:rsidRDefault="002A143B" w:rsidP="00175586">
                  <w:pPr>
                    <w:spacing w:after="160" w:line="259" w:lineRule="auto"/>
                    <w:ind w:left="567" w:right="-3" w:hanging="567"/>
                    <w:jc w:val="left"/>
                    <w:rPr>
                      <w:rFonts w:ascii="Garamond" w:hAnsi="Garamond"/>
                      <w:sz w:val="24"/>
                      <w:szCs w:val="24"/>
                    </w:rPr>
                  </w:pPr>
                </w:p>
              </w:tc>
            </w:tr>
          </w:tbl>
          <w:p w14:paraId="12BC4E47" w14:textId="77777777" w:rsidR="002A143B" w:rsidRPr="00AE3F1B" w:rsidRDefault="002A143B" w:rsidP="00175586">
            <w:pPr>
              <w:spacing w:after="160" w:line="259" w:lineRule="auto"/>
              <w:ind w:left="567" w:right="-3" w:hanging="567"/>
              <w:jc w:val="left"/>
              <w:rPr>
                <w:rFonts w:ascii="Garamond" w:hAnsi="Garamond"/>
                <w:sz w:val="24"/>
                <w:szCs w:val="24"/>
              </w:rPr>
            </w:pPr>
          </w:p>
        </w:tc>
      </w:tr>
    </w:tbl>
    <w:p w14:paraId="56EB01BD" w14:textId="77777777" w:rsidR="00885931" w:rsidRPr="00AE3F1B" w:rsidRDefault="00885931" w:rsidP="00175586">
      <w:pPr>
        <w:spacing w:after="152"/>
        <w:ind w:left="567" w:right="-3" w:hanging="567"/>
        <w:jc w:val="left"/>
        <w:rPr>
          <w:rFonts w:ascii="Garamond" w:hAnsi="Garamond"/>
          <w:sz w:val="24"/>
          <w:szCs w:val="24"/>
        </w:rPr>
      </w:pPr>
    </w:p>
    <w:p w14:paraId="10AE890E" w14:textId="77777777" w:rsidR="002A143B" w:rsidRPr="00AE3F1B" w:rsidRDefault="00DA12DF" w:rsidP="00175586">
      <w:pPr>
        <w:pStyle w:val="Akapitzlist"/>
        <w:spacing w:after="152"/>
        <w:ind w:left="567" w:right="-3" w:hanging="567"/>
        <w:jc w:val="left"/>
        <w:rPr>
          <w:rFonts w:ascii="Garamond" w:hAnsi="Garamond"/>
          <w:sz w:val="24"/>
          <w:szCs w:val="24"/>
        </w:rPr>
      </w:pPr>
      <w:r w:rsidRPr="00AE3F1B">
        <w:rPr>
          <w:rFonts w:ascii="Garamond" w:hAnsi="Garamond"/>
          <w:sz w:val="24"/>
          <w:szCs w:val="24"/>
        </w:rPr>
        <w:lastRenderedPageBreak/>
        <w:t>3. DANE DOTYCHCZASOWEGO SPRZEDAWCY</w:t>
      </w:r>
    </w:p>
    <w:p w14:paraId="12CC85F3" w14:textId="77777777" w:rsidR="002A143B" w:rsidRPr="00AE3F1B" w:rsidRDefault="00DA12DF" w:rsidP="00175586">
      <w:pPr>
        <w:pStyle w:val="Akapitzlist"/>
        <w:tabs>
          <w:tab w:val="center" w:pos="2524"/>
          <w:tab w:val="center" w:pos="5747"/>
        </w:tabs>
        <w:spacing w:after="112" w:line="259" w:lineRule="auto"/>
        <w:ind w:left="567" w:right="-3" w:hanging="567"/>
        <w:jc w:val="left"/>
        <w:rPr>
          <w:rFonts w:ascii="Garamond" w:hAnsi="Garamond"/>
          <w:sz w:val="24"/>
          <w:szCs w:val="24"/>
        </w:rPr>
      </w:pPr>
      <w:r w:rsidRPr="00AE3F1B">
        <w:rPr>
          <w:rFonts w:ascii="Garamond" w:hAnsi="Garamond"/>
          <w:sz w:val="24"/>
          <w:szCs w:val="24"/>
        </w:rPr>
        <w:t>pierwszy wybór sprzedawcy po przyłączeniu</w:t>
      </w:r>
      <w:r w:rsidRPr="00AE3F1B">
        <w:rPr>
          <w:rFonts w:ascii="Garamond" w:hAnsi="Garamond"/>
          <w:sz w:val="24"/>
          <w:szCs w:val="24"/>
        </w:rPr>
        <w:tab/>
        <w:t>kolejny wybór sprzedawcy</w:t>
      </w:r>
    </w:p>
    <w:p w14:paraId="4B3B8708" w14:textId="77777777" w:rsidR="002A143B" w:rsidRPr="00AE3F1B" w:rsidRDefault="00DA12DF" w:rsidP="00175586">
      <w:pPr>
        <w:spacing w:after="217" w:line="259" w:lineRule="auto"/>
        <w:ind w:left="567" w:right="-3" w:hanging="567"/>
        <w:jc w:val="left"/>
        <w:rPr>
          <w:rFonts w:ascii="Garamond" w:hAnsi="Garamond"/>
          <w:sz w:val="24"/>
          <w:szCs w:val="24"/>
        </w:rPr>
      </w:pPr>
      <w:r w:rsidRPr="00AE3F1B">
        <w:rPr>
          <w:rFonts w:ascii="Garamond" w:hAnsi="Garamond"/>
          <w:noProof/>
          <w:sz w:val="24"/>
          <w:szCs w:val="24"/>
          <w:lang w:eastAsia="pl-PL"/>
        </w:rPr>
        <w:drawing>
          <wp:inline distT="0" distB="0" distL="0" distR="0" wp14:anchorId="1C5E2BB1" wp14:editId="63BEF22D">
            <wp:extent cx="6069965" cy="336550"/>
            <wp:effectExtent l="0" t="0" r="6985" b="6350"/>
            <wp:docPr id="882703" name="Picture 882703"/>
            <wp:cNvGraphicFramePr/>
            <a:graphic xmlns:a="http://schemas.openxmlformats.org/drawingml/2006/main">
              <a:graphicData uri="http://schemas.openxmlformats.org/drawingml/2006/picture">
                <pic:pic xmlns:pic="http://schemas.openxmlformats.org/drawingml/2006/picture">
                  <pic:nvPicPr>
                    <pic:cNvPr id="882703" name="Picture 882703"/>
                    <pic:cNvPicPr/>
                  </pic:nvPicPr>
                  <pic:blipFill>
                    <a:blip r:embed="rId32"/>
                    <a:stretch>
                      <a:fillRect/>
                    </a:stretch>
                  </pic:blipFill>
                  <pic:spPr>
                    <a:xfrm>
                      <a:off x="0" y="0"/>
                      <a:ext cx="6070542" cy="336582"/>
                    </a:xfrm>
                    <a:prstGeom prst="rect">
                      <a:avLst/>
                    </a:prstGeom>
                  </pic:spPr>
                </pic:pic>
              </a:graphicData>
            </a:graphic>
          </wp:inline>
        </w:drawing>
      </w:r>
    </w:p>
    <w:p w14:paraId="45B809E2" w14:textId="77777777" w:rsidR="002A143B" w:rsidRPr="00AE3F1B" w:rsidRDefault="00DA12DF" w:rsidP="00175586">
      <w:pPr>
        <w:spacing w:after="342" w:line="259" w:lineRule="auto"/>
        <w:ind w:left="567" w:right="-3" w:hanging="567"/>
        <w:jc w:val="left"/>
        <w:rPr>
          <w:rFonts w:ascii="Garamond" w:hAnsi="Garamond"/>
          <w:sz w:val="24"/>
          <w:szCs w:val="24"/>
        </w:rPr>
      </w:pPr>
      <w:r w:rsidRPr="00AE3F1B">
        <w:rPr>
          <w:rFonts w:ascii="Garamond" w:hAnsi="Garamond"/>
          <w:noProof/>
          <w:sz w:val="24"/>
          <w:szCs w:val="24"/>
          <w:lang w:eastAsia="pl-PL"/>
        </w:rPr>
        <w:drawing>
          <wp:inline distT="0" distB="0" distL="0" distR="0" wp14:anchorId="2F5D9020" wp14:editId="336EE50E">
            <wp:extent cx="3296294" cy="405487"/>
            <wp:effectExtent l="0" t="0" r="0" b="0"/>
            <wp:docPr id="1242520" name="Picture 1242520"/>
            <wp:cNvGraphicFramePr/>
            <a:graphic xmlns:a="http://schemas.openxmlformats.org/drawingml/2006/main">
              <a:graphicData uri="http://schemas.openxmlformats.org/drawingml/2006/picture">
                <pic:pic xmlns:pic="http://schemas.openxmlformats.org/drawingml/2006/picture">
                  <pic:nvPicPr>
                    <pic:cNvPr id="1242520" name="Picture 1242520"/>
                    <pic:cNvPicPr/>
                  </pic:nvPicPr>
                  <pic:blipFill>
                    <a:blip r:embed="rId33"/>
                    <a:stretch>
                      <a:fillRect/>
                    </a:stretch>
                  </pic:blipFill>
                  <pic:spPr>
                    <a:xfrm>
                      <a:off x="0" y="0"/>
                      <a:ext cx="3296294" cy="405487"/>
                    </a:xfrm>
                    <a:prstGeom prst="rect">
                      <a:avLst/>
                    </a:prstGeom>
                  </pic:spPr>
                </pic:pic>
              </a:graphicData>
            </a:graphic>
          </wp:inline>
        </w:drawing>
      </w:r>
    </w:p>
    <w:p w14:paraId="406003FC" w14:textId="599D71C0" w:rsidR="002A143B" w:rsidRPr="00AE3F1B" w:rsidRDefault="00DA12DF" w:rsidP="00B23F0A">
      <w:pPr>
        <w:spacing w:after="62" w:line="249" w:lineRule="auto"/>
        <w:ind w:right="-3"/>
        <w:jc w:val="left"/>
        <w:rPr>
          <w:rFonts w:ascii="Garamond" w:hAnsi="Garamond"/>
          <w:sz w:val="24"/>
          <w:szCs w:val="24"/>
        </w:rPr>
      </w:pPr>
      <w:r w:rsidRPr="00AE3F1B">
        <w:rPr>
          <w:rFonts w:ascii="Garamond" w:hAnsi="Garamond"/>
          <w:sz w:val="24"/>
          <w:szCs w:val="24"/>
        </w:rPr>
        <w:t>Oświadczam, że rozwiązanie umo</w:t>
      </w:r>
      <w:r w:rsidR="008711AB" w:rsidRPr="00AE3F1B">
        <w:rPr>
          <w:rFonts w:ascii="Garamond" w:hAnsi="Garamond"/>
          <w:sz w:val="24"/>
          <w:szCs w:val="24"/>
        </w:rPr>
        <w:t>w</w:t>
      </w:r>
      <w:r w:rsidRPr="00AE3F1B">
        <w:rPr>
          <w:rFonts w:ascii="Garamond" w:hAnsi="Garamond"/>
          <w:sz w:val="24"/>
          <w:szCs w:val="24"/>
        </w:rPr>
        <w:t xml:space="preserve">y sprzedaży energii </w:t>
      </w:r>
      <w:r w:rsidR="008711AB" w:rsidRPr="00AE3F1B">
        <w:rPr>
          <w:rFonts w:ascii="Garamond" w:hAnsi="Garamond"/>
          <w:sz w:val="24"/>
          <w:szCs w:val="24"/>
        </w:rPr>
        <w:t>elekt</w:t>
      </w:r>
      <w:r w:rsidR="00A81305">
        <w:rPr>
          <w:rFonts w:ascii="Garamond" w:hAnsi="Garamond"/>
          <w:sz w:val="24"/>
          <w:szCs w:val="24"/>
        </w:rPr>
        <w:t>r</w:t>
      </w:r>
      <w:r w:rsidR="008711AB" w:rsidRPr="00AE3F1B">
        <w:rPr>
          <w:rFonts w:ascii="Garamond" w:hAnsi="Garamond"/>
          <w:sz w:val="24"/>
          <w:szCs w:val="24"/>
        </w:rPr>
        <w:t>ycznej</w:t>
      </w:r>
      <w:r w:rsidRPr="00AE3F1B">
        <w:rPr>
          <w:rFonts w:ascii="Garamond" w:hAnsi="Garamond"/>
          <w:sz w:val="24"/>
          <w:szCs w:val="24"/>
        </w:rPr>
        <w:t xml:space="preserve"> z dotychczasowym sprzedawcą</w:t>
      </w:r>
      <w:r w:rsidR="00B23F0A" w:rsidRPr="00AE3F1B">
        <w:rPr>
          <w:rFonts w:ascii="Garamond" w:hAnsi="Garamond"/>
          <w:sz w:val="24"/>
          <w:szCs w:val="24"/>
        </w:rPr>
        <w:br/>
      </w:r>
      <w:r w:rsidRPr="00AE3F1B">
        <w:rPr>
          <w:rFonts w:ascii="Garamond" w:hAnsi="Garamond"/>
          <w:sz w:val="24"/>
          <w:szCs w:val="24"/>
        </w:rPr>
        <w:t>nastąpi z dniem:</w:t>
      </w:r>
    </w:p>
    <w:p w14:paraId="3E85AF11" w14:textId="01864CC4" w:rsidR="002A143B" w:rsidRPr="00AE3F1B" w:rsidRDefault="00DA12DF" w:rsidP="00175586">
      <w:pPr>
        <w:spacing w:after="203" w:line="259" w:lineRule="auto"/>
        <w:ind w:left="567" w:right="-3" w:hanging="567"/>
        <w:jc w:val="left"/>
        <w:rPr>
          <w:rFonts w:ascii="Garamond" w:hAnsi="Garamond"/>
          <w:sz w:val="24"/>
          <w:szCs w:val="24"/>
        </w:rPr>
      </w:pPr>
      <w:r w:rsidRPr="00AE3F1B">
        <w:rPr>
          <w:rFonts w:ascii="Garamond" w:hAnsi="Garamond"/>
          <w:noProof/>
          <w:sz w:val="24"/>
          <w:szCs w:val="24"/>
          <w:lang w:eastAsia="pl-PL"/>
        </w:rPr>
        <w:drawing>
          <wp:inline distT="0" distB="0" distL="0" distR="0" wp14:anchorId="4056243A" wp14:editId="43B88C41">
            <wp:extent cx="1743067" cy="319213"/>
            <wp:effectExtent l="0" t="0" r="0" b="0"/>
            <wp:docPr id="1242522" name="Picture 1242522"/>
            <wp:cNvGraphicFramePr/>
            <a:graphic xmlns:a="http://schemas.openxmlformats.org/drawingml/2006/main">
              <a:graphicData uri="http://schemas.openxmlformats.org/drawingml/2006/picture">
                <pic:pic xmlns:pic="http://schemas.openxmlformats.org/drawingml/2006/picture">
                  <pic:nvPicPr>
                    <pic:cNvPr id="1242522" name="Picture 1242522"/>
                    <pic:cNvPicPr/>
                  </pic:nvPicPr>
                  <pic:blipFill>
                    <a:blip r:embed="rId34"/>
                    <a:stretch>
                      <a:fillRect/>
                    </a:stretch>
                  </pic:blipFill>
                  <pic:spPr>
                    <a:xfrm>
                      <a:off x="0" y="0"/>
                      <a:ext cx="1743067" cy="319213"/>
                    </a:xfrm>
                    <a:prstGeom prst="rect">
                      <a:avLst/>
                    </a:prstGeom>
                  </pic:spPr>
                </pic:pic>
              </a:graphicData>
            </a:graphic>
          </wp:inline>
        </w:drawing>
      </w:r>
      <w:r w:rsidRPr="00AE3F1B">
        <w:rPr>
          <w:rFonts w:ascii="Garamond" w:hAnsi="Garamond"/>
          <w:sz w:val="24"/>
          <w:szCs w:val="24"/>
        </w:rPr>
        <w:t xml:space="preserve"> - nie wcześniej niż </w:t>
      </w:r>
      <w:r w:rsidR="004652CA" w:rsidRPr="00AE3F1B">
        <w:rPr>
          <w:rFonts w:ascii="Garamond" w:hAnsi="Garamond"/>
          <w:sz w:val="24"/>
          <w:szCs w:val="24"/>
        </w:rPr>
        <w:t>60</w:t>
      </w:r>
      <w:r w:rsidR="00A81305" w:rsidRPr="00AE3F1B">
        <w:rPr>
          <w:rFonts w:ascii="Garamond" w:hAnsi="Garamond"/>
          <w:sz w:val="24"/>
          <w:szCs w:val="24"/>
        </w:rPr>
        <w:t>/ (</w:t>
      </w:r>
      <w:r w:rsidR="004652CA" w:rsidRPr="00AE3F1B">
        <w:rPr>
          <w:rFonts w:ascii="Garamond" w:hAnsi="Garamond"/>
          <w:sz w:val="24"/>
          <w:szCs w:val="24"/>
        </w:rPr>
        <w:t>14)</w:t>
      </w:r>
      <w:r w:rsidRPr="00AE3F1B">
        <w:rPr>
          <w:rFonts w:ascii="Garamond" w:hAnsi="Garamond"/>
          <w:sz w:val="24"/>
          <w:szCs w:val="24"/>
        </w:rPr>
        <w:t xml:space="preserve"> dni od daty otrzymania formularza przez OSD</w:t>
      </w:r>
    </w:p>
    <w:p w14:paraId="2999F4D2" w14:textId="77777777" w:rsidR="002A143B" w:rsidRPr="00AE3F1B" w:rsidRDefault="00DA12DF" w:rsidP="00B23F0A">
      <w:pPr>
        <w:spacing w:after="281"/>
        <w:ind w:right="-3"/>
        <w:jc w:val="left"/>
        <w:rPr>
          <w:rFonts w:ascii="Garamond" w:hAnsi="Garamond"/>
          <w:sz w:val="24"/>
          <w:szCs w:val="24"/>
        </w:rPr>
      </w:pPr>
      <w:r w:rsidRPr="00AE3F1B">
        <w:rPr>
          <w:rFonts w:ascii="Garamond" w:hAnsi="Garamond"/>
          <w:sz w:val="24"/>
          <w:szCs w:val="24"/>
        </w:rPr>
        <w:t>Dniem rozpoczęcia sprzedaży energii jest następny dzień po dacie rozwiązania dotychczasowej umowy sprzedaży energii elektrycznej.</w:t>
      </w:r>
    </w:p>
    <w:p w14:paraId="1251E75F" w14:textId="77777777" w:rsidR="002A143B" w:rsidRPr="00AE3F1B" w:rsidRDefault="00DA12DF">
      <w:pPr>
        <w:numPr>
          <w:ilvl w:val="0"/>
          <w:numId w:val="11"/>
        </w:numPr>
        <w:spacing w:after="11" w:line="249" w:lineRule="auto"/>
        <w:ind w:left="567" w:right="-3" w:hanging="567"/>
        <w:jc w:val="left"/>
        <w:rPr>
          <w:rFonts w:ascii="Garamond" w:hAnsi="Garamond"/>
          <w:sz w:val="24"/>
          <w:szCs w:val="24"/>
        </w:rPr>
      </w:pPr>
      <w:r w:rsidRPr="00AE3F1B">
        <w:rPr>
          <w:rFonts w:ascii="Garamond" w:hAnsi="Garamond"/>
          <w:sz w:val="24"/>
          <w:szCs w:val="24"/>
        </w:rPr>
        <w:t>DANE NOWEGO SPRZEDAWCY</w:t>
      </w:r>
    </w:p>
    <w:p w14:paraId="6B25DB23" w14:textId="77777777" w:rsidR="002A143B" w:rsidRPr="00AE3F1B" w:rsidRDefault="00DA12DF" w:rsidP="00175586">
      <w:pPr>
        <w:spacing w:after="197" w:line="259" w:lineRule="auto"/>
        <w:ind w:left="567" w:right="-3" w:hanging="567"/>
        <w:jc w:val="left"/>
        <w:rPr>
          <w:rFonts w:ascii="Garamond" w:hAnsi="Garamond"/>
          <w:sz w:val="24"/>
          <w:szCs w:val="24"/>
        </w:rPr>
      </w:pPr>
      <w:r w:rsidRPr="00AE3F1B">
        <w:rPr>
          <w:rFonts w:ascii="Garamond" w:hAnsi="Garamond"/>
          <w:noProof/>
          <w:sz w:val="24"/>
          <w:szCs w:val="24"/>
          <w:lang w:eastAsia="pl-PL"/>
        </w:rPr>
        <w:drawing>
          <wp:inline distT="0" distB="0" distL="0" distR="0" wp14:anchorId="19E96285" wp14:editId="2975580B">
            <wp:extent cx="6096000" cy="317500"/>
            <wp:effectExtent l="0" t="0" r="0" b="6350"/>
            <wp:docPr id="882706" name="Picture 882706"/>
            <wp:cNvGraphicFramePr/>
            <a:graphic xmlns:a="http://schemas.openxmlformats.org/drawingml/2006/main">
              <a:graphicData uri="http://schemas.openxmlformats.org/drawingml/2006/picture">
                <pic:pic xmlns:pic="http://schemas.openxmlformats.org/drawingml/2006/picture">
                  <pic:nvPicPr>
                    <pic:cNvPr id="882706" name="Picture 882706"/>
                    <pic:cNvPicPr/>
                  </pic:nvPicPr>
                  <pic:blipFill>
                    <a:blip r:embed="rId35"/>
                    <a:stretch>
                      <a:fillRect/>
                    </a:stretch>
                  </pic:blipFill>
                  <pic:spPr>
                    <a:xfrm>
                      <a:off x="0" y="0"/>
                      <a:ext cx="6096425" cy="317522"/>
                    </a:xfrm>
                    <a:prstGeom prst="rect">
                      <a:avLst/>
                    </a:prstGeom>
                  </pic:spPr>
                </pic:pic>
              </a:graphicData>
            </a:graphic>
          </wp:inline>
        </w:drawing>
      </w:r>
    </w:p>
    <w:p w14:paraId="2654AD53" w14:textId="4569E15C" w:rsidR="002A143B" w:rsidRPr="00AE3F1B" w:rsidRDefault="00DA12DF" w:rsidP="00175586">
      <w:pPr>
        <w:spacing w:after="0" w:line="259" w:lineRule="auto"/>
        <w:ind w:left="567" w:right="-3" w:hanging="567"/>
        <w:jc w:val="left"/>
        <w:rPr>
          <w:rFonts w:ascii="Garamond" w:hAnsi="Garamond"/>
          <w:sz w:val="24"/>
          <w:szCs w:val="24"/>
        </w:rPr>
      </w:pPr>
      <w:r w:rsidRPr="00AE3F1B">
        <w:rPr>
          <w:rFonts w:ascii="Garamond" w:hAnsi="Garamond"/>
          <w:sz w:val="24"/>
          <w:szCs w:val="24"/>
        </w:rPr>
        <w:t>Umowa Sprzedaży</w:t>
      </w:r>
      <w:r w:rsidR="00803E46">
        <w:rPr>
          <w:rFonts w:ascii="Garamond" w:hAnsi="Garamond"/>
          <w:sz w:val="24"/>
          <w:szCs w:val="24"/>
        </w:rPr>
        <w:t xml:space="preserve"> </w:t>
      </w:r>
      <w:r w:rsidRPr="00AE3F1B">
        <w:rPr>
          <w:rFonts w:ascii="Garamond" w:hAnsi="Garamond"/>
          <w:sz w:val="24"/>
          <w:szCs w:val="24"/>
        </w:rPr>
        <w:t>Energii</w:t>
      </w:r>
    </w:p>
    <w:p w14:paraId="198A1A4D" w14:textId="77777777" w:rsidR="002A143B" w:rsidRPr="00AE3F1B" w:rsidRDefault="00DA12DF" w:rsidP="00175586">
      <w:pPr>
        <w:spacing w:after="367" w:line="259" w:lineRule="auto"/>
        <w:ind w:left="567" w:right="-3" w:hanging="567"/>
        <w:jc w:val="left"/>
        <w:rPr>
          <w:rFonts w:ascii="Garamond" w:hAnsi="Garamond"/>
          <w:sz w:val="24"/>
          <w:szCs w:val="24"/>
        </w:rPr>
      </w:pPr>
      <w:r w:rsidRPr="00AE3F1B">
        <w:rPr>
          <w:rFonts w:ascii="Garamond" w:hAnsi="Garamond"/>
          <w:noProof/>
          <w:sz w:val="24"/>
          <w:szCs w:val="24"/>
          <w:lang w:eastAsia="pl-PL"/>
        </w:rPr>
        <w:drawing>
          <wp:inline distT="0" distB="0" distL="0" distR="0" wp14:anchorId="15BF5BAA" wp14:editId="692C4F0A">
            <wp:extent cx="6126619" cy="914504"/>
            <wp:effectExtent l="0" t="0" r="0" b="0"/>
            <wp:docPr id="1242524" name="Picture 1242524"/>
            <wp:cNvGraphicFramePr/>
            <a:graphic xmlns:a="http://schemas.openxmlformats.org/drawingml/2006/main">
              <a:graphicData uri="http://schemas.openxmlformats.org/drawingml/2006/picture">
                <pic:pic xmlns:pic="http://schemas.openxmlformats.org/drawingml/2006/picture">
                  <pic:nvPicPr>
                    <pic:cNvPr id="1242524" name="Picture 1242524"/>
                    <pic:cNvPicPr/>
                  </pic:nvPicPr>
                  <pic:blipFill>
                    <a:blip r:embed="rId36"/>
                    <a:stretch>
                      <a:fillRect/>
                    </a:stretch>
                  </pic:blipFill>
                  <pic:spPr>
                    <a:xfrm>
                      <a:off x="0" y="0"/>
                      <a:ext cx="6126619" cy="914504"/>
                    </a:xfrm>
                    <a:prstGeom prst="rect">
                      <a:avLst/>
                    </a:prstGeom>
                  </pic:spPr>
                </pic:pic>
              </a:graphicData>
            </a:graphic>
          </wp:inline>
        </w:drawing>
      </w:r>
    </w:p>
    <w:p w14:paraId="621FCAF2" w14:textId="77777777" w:rsidR="002A143B" w:rsidRPr="00AE3F1B" w:rsidRDefault="00DA12DF">
      <w:pPr>
        <w:numPr>
          <w:ilvl w:val="0"/>
          <w:numId w:val="11"/>
        </w:numPr>
        <w:ind w:left="567" w:right="-3" w:hanging="567"/>
        <w:jc w:val="left"/>
        <w:rPr>
          <w:rFonts w:ascii="Garamond" w:hAnsi="Garamond"/>
          <w:sz w:val="24"/>
          <w:szCs w:val="24"/>
        </w:rPr>
      </w:pPr>
      <w:r w:rsidRPr="00AE3F1B">
        <w:rPr>
          <w:rFonts w:ascii="Garamond" w:hAnsi="Garamond"/>
          <w:sz w:val="24"/>
          <w:szCs w:val="24"/>
        </w:rPr>
        <w:t>DANE PODMIOTU ODPOWIEDZIALNEGO ZA BILANSOWANIE HANDLOWE</w:t>
      </w:r>
    </w:p>
    <w:p w14:paraId="78B990FC" w14:textId="77777777" w:rsidR="002A143B" w:rsidRPr="00AE3F1B" w:rsidRDefault="00DA12DF" w:rsidP="00175586">
      <w:pPr>
        <w:spacing w:after="281" w:line="259" w:lineRule="auto"/>
        <w:ind w:left="567" w:right="-3" w:hanging="567"/>
        <w:jc w:val="left"/>
        <w:rPr>
          <w:rFonts w:ascii="Garamond" w:hAnsi="Garamond"/>
          <w:sz w:val="24"/>
          <w:szCs w:val="24"/>
        </w:rPr>
      </w:pPr>
      <w:r w:rsidRPr="00AE3F1B">
        <w:rPr>
          <w:rFonts w:ascii="Garamond" w:hAnsi="Garamond"/>
          <w:noProof/>
          <w:sz w:val="24"/>
          <w:szCs w:val="24"/>
          <w:lang w:eastAsia="pl-PL"/>
        </w:rPr>
        <w:drawing>
          <wp:inline distT="0" distB="0" distL="0" distR="0" wp14:anchorId="63E11B02" wp14:editId="4DD5F68A">
            <wp:extent cx="6087684" cy="571500"/>
            <wp:effectExtent l="0" t="0" r="8890" b="0"/>
            <wp:docPr id="1242526" name="Picture 1242526"/>
            <wp:cNvGraphicFramePr/>
            <a:graphic xmlns:a="http://schemas.openxmlformats.org/drawingml/2006/main">
              <a:graphicData uri="http://schemas.openxmlformats.org/drawingml/2006/picture">
                <pic:pic xmlns:pic="http://schemas.openxmlformats.org/drawingml/2006/picture">
                  <pic:nvPicPr>
                    <pic:cNvPr id="1242526" name="Picture 1242526"/>
                    <pic:cNvPicPr/>
                  </pic:nvPicPr>
                  <pic:blipFill>
                    <a:blip r:embed="rId37"/>
                    <a:stretch>
                      <a:fillRect/>
                    </a:stretch>
                  </pic:blipFill>
                  <pic:spPr>
                    <a:xfrm>
                      <a:off x="0" y="0"/>
                      <a:ext cx="6098705" cy="572535"/>
                    </a:xfrm>
                    <a:prstGeom prst="rect">
                      <a:avLst/>
                    </a:prstGeom>
                  </pic:spPr>
                </pic:pic>
              </a:graphicData>
            </a:graphic>
          </wp:inline>
        </w:drawing>
      </w:r>
    </w:p>
    <w:p w14:paraId="01FC030B" w14:textId="77777777" w:rsidR="002A143B" w:rsidRPr="00AE3F1B" w:rsidRDefault="00DA12DF">
      <w:pPr>
        <w:numPr>
          <w:ilvl w:val="0"/>
          <w:numId w:val="11"/>
        </w:numPr>
        <w:ind w:left="567" w:right="-3" w:hanging="567"/>
        <w:jc w:val="left"/>
        <w:rPr>
          <w:rFonts w:ascii="Garamond" w:hAnsi="Garamond"/>
          <w:sz w:val="24"/>
          <w:szCs w:val="24"/>
        </w:rPr>
      </w:pPr>
      <w:r w:rsidRPr="00AE3F1B">
        <w:rPr>
          <w:rFonts w:ascii="Garamond" w:hAnsi="Garamond"/>
          <w:sz w:val="24"/>
          <w:szCs w:val="24"/>
        </w:rPr>
        <w:t>DANE SPRZEDAWCY REZERWOWEGO</w:t>
      </w:r>
    </w:p>
    <w:p w14:paraId="3C0D7B43" w14:textId="77777777" w:rsidR="002A143B" w:rsidRPr="00AE3F1B" w:rsidRDefault="00DA12DF" w:rsidP="00175586">
      <w:pPr>
        <w:spacing w:after="217" w:line="259" w:lineRule="auto"/>
        <w:ind w:left="567" w:right="-3" w:hanging="567"/>
        <w:jc w:val="left"/>
        <w:rPr>
          <w:rFonts w:ascii="Garamond" w:hAnsi="Garamond"/>
          <w:sz w:val="24"/>
          <w:szCs w:val="24"/>
        </w:rPr>
      </w:pPr>
      <w:r w:rsidRPr="00AE3F1B">
        <w:rPr>
          <w:rFonts w:ascii="Garamond" w:hAnsi="Garamond"/>
          <w:noProof/>
          <w:sz w:val="24"/>
          <w:szCs w:val="24"/>
          <w:lang w:eastAsia="pl-PL"/>
        </w:rPr>
        <w:drawing>
          <wp:inline distT="0" distB="0" distL="0" distR="0" wp14:anchorId="245FEBAB" wp14:editId="0EE0C94E">
            <wp:extent cx="6087408" cy="393700"/>
            <wp:effectExtent l="0" t="0" r="8890" b="6350"/>
            <wp:docPr id="882712" name="Picture 882712"/>
            <wp:cNvGraphicFramePr/>
            <a:graphic xmlns:a="http://schemas.openxmlformats.org/drawingml/2006/main">
              <a:graphicData uri="http://schemas.openxmlformats.org/drawingml/2006/picture">
                <pic:pic xmlns:pic="http://schemas.openxmlformats.org/drawingml/2006/picture">
                  <pic:nvPicPr>
                    <pic:cNvPr id="882712" name="Picture 882712"/>
                    <pic:cNvPicPr/>
                  </pic:nvPicPr>
                  <pic:blipFill>
                    <a:blip r:embed="rId38"/>
                    <a:stretch>
                      <a:fillRect/>
                    </a:stretch>
                  </pic:blipFill>
                  <pic:spPr>
                    <a:xfrm>
                      <a:off x="0" y="0"/>
                      <a:ext cx="6090769" cy="393917"/>
                    </a:xfrm>
                    <a:prstGeom prst="rect">
                      <a:avLst/>
                    </a:prstGeom>
                  </pic:spPr>
                </pic:pic>
              </a:graphicData>
            </a:graphic>
          </wp:inline>
        </w:drawing>
      </w:r>
    </w:p>
    <w:p w14:paraId="6C3E9102" w14:textId="77777777" w:rsidR="002A143B" w:rsidRPr="00AE3F1B" w:rsidRDefault="008711AB" w:rsidP="00B23F0A">
      <w:pPr>
        <w:spacing w:after="40" w:line="216" w:lineRule="auto"/>
        <w:ind w:right="-3"/>
        <w:jc w:val="left"/>
        <w:rPr>
          <w:rFonts w:ascii="Garamond" w:hAnsi="Garamond"/>
          <w:sz w:val="24"/>
          <w:szCs w:val="24"/>
        </w:rPr>
      </w:pPr>
      <w:r w:rsidRPr="00AE3F1B">
        <w:rPr>
          <w:rFonts w:ascii="Garamond" w:hAnsi="Garamond"/>
          <w:sz w:val="24"/>
          <w:szCs w:val="24"/>
        </w:rPr>
        <w:t xml:space="preserve">Niniejszym potwierdzam prawidłowość złożonych danych. Za niezgodność danych ze </w:t>
      </w:r>
      <w:r w:rsidR="00B23F0A" w:rsidRPr="00AE3F1B">
        <w:rPr>
          <w:rFonts w:ascii="Garamond" w:hAnsi="Garamond"/>
          <w:sz w:val="24"/>
          <w:szCs w:val="24"/>
        </w:rPr>
        <w:t xml:space="preserve">stanem </w:t>
      </w:r>
      <w:r w:rsidRPr="00AE3F1B">
        <w:rPr>
          <w:rFonts w:ascii="Garamond" w:hAnsi="Garamond"/>
          <w:sz w:val="24"/>
          <w:szCs w:val="24"/>
        </w:rPr>
        <w:t>fa</w:t>
      </w:r>
      <w:r w:rsidR="00B23F0A" w:rsidRPr="00AE3F1B">
        <w:rPr>
          <w:rFonts w:ascii="Garamond" w:hAnsi="Garamond"/>
          <w:sz w:val="24"/>
          <w:szCs w:val="24"/>
        </w:rPr>
        <w:t>ktycznym</w:t>
      </w:r>
      <w:r w:rsidRPr="00AE3F1B">
        <w:rPr>
          <w:rFonts w:ascii="Garamond" w:hAnsi="Garamond"/>
          <w:sz w:val="24"/>
          <w:szCs w:val="24"/>
        </w:rPr>
        <w:t>, któr</w:t>
      </w:r>
      <w:r w:rsidR="00B23F0A" w:rsidRPr="00AE3F1B">
        <w:rPr>
          <w:rFonts w:ascii="Garamond" w:hAnsi="Garamond"/>
          <w:sz w:val="24"/>
          <w:szCs w:val="24"/>
        </w:rPr>
        <w:t>y</w:t>
      </w:r>
      <w:r w:rsidRPr="00AE3F1B">
        <w:rPr>
          <w:rFonts w:ascii="Garamond" w:hAnsi="Garamond"/>
          <w:sz w:val="24"/>
          <w:szCs w:val="24"/>
        </w:rPr>
        <w:t xml:space="preserve"> może mieć wpływ na poprawność zgłoszenia wniosku zmiany sprzedawcy oraz wynikłe z tego konsekwencje biorę całkowitą odpowiedzialność, co potwierdzam własnoręcznym podpisem.</w:t>
      </w:r>
    </w:p>
    <w:p w14:paraId="374DD823" w14:textId="77777777" w:rsidR="008711AB" w:rsidRPr="00AE3F1B" w:rsidRDefault="00DA12DF" w:rsidP="00B23F0A">
      <w:pPr>
        <w:spacing w:after="403" w:line="259" w:lineRule="auto"/>
        <w:ind w:right="-3"/>
        <w:jc w:val="left"/>
        <w:rPr>
          <w:rFonts w:ascii="Garamond" w:hAnsi="Garamond"/>
          <w:sz w:val="24"/>
          <w:szCs w:val="24"/>
        </w:rPr>
      </w:pPr>
      <w:r w:rsidRPr="00AE3F1B">
        <w:rPr>
          <w:rFonts w:ascii="Garamond" w:hAnsi="Garamond"/>
          <w:sz w:val="24"/>
          <w:szCs w:val="24"/>
        </w:rPr>
        <w:t>Wyrażam(y) zgodę na przetwarzanie danych osobowych do celów realizacji zmiany sprzedawcy energii elektrycznej, zgodnie z ustawą o ochronie danych osobowych.</w:t>
      </w:r>
      <w:r w:rsidR="00AA5EFE" w:rsidRPr="00AE3F1B">
        <w:rPr>
          <w:rFonts w:ascii="Garamond" w:hAnsi="Garamond"/>
          <w:sz w:val="24"/>
          <w:szCs w:val="24"/>
        </w:rPr>
        <w:br/>
      </w:r>
      <w:r w:rsidR="00AA5EFE" w:rsidRPr="00AE3F1B">
        <w:rPr>
          <w:rFonts w:ascii="Garamond" w:hAnsi="Garamond"/>
          <w:sz w:val="24"/>
          <w:szCs w:val="24"/>
        </w:rPr>
        <w:br/>
      </w:r>
      <w:r w:rsidR="00AA5EFE" w:rsidRPr="00AE3F1B">
        <w:rPr>
          <w:rFonts w:ascii="Garamond" w:hAnsi="Garamond"/>
          <w:sz w:val="24"/>
          <w:szCs w:val="24"/>
        </w:rPr>
        <w:br/>
      </w:r>
      <w:r w:rsidR="00AA5EFE" w:rsidRPr="00AE3F1B">
        <w:rPr>
          <w:rFonts w:ascii="Garamond" w:hAnsi="Garamond"/>
          <w:sz w:val="24"/>
          <w:szCs w:val="24"/>
        </w:rPr>
        <w:lastRenderedPageBreak/>
        <w:t>______________________</w:t>
      </w:r>
      <w:r w:rsidR="00AA5EFE" w:rsidRPr="00AE3F1B">
        <w:rPr>
          <w:rFonts w:ascii="Garamond" w:hAnsi="Garamond"/>
          <w:sz w:val="24"/>
          <w:szCs w:val="24"/>
        </w:rPr>
        <w:tab/>
      </w:r>
      <w:r w:rsidR="00AA5EFE" w:rsidRPr="00AE3F1B">
        <w:rPr>
          <w:rFonts w:ascii="Garamond" w:hAnsi="Garamond"/>
          <w:sz w:val="24"/>
          <w:szCs w:val="24"/>
        </w:rPr>
        <w:tab/>
      </w:r>
      <w:r w:rsidR="00AA5EFE" w:rsidRPr="00AE3F1B">
        <w:rPr>
          <w:rFonts w:ascii="Garamond" w:hAnsi="Garamond"/>
          <w:sz w:val="24"/>
          <w:szCs w:val="24"/>
        </w:rPr>
        <w:tab/>
      </w:r>
      <w:r w:rsidR="00AA5EFE" w:rsidRPr="00AE3F1B">
        <w:rPr>
          <w:rFonts w:ascii="Garamond" w:hAnsi="Garamond"/>
          <w:sz w:val="24"/>
          <w:szCs w:val="24"/>
        </w:rPr>
        <w:tab/>
      </w:r>
      <w:r w:rsidR="00AA5EFE" w:rsidRPr="00AE3F1B">
        <w:rPr>
          <w:rFonts w:ascii="Garamond" w:hAnsi="Garamond"/>
          <w:sz w:val="24"/>
          <w:szCs w:val="24"/>
        </w:rPr>
        <w:tab/>
        <w:t>______________________</w:t>
      </w:r>
      <w:r w:rsidR="00AA5EFE" w:rsidRPr="00AE3F1B">
        <w:rPr>
          <w:rFonts w:ascii="Garamond" w:hAnsi="Garamond"/>
          <w:sz w:val="24"/>
          <w:szCs w:val="24"/>
        </w:rPr>
        <w:br/>
      </w:r>
      <w:r w:rsidR="008711AB" w:rsidRPr="00AE3F1B">
        <w:rPr>
          <w:rFonts w:ascii="Garamond" w:hAnsi="Garamond"/>
          <w:sz w:val="24"/>
          <w:szCs w:val="24"/>
        </w:rPr>
        <w:t xml:space="preserve">Czytelny podpis </w:t>
      </w:r>
      <w:r w:rsidR="00AA5EFE" w:rsidRPr="00AE3F1B">
        <w:rPr>
          <w:rFonts w:ascii="Garamond" w:hAnsi="Garamond"/>
          <w:sz w:val="24"/>
          <w:szCs w:val="24"/>
        </w:rPr>
        <w:t xml:space="preserve">Odbiorcy </w:t>
      </w:r>
      <w:r w:rsidR="00AA5EFE" w:rsidRPr="00AE3F1B">
        <w:rPr>
          <w:rFonts w:ascii="Garamond" w:hAnsi="Garamond"/>
          <w:sz w:val="24"/>
          <w:szCs w:val="24"/>
        </w:rPr>
        <w:tab/>
      </w:r>
      <w:r w:rsidR="00AA5EFE" w:rsidRPr="00AE3F1B">
        <w:rPr>
          <w:rFonts w:ascii="Garamond" w:hAnsi="Garamond"/>
          <w:sz w:val="24"/>
          <w:szCs w:val="24"/>
        </w:rPr>
        <w:tab/>
      </w:r>
      <w:r w:rsidR="00AA5EFE" w:rsidRPr="00AE3F1B">
        <w:rPr>
          <w:rFonts w:ascii="Garamond" w:hAnsi="Garamond"/>
          <w:sz w:val="24"/>
          <w:szCs w:val="24"/>
        </w:rPr>
        <w:tab/>
      </w:r>
      <w:r w:rsidR="00AA5EFE" w:rsidRPr="00AE3F1B">
        <w:rPr>
          <w:rFonts w:ascii="Garamond" w:hAnsi="Garamond"/>
          <w:sz w:val="24"/>
          <w:szCs w:val="24"/>
        </w:rPr>
        <w:tab/>
      </w:r>
      <w:r w:rsidR="00AA5EFE" w:rsidRPr="00AE3F1B">
        <w:rPr>
          <w:rFonts w:ascii="Garamond" w:hAnsi="Garamond"/>
          <w:sz w:val="24"/>
          <w:szCs w:val="24"/>
        </w:rPr>
        <w:tab/>
        <w:t>Czytelny podpis Sprzedawcy</w:t>
      </w:r>
    </w:p>
    <w:p w14:paraId="40698B76" w14:textId="77777777" w:rsidR="002A143B" w:rsidRPr="00AE3F1B" w:rsidRDefault="00DA12DF" w:rsidP="00175586">
      <w:pPr>
        <w:spacing w:after="145" w:line="259" w:lineRule="auto"/>
        <w:ind w:left="567" w:right="-3" w:hanging="567"/>
        <w:jc w:val="left"/>
        <w:rPr>
          <w:rFonts w:ascii="Garamond" w:hAnsi="Garamond"/>
          <w:sz w:val="24"/>
          <w:szCs w:val="24"/>
        </w:rPr>
      </w:pPr>
      <w:r w:rsidRPr="00AE3F1B">
        <w:rPr>
          <w:rFonts w:ascii="Garamond" w:hAnsi="Garamond"/>
          <w:noProof/>
          <w:sz w:val="24"/>
          <w:szCs w:val="24"/>
          <w:lang w:eastAsia="pl-PL"/>
        </w:rPr>
        <w:drawing>
          <wp:inline distT="0" distB="0" distL="0" distR="0" wp14:anchorId="60976211" wp14:editId="2A9A10E0">
            <wp:extent cx="1277098" cy="150979"/>
            <wp:effectExtent l="0" t="0" r="0" b="0"/>
            <wp:docPr id="882716" name="Picture 882716"/>
            <wp:cNvGraphicFramePr/>
            <a:graphic xmlns:a="http://schemas.openxmlformats.org/drawingml/2006/main">
              <a:graphicData uri="http://schemas.openxmlformats.org/drawingml/2006/picture">
                <pic:pic xmlns:pic="http://schemas.openxmlformats.org/drawingml/2006/picture">
                  <pic:nvPicPr>
                    <pic:cNvPr id="882716" name="Picture 882716"/>
                    <pic:cNvPicPr/>
                  </pic:nvPicPr>
                  <pic:blipFill>
                    <a:blip r:embed="rId39"/>
                    <a:stretch>
                      <a:fillRect/>
                    </a:stretch>
                  </pic:blipFill>
                  <pic:spPr>
                    <a:xfrm>
                      <a:off x="0" y="0"/>
                      <a:ext cx="1277098" cy="150979"/>
                    </a:xfrm>
                    <a:prstGeom prst="rect">
                      <a:avLst/>
                    </a:prstGeom>
                  </pic:spPr>
                </pic:pic>
              </a:graphicData>
            </a:graphic>
          </wp:inline>
        </w:drawing>
      </w:r>
    </w:p>
    <w:p w14:paraId="2C17F20E" w14:textId="539E6841" w:rsidR="002A143B" w:rsidRPr="00AE3F1B" w:rsidRDefault="00DA12DF" w:rsidP="00175586">
      <w:pPr>
        <w:spacing w:after="928" w:line="259" w:lineRule="auto"/>
        <w:ind w:left="567" w:right="-3" w:hanging="567"/>
        <w:jc w:val="left"/>
        <w:rPr>
          <w:rFonts w:ascii="Garamond" w:hAnsi="Garamond"/>
          <w:sz w:val="24"/>
          <w:szCs w:val="24"/>
        </w:rPr>
      </w:pPr>
      <w:r w:rsidRPr="00AE3F1B">
        <w:rPr>
          <w:rFonts w:ascii="Garamond" w:hAnsi="Garamond"/>
          <w:sz w:val="24"/>
          <w:szCs w:val="24"/>
        </w:rPr>
        <w:t xml:space="preserve">* Proszę </w:t>
      </w:r>
      <w:r w:rsidR="00107781" w:rsidRPr="00AE3F1B">
        <w:rPr>
          <w:rFonts w:ascii="Garamond" w:hAnsi="Garamond"/>
          <w:sz w:val="24"/>
          <w:szCs w:val="24"/>
        </w:rPr>
        <w:t>podać,</w:t>
      </w:r>
      <w:r w:rsidRPr="00AE3F1B">
        <w:rPr>
          <w:rFonts w:ascii="Garamond" w:hAnsi="Garamond"/>
          <w:sz w:val="24"/>
          <w:szCs w:val="24"/>
        </w:rPr>
        <w:t xml:space="preserve"> jeśli jest się w posiadaniu </w:t>
      </w:r>
      <w:r w:rsidR="008C55DA" w:rsidRPr="00AE3F1B">
        <w:rPr>
          <w:rFonts w:ascii="Garamond" w:hAnsi="Garamond"/>
          <w:sz w:val="24"/>
          <w:szCs w:val="24"/>
        </w:rPr>
        <w:t>tych</w:t>
      </w:r>
      <w:r w:rsidRPr="00AE3F1B">
        <w:rPr>
          <w:rFonts w:ascii="Garamond" w:hAnsi="Garamond"/>
          <w:sz w:val="24"/>
          <w:szCs w:val="24"/>
        </w:rPr>
        <w:t xml:space="preserve"> danych.</w:t>
      </w:r>
    </w:p>
    <w:p w14:paraId="2DADC1CD" w14:textId="2DC997C5" w:rsidR="008958B9" w:rsidRDefault="008958B9" w:rsidP="00175586">
      <w:pPr>
        <w:ind w:left="567" w:right="-3" w:hanging="567"/>
        <w:jc w:val="left"/>
        <w:rPr>
          <w:rFonts w:ascii="Garamond" w:hAnsi="Garamond"/>
          <w:sz w:val="24"/>
          <w:szCs w:val="24"/>
        </w:rPr>
      </w:pPr>
    </w:p>
    <w:p w14:paraId="0E22FAC1" w14:textId="77777777" w:rsidR="0066416E" w:rsidRDefault="0066416E" w:rsidP="00175586">
      <w:pPr>
        <w:ind w:left="567" w:right="-3" w:hanging="567"/>
        <w:jc w:val="left"/>
        <w:rPr>
          <w:rFonts w:ascii="Garamond" w:hAnsi="Garamond"/>
          <w:sz w:val="24"/>
          <w:szCs w:val="24"/>
        </w:rPr>
      </w:pPr>
    </w:p>
    <w:p w14:paraId="174F31C4" w14:textId="77777777" w:rsidR="0066416E" w:rsidRDefault="0066416E" w:rsidP="00175586">
      <w:pPr>
        <w:ind w:left="567" w:right="-3" w:hanging="567"/>
        <w:jc w:val="left"/>
        <w:rPr>
          <w:rFonts w:ascii="Garamond" w:hAnsi="Garamond"/>
          <w:sz w:val="24"/>
          <w:szCs w:val="24"/>
        </w:rPr>
      </w:pPr>
    </w:p>
    <w:p w14:paraId="0C3F1ED5" w14:textId="77777777" w:rsidR="0066416E" w:rsidRDefault="0066416E" w:rsidP="00175586">
      <w:pPr>
        <w:ind w:left="567" w:right="-3" w:hanging="567"/>
        <w:jc w:val="left"/>
        <w:rPr>
          <w:rFonts w:ascii="Garamond" w:hAnsi="Garamond"/>
          <w:sz w:val="24"/>
          <w:szCs w:val="24"/>
        </w:rPr>
      </w:pPr>
    </w:p>
    <w:p w14:paraId="353D7831" w14:textId="77777777" w:rsidR="0066416E" w:rsidRDefault="0066416E" w:rsidP="00175586">
      <w:pPr>
        <w:ind w:left="567" w:right="-3" w:hanging="567"/>
        <w:jc w:val="left"/>
        <w:rPr>
          <w:rFonts w:ascii="Garamond" w:hAnsi="Garamond"/>
          <w:sz w:val="24"/>
          <w:szCs w:val="24"/>
        </w:rPr>
      </w:pPr>
    </w:p>
    <w:p w14:paraId="28D2DC49" w14:textId="77777777" w:rsidR="0066416E" w:rsidRDefault="0066416E" w:rsidP="00175586">
      <w:pPr>
        <w:ind w:left="567" w:right="-3" w:hanging="567"/>
        <w:jc w:val="left"/>
        <w:rPr>
          <w:rFonts w:ascii="Garamond" w:hAnsi="Garamond"/>
          <w:sz w:val="24"/>
          <w:szCs w:val="24"/>
        </w:rPr>
      </w:pPr>
    </w:p>
    <w:p w14:paraId="552F21B3" w14:textId="77777777" w:rsidR="0066416E" w:rsidRDefault="0066416E" w:rsidP="00175586">
      <w:pPr>
        <w:ind w:left="567" w:right="-3" w:hanging="567"/>
        <w:jc w:val="left"/>
        <w:rPr>
          <w:rFonts w:ascii="Garamond" w:hAnsi="Garamond"/>
          <w:sz w:val="24"/>
          <w:szCs w:val="24"/>
        </w:rPr>
      </w:pPr>
    </w:p>
    <w:p w14:paraId="2C9F4BBB" w14:textId="77777777" w:rsidR="0066416E" w:rsidRDefault="0066416E" w:rsidP="00175586">
      <w:pPr>
        <w:ind w:left="567" w:right="-3" w:hanging="567"/>
        <w:jc w:val="left"/>
        <w:rPr>
          <w:rFonts w:ascii="Garamond" w:hAnsi="Garamond"/>
          <w:sz w:val="24"/>
          <w:szCs w:val="24"/>
        </w:rPr>
      </w:pPr>
    </w:p>
    <w:p w14:paraId="1F6F478E" w14:textId="77777777" w:rsidR="0066416E" w:rsidRDefault="0066416E" w:rsidP="00175586">
      <w:pPr>
        <w:ind w:left="567" w:right="-3" w:hanging="567"/>
        <w:jc w:val="left"/>
        <w:rPr>
          <w:rFonts w:ascii="Garamond" w:hAnsi="Garamond"/>
          <w:sz w:val="24"/>
          <w:szCs w:val="24"/>
        </w:rPr>
      </w:pPr>
    </w:p>
    <w:p w14:paraId="55586D19" w14:textId="77777777" w:rsidR="0066416E" w:rsidRDefault="0066416E" w:rsidP="00175586">
      <w:pPr>
        <w:ind w:left="567" w:right="-3" w:hanging="567"/>
        <w:jc w:val="left"/>
        <w:rPr>
          <w:rFonts w:ascii="Garamond" w:hAnsi="Garamond"/>
          <w:sz w:val="24"/>
          <w:szCs w:val="24"/>
        </w:rPr>
      </w:pPr>
    </w:p>
    <w:p w14:paraId="058E3253" w14:textId="77777777" w:rsidR="0066416E" w:rsidRDefault="0066416E" w:rsidP="00175586">
      <w:pPr>
        <w:ind w:left="567" w:right="-3" w:hanging="567"/>
        <w:jc w:val="left"/>
        <w:rPr>
          <w:rFonts w:ascii="Garamond" w:hAnsi="Garamond"/>
          <w:sz w:val="24"/>
          <w:szCs w:val="24"/>
        </w:rPr>
      </w:pPr>
    </w:p>
    <w:p w14:paraId="51C90506" w14:textId="77777777" w:rsidR="0066416E" w:rsidRDefault="0066416E" w:rsidP="00175586">
      <w:pPr>
        <w:ind w:left="567" w:right="-3" w:hanging="567"/>
        <w:jc w:val="left"/>
        <w:rPr>
          <w:rFonts w:ascii="Garamond" w:hAnsi="Garamond"/>
          <w:sz w:val="24"/>
          <w:szCs w:val="24"/>
        </w:rPr>
      </w:pPr>
    </w:p>
    <w:p w14:paraId="56C9DF31" w14:textId="77777777" w:rsidR="0066416E" w:rsidRDefault="0066416E" w:rsidP="00175586">
      <w:pPr>
        <w:ind w:left="567" w:right="-3" w:hanging="567"/>
        <w:jc w:val="left"/>
        <w:rPr>
          <w:rFonts w:ascii="Garamond" w:hAnsi="Garamond"/>
          <w:sz w:val="24"/>
          <w:szCs w:val="24"/>
        </w:rPr>
      </w:pPr>
    </w:p>
    <w:p w14:paraId="7FD8C9C4" w14:textId="77777777" w:rsidR="0066416E" w:rsidRDefault="0066416E" w:rsidP="00175586">
      <w:pPr>
        <w:ind w:left="567" w:right="-3" w:hanging="567"/>
        <w:jc w:val="left"/>
        <w:rPr>
          <w:rFonts w:ascii="Garamond" w:hAnsi="Garamond"/>
          <w:sz w:val="24"/>
          <w:szCs w:val="24"/>
        </w:rPr>
      </w:pPr>
    </w:p>
    <w:p w14:paraId="24DD2212" w14:textId="77777777" w:rsidR="0066416E" w:rsidRDefault="0066416E" w:rsidP="00175586">
      <w:pPr>
        <w:ind w:left="567" w:right="-3" w:hanging="567"/>
        <w:jc w:val="left"/>
        <w:rPr>
          <w:rFonts w:ascii="Garamond" w:hAnsi="Garamond"/>
          <w:sz w:val="24"/>
          <w:szCs w:val="24"/>
        </w:rPr>
      </w:pPr>
    </w:p>
    <w:p w14:paraId="4B8E7F19" w14:textId="77777777" w:rsidR="0066416E" w:rsidRDefault="0066416E" w:rsidP="00175586">
      <w:pPr>
        <w:ind w:left="567" w:right="-3" w:hanging="567"/>
        <w:jc w:val="left"/>
        <w:rPr>
          <w:rFonts w:ascii="Garamond" w:hAnsi="Garamond"/>
          <w:sz w:val="24"/>
          <w:szCs w:val="24"/>
        </w:rPr>
      </w:pPr>
    </w:p>
    <w:p w14:paraId="2E693E89" w14:textId="77777777" w:rsidR="0066416E" w:rsidRDefault="0066416E" w:rsidP="00175586">
      <w:pPr>
        <w:ind w:left="567" w:right="-3" w:hanging="567"/>
        <w:jc w:val="left"/>
        <w:rPr>
          <w:rFonts w:ascii="Garamond" w:hAnsi="Garamond"/>
          <w:sz w:val="24"/>
          <w:szCs w:val="24"/>
        </w:rPr>
      </w:pPr>
    </w:p>
    <w:p w14:paraId="509EF702" w14:textId="77777777" w:rsidR="0066416E" w:rsidRDefault="0066416E" w:rsidP="00175586">
      <w:pPr>
        <w:ind w:left="567" w:right="-3" w:hanging="567"/>
        <w:jc w:val="left"/>
        <w:rPr>
          <w:rFonts w:ascii="Garamond" w:hAnsi="Garamond"/>
          <w:sz w:val="24"/>
          <w:szCs w:val="24"/>
        </w:rPr>
      </w:pPr>
    </w:p>
    <w:p w14:paraId="5322FB95" w14:textId="77777777" w:rsidR="0066416E" w:rsidRDefault="0066416E" w:rsidP="00175586">
      <w:pPr>
        <w:ind w:left="567" w:right="-3" w:hanging="567"/>
        <w:jc w:val="left"/>
        <w:rPr>
          <w:rFonts w:ascii="Garamond" w:hAnsi="Garamond"/>
          <w:sz w:val="24"/>
          <w:szCs w:val="24"/>
        </w:rPr>
      </w:pPr>
    </w:p>
    <w:p w14:paraId="0F369EB7" w14:textId="77777777" w:rsidR="0066416E" w:rsidRDefault="0066416E" w:rsidP="00175586">
      <w:pPr>
        <w:ind w:left="567" w:right="-3" w:hanging="567"/>
        <w:jc w:val="left"/>
        <w:rPr>
          <w:rFonts w:ascii="Garamond" w:hAnsi="Garamond"/>
          <w:sz w:val="24"/>
          <w:szCs w:val="24"/>
        </w:rPr>
      </w:pPr>
    </w:p>
    <w:p w14:paraId="1698C902" w14:textId="77777777" w:rsidR="0066416E" w:rsidRDefault="0066416E" w:rsidP="00175586">
      <w:pPr>
        <w:ind w:left="567" w:right="-3" w:hanging="567"/>
        <w:jc w:val="left"/>
        <w:rPr>
          <w:rFonts w:ascii="Garamond" w:hAnsi="Garamond"/>
          <w:sz w:val="24"/>
          <w:szCs w:val="24"/>
        </w:rPr>
      </w:pPr>
    </w:p>
    <w:p w14:paraId="5FCEFA8D" w14:textId="77777777" w:rsidR="0066416E" w:rsidRDefault="0066416E" w:rsidP="00175586">
      <w:pPr>
        <w:ind w:left="567" w:right="-3" w:hanging="567"/>
        <w:jc w:val="left"/>
        <w:rPr>
          <w:rFonts w:ascii="Garamond" w:hAnsi="Garamond"/>
          <w:sz w:val="24"/>
          <w:szCs w:val="24"/>
        </w:rPr>
      </w:pPr>
    </w:p>
    <w:p w14:paraId="10E2E34C" w14:textId="77777777" w:rsidR="0066416E" w:rsidRDefault="0066416E" w:rsidP="00175586">
      <w:pPr>
        <w:ind w:left="567" w:right="-3" w:hanging="567"/>
        <w:jc w:val="left"/>
        <w:rPr>
          <w:rFonts w:ascii="Garamond" w:hAnsi="Garamond"/>
          <w:sz w:val="24"/>
          <w:szCs w:val="24"/>
        </w:rPr>
      </w:pPr>
    </w:p>
    <w:p w14:paraId="2723B199" w14:textId="77777777" w:rsidR="0066416E" w:rsidRDefault="0066416E" w:rsidP="00175586">
      <w:pPr>
        <w:ind w:left="567" w:right="-3" w:hanging="567"/>
        <w:jc w:val="left"/>
        <w:rPr>
          <w:rFonts w:ascii="Garamond" w:hAnsi="Garamond"/>
          <w:sz w:val="24"/>
          <w:szCs w:val="24"/>
        </w:rPr>
      </w:pPr>
    </w:p>
    <w:p w14:paraId="662BF503" w14:textId="77777777" w:rsidR="0066416E" w:rsidRDefault="0066416E" w:rsidP="00175586">
      <w:pPr>
        <w:ind w:left="567" w:right="-3" w:hanging="567"/>
        <w:jc w:val="left"/>
        <w:rPr>
          <w:rFonts w:ascii="Garamond" w:hAnsi="Garamond"/>
          <w:sz w:val="24"/>
          <w:szCs w:val="24"/>
        </w:rPr>
      </w:pPr>
    </w:p>
    <w:p w14:paraId="65267647" w14:textId="77777777" w:rsidR="0066416E" w:rsidRDefault="0066416E" w:rsidP="00175586">
      <w:pPr>
        <w:ind w:left="567" w:right="-3" w:hanging="567"/>
        <w:jc w:val="left"/>
        <w:rPr>
          <w:rFonts w:ascii="Garamond" w:hAnsi="Garamond"/>
          <w:sz w:val="24"/>
          <w:szCs w:val="24"/>
        </w:rPr>
      </w:pPr>
    </w:p>
    <w:p w14:paraId="4E09F3CB" w14:textId="77777777" w:rsidR="0066416E" w:rsidRDefault="0066416E" w:rsidP="00175586">
      <w:pPr>
        <w:ind w:left="567" w:right="-3" w:hanging="567"/>
        <w:jc w:val="left"/>
        <w:rPr>
          <w:rFonts w:ascii="Garamond" w:hAnsi="Garamond"/>
          <w:sz w:val="24"/>
          <w:szCs w:val="24"/>
        </w:rPr>
      </w:pPr>
    </w:p>
    <w:p w14:paraId="516CE6DF" w14:textId="77777777" w:rsidR="0066416E" w:rsidRDefault="0066416E" w:rsidP="00175586">
      <w:pPr>
        <w:ind w:left="567" w:right="-3" w:hanging="567"/>
        <w:jc w:val="left"/>
        <w:rPr>
          <w:rFonts w:ascii="Garamond" w:hAnsi="Garamond"/>
          <w:sz w:val="24"/>
          <w:szCs w:val="24"/>
        </w:rPr>
      </w:pPr>
    </w:p>
    <w:p w14:paraId="46E44C8F" w14:textId="77777777" w:rsidR="0066416E" w:rsidRDefault="0066416E" w:rsidP="00175586">
      <w:pPr>
        <w:ind w:left="567" w:right="-3" w:hanging="567"/>
        <w:jc w:val="left"/>
        <w:rPr>
          <w:rFonts w:ascii="Garamond" w:hAnsi="Garamond"/>
          <w:sz w:val="24"/>
          <w:szCs w:val="24"/>
        </w:rPr>
      </w:pPr>
    </w:p>
    <w:p w14:paraId="74E0E0EF" w14:textId="77777777" w:rsidR="0066416E" w:rsidRDefault="0066416E" w:rsidP="00175586">
      <w:pPr>
        <w:ind w:left="567" w:right="-3" w:hanging="567"/>
        <w:jc w:val="left"/>
        <w:rPr>
          <w:rFonts w:ascii="Garamond" w:hAnsi="Garamond"/>
          <w:sz w:val="24"/>
          <w:szCs w:val="24"/>
        </w:rPr>
      </w:pPr>
    </w:p>
    <w:p w14:paraId="20938923" w14:textId="77777777" w:rsidR="00DE0FBF" w:rsidRPr="00DE0FBF" w:rsidRDefault="00DE0FBF" w:rsidP="00DE0FBF">
      <w:pPr>
        <w:spacing w:after="250" w:line="259" w:lineRule="auto"/>
        <w:ind w:right="575"/>
        <w:jc w:val="right"/>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b/>
          <w:i/>
          <w:color w:val="000000"/>
          <w:kern w:val="2"/>
          <w:sz w:val="32"/>
          <w:szCs w:val="24"/>
          <w:lang w:eastAsia="pl-PL"/>
        </w:rPr>
        <w:lastRenderedPageBreak/>
        <w:t xml:space="preserve">Załącznik nr 4  </w:t>
      </w:r>
    </w:p>
    <w:p w14:paraId="5700D65C" w14:textId="77777777" w:rsidR="00DE0FBF" w:rsidRPr="00DE0FBF" w:rsidRDefault="00DE0FBF" w:rsidP="00DE0FBF">
      <w:pPr>
        <w:tabs>
          <w:tab w:val="center" w:pos="4138"/>
          <w:tab w:val="center" w:pos="6805"/>
          <w:tab w:val="center" w:pos="8735"/>
        </w:tabs>
        <w:spacing w:after="9" w:line="270" w:lineRule="auto"/>
        <w:ind w:left="-13"/>
        <w:jc w:val="left"/>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b/>
          <w:color w:val="000000"/>
          <w:kern w:val="2"/>
          <w:sz w:val="32"/>
          <w:szCs w:val="24"/>
          <w:lang w:eastAsia="pl-PL"/>
        </w:rPr>
        <w:t xml:space="preserve">SZCZEGÓŁOWE WYMAGANIA TECHNICZNE DLA </w:t>
      </w:r>
    </w:p>
    <w:p w14:paraId="562C6EAC" w14:textId="77777777" w:rsidR="00DE0FBF" w:rsidRPr="00DE0FBF" w:rsidRDefault="00DE0FBF" w:rsidP="00DE0FBF">
      <w:pPr>
        <w:tabs>
          <w:tab w:val="center" w:pos="3711"/>
          <w:tab w:val="center" w:pos="5943"/>
          <w:tab w:val="center" w:pos="7944"/>
        </w:tabs>
        <w:spacing w:after="9" w:line="270" w:lineRule="auto"/>
        <w:ind w:left="-13"/>
        <w:jc w:val="left"/>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b/>
          <w:color w:val="000000"/>
          <w:kern w:val="2"/>
          <w:sz w:val="32"/>
          <w:szCs w:val="24"/>
          <w:lang w:eastAsia="pl-PL"/>
        </w:rPr>
        <w:t xml:space="preserve">JEDNOSTEK WYTWÓRCZYCH ORAZ </w:t>
      </w:r>
      <w:r w:rsidRPr="00DE0FBF">
        <w:rPr>
          <w:rFonts w:ascii="Times New Roman" w:eastAsia="Times New Roman" w:hAnsi="Times New Roman" w:cs="Times New Roman"/>
          <w:b/>
          <w:color w:val="000000"/>
          <w:kern w:val="2"/>
          <w:sz w:val="32"/>
          <w:szCs w:val="24"/>
          <w:lang w:eastAsia="pl-PL"/>
        </w:rPr>
        <w:tab/>
        <w:t xml:space="preserve">MAGAZYNÓW </w:t>
      </w:r>
    </w:p>
    <w:p w14:paraId="019EA1DE" w14:textId="77777777" w:rsidR="00DE0FBF" w:rsidRPr="00DE0FBF" w:rsidRDefault="00DE0FBF" w:rsidP="00DE0FBF">
      <w:pPr>
        <w:spacing w:after="9" w:line="270" w:lineRule="auto"/>
        <w:ind w:left="-3" w:hanging="10"/>
        <w:jc w:val="left"/>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b/>
          <w:color w:val="000000"/>
          <w:kern w:val="2"/>
          <w:sz w:val="32"/>
          <w:szCs w:val="24"/>
          <w:lang w:eastAsia="pl-PL"/>
        </w:rPr>
        <w:t>ENERGII ELEKTRYCZNEJ PRZYŁĄCZANYCH I PRZYŁĄCZONYCH DO SIECI DYSTRYBUCYJNEJ</w:t>
      </w:r>
      <w:r w:rsidRPr="00DE0FBF">
        <w:rPr>
          <w:rFonts w:ascii="Times New Roman" w:eastAsia="Times New Roman" w:hAnsi="Times New Roman" w:cs="Times New Roman"/>
          <w:color w:val="000000"/>
          <w:kern w:val="2"/>
          <w:sz w:val="28"/>
          <w:szCs w:val="24"/>
          <w:lang w:eastAsia="pl-PL"/>
        </w:rPr>
        <w:t xml:space="preserve"> </w:t>
      </w:r>
    </w:p>
    <w:p w14:paraId="3DB46BE9" w14:textId="77777777" w:rsidR="00DE0FBF" w:rsidRPr="00DE0FBF" w:rsidRDefault="00DE0FBF" w:rsidP="00DE0FBF">
      <w:pPr>
        <w:spacing w:after="132" w:line="259" w:lineRule="auto"/>
        <w:jc w:val="left"/>
        <w:rPr>
          <w:rFonts w:ascii="Times New Roman" w:eastAsia="Times New Roman" w:hAnsi="Times New Roman" w:cs="Times New Roman"/>
          <w:color w:val="000000"/>
          <w:kern w:val="2"/>
          <w:sz w:val="24"/>
          <w:szCs w:val="24"/>
          <w:lang w:eastAsia="pl-PL"/>
        </w:rPr>
      </w:pPr>
    </w:p>
    <w:p w14:paraId="4D9C8E34" w14:textId="58C0A72A" w:rsidR="00DE0FBF" w:rsidRPr="00DE0FBF" w:rsidRDefault="00C926A8" w:rsidP="00DE0FBF">
      <w:pPr>
        <w:keepNext/>
        <w:keepLines/>
        <w:spacing w:after="155" w:line="249" w:lineRule="auto"/>
        <w:ind w:left="1118" w:hanging="1061"/>
        <w:jc w:val="left"/>
        <w:outlineLvl w:val="0"/>
        <w:rPr>
          <w:rFonts w:ascii="Times New Roman" w:eastAsia="Times New Roman" w:hAnsi="Times New Roman" w:cs="Times New Roman"/>
          <w:b/>
          <w:color w:val="000000"/>
          <w:kern w:val="2"/>
          <w:sz w:val="24"/>
          <w:szCs w:val="24"/>
          <w:lang w:eastAsia="pl-PL"/>
        </w:rPr>
      </w:pPr>
      <w:r>
        <w:rPr>
          <w:rFonts w:ascii="Times New Roman" w:eastAsia="Times New Roman" w:hAnsi="Times New Roman" w:cs="Times New Roman"/>
          <w:b/>
          <w:color w:val="000000"/>
          <w:kern w:val="2"/>
          <w:sz w:val="24"/>
          <w:szCs w:val="24"/>
          <w:lang w:eastAsia="pl-PL"/>
        </w:rPr>
        <w:t xml:space="preserve">1. </w:t>
      </w:r>
      <w:r>
        <w:rPr>
          <w:rFonts w:ascii="Times New Roman" w:eastAsia="Times New Roman" w:hAnsi="Times New Roman" w:cs="Times New Roman"/>
          <w:b/>
          <w:color w:val="000000"/>
          <w:kern w:val="2"/>
          <w:sz w:val="24"/>
          <w:szCs w:val="24"/>
          <w:lang w:eastAsia="pl-PL"/>
        </w:rPr>
        <w:tab/>
      </w:r>
      <w:r w:rsidR="00DE0FBF" w:rsidRPr="00DE0FBF">
        <w:rPr>
          <w:rFonts w:ascii="Times New Roman" w:eastAsia="Times New Roman" w:hAnsi="Times New Roman" w:cs="Times New Roman"/>
          <w:b/>
          <w:color w:val="000000"/>
          <w:kern w:val="2"/>
          <w:sz w:val="24"/>
          <w:szCs w:val="24"/>
          <w:lang w:eastAsia="pl-PL"/>
        </w:rPr>
        <w:t xml:space="preserve">POSTANOWIENIA OGÓLNE </w:t>
      </w:r>
    </w:p>
    <w:p w14:paraId="0A084DEA" w14:textId="77777777" w:rsidR="00DE0FBF" w:rsidRPr="00DE0FBF" w:rsidRDefault="00DE0FBF" w:rsidP="00DE0FBF">
      <w:pPr>
        <w:spacing w:after="135" w:line="269" w:lineRule="auto"/>
        <w:ind w:left="1118" w:hanging="1061"/>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1.1. </w:t>
      </w:r>
      <w:r w:rsidRPr="00DE0FBF">
        <w:rPr>
          <w:rFonts w:ascii="Times New Roman" w:eastAsia="Times New Roman" w:hAnsi="Times New Roman" w:cs="Times New Roman"/>
          <w:color w:val="000000"/>
          <w:kern w:val="2"/>
          <w:sz w:val="24"/>
          <w:szCs w:val="24"/>
          <w:lang w:eastAsia="pl-PL"/>
        </w:rPr>
        <w:tab/>
        <w:t xml:space="preserve">Wymagania zawarte w niniejszym załączniku dotyczą jednostek wytwórczych przyłączanych lub przyłączonych do sieci dystrybucyjnej, z zastrzeżeniem pkt II.5.1.5 – II.5.1.6. IRiESD oraz magazynów energii elektrycznej przyłączanych lub przyłączonych do sieci dystrybucyjnej. Przyłączone do sieci jednostki wytwórcze oraz magazyny energii elektrycznej muszą spełniać wymagania zawarte w niniejszym załączniku po ich remoncie lub modernizacji, których zakres obejmuje również urządzenia lub instalacje wchodzące w skład jednostki wytwórczej lub magazyny energii elektrycznej niespełniających tych wymagań. </w:t>
      </w:r>
    </w:p>
    <w:p w14:paraId="7BA1C87F" w14:textId="77777777" w:rsidR="00DE0FBF" w:rsidRPr="00DE0FBF" w:rsidRDefault="00DE0FBF" w:rsidP="00DE0FBF">
      <w:pPr>
        <w:spacing w:after="135" w:line="269" w:lineRule="auto"/>
        <w:ind w:left="1118" w:hanging="1061"/>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1.2. </w:t>
      </w:r>
      <w:r w:rsidRPr="00DE0FBF">
        <w:rPr>
          <w:rFonts w:ascii="Times New Roman" w:eastAsia="Times New Roman" w:hAnsi="Times New Roman" w:cs="Times New Roman"/>
          <w:color w:val="000000"/>
          <w:kern w:val="2"/>
          <w:sz w:val="24"/>
          <w:szCs w:val="24"/>
          <w:lang w:eastAsia="pl-PL"/>
        </w:rPr>
        <w:tab/>
        <w:t xml:space="preserve">Industria Dystrybucja Sp. z o.o. określa warunki przyłączenia do sieci dla jednostek wytwórczych, w tym ustala do sieci o jakim poziomie napięcia znamionowego należy przyłączyć jednostki wytwórcze, w zależności od wielkości mocy przyłączeniowej i lokalnych warunków pracy sieci dystrybucyjnej oraz z uwzględnieniem wyników ekspertyzy wpływu przyłączanych instalacji na system elektroenergetyczny. Powyższe wymagania dotyczą również magazynów energii elektrycznej. </w:t>
      </w:r>
    </w:p>
    <w:p w14:paraId="08959CB6" w14:textId="77777777" w:rsidR="00DE0FBF" w:rsidRPr="00DE0FBF" w:rsidRDefault="00DE0FBF" w:rsidP="00DE0FBF">
      <w:pPr>
        <w:spacing w:after="135" w:line="269" w:lineRule="auto"/>
        <w:ind w:left="1118" w:hanging="1061"/>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1.3 </w:t>
      </w:r>
      <w:r w:rsidRPr="00DE0FBF">
        <w:rPr>
          <w:rFonts w:ascii="Times New Roman" w:eastAsia="Times New Roman" w:hAnsi="Times New Roman" w:cs="Times New Roman"/>
          <w:color w:val="000000"/>
          <w:kern w:val="2"/>
          <w:sz w:val="24"/>
          <w:szCs w:val="24"/>
          <w:lang w:eastAsia="pl-PL"/>
        </w:rPr>
        <w:tab/>
        <w:t xml:space="preserve">Jednostki wytwórcze o mocy zainstalowanej większej niż 3,68 kW przyłączane są do sieci dystrybucyjnej Industria Dystrybucja Sp. z o.o. w sposób trójfazowy. Wymagania tego punktu wchodzą w życie 6 miesięcy od zatwierdzenia KA IRiESD przez Prezesa URE. </w:t>
      </w:r>
    </w:p>
    <w:p w14:paraId="6EA9AD3C" w14:textId="77777777" w:rsidR="00DE0FBF" w:rsidRPr="00DE0FBF" w:rsidRDefault="00DE0FBF" w:rsidP="00DE0FBF">
      <w:pPr>
        <w:spacing w:after="128" w:line="272" w:lineRule="auto"/>
        <w:ind w:left="1128" w:hanging="1071"/>
        <w:jc w:val="left"/>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1.4. </w:t>
      </w:r>
      <w:r w:rsidRPr="00DE0FBF">
        <w:rPr>
          <w:rFonts w:ascii="Times New Roman" w:eastAsia="Times New Roman" w:hAnsi="Times New Roman" w:cs="Times New Roman"/>
          <w:color w:val="000000"/>
          <w:kern w:val="2"/>
          <w:sz w:val="24"/>
          <w:szCs w:val="24"/>
          <w:lang w:eastAsia="pl-PL"/>
        </w:rPr>
        <w:tab/>
        <w:t xml:space="preserve">Sposób przyłączenia jednostek wytwórczych do sieci dystrybucyjnej, powinien umożliwiać ich odłączenie oraz stworzenie przerwy izolacyjnej, w sposób nieograniczony dla Industria Dystrybucja Sp. z o.o.  </w:t>
      </w:r>
    </w:p>
    <w:p w14:paraId="7E67BCB2" w14:textId="77777777" w:rsidR="00DE0FBF" w:rsidRPr="00DE0FBF" w:rsidRDefault="00DE0FBF" w:rsidP="00DE0FBF">
      <w:pPr>
        <w:spacing w:after="135" w:line="269" w:lineRule="auto"/>
        <w:ind w:left="1118" w:hanging="1061"/>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1.5.</w:t>
      </w:r>
      <w:r w:rsidRPr="00DE0FBF">
        <w:rPr>
          <w:rFonts w:ascii="Times New Roman" w:eastAsia="Times New Roman" w:hAnsi="Times New Roman" w:cs="Times New Roman"/>
          <w:color w:val="000000"/>
          <w:kern w:val="2"/>
          <w:sz w:val="24"/>
          <w:szCs w:val="24"/>
          <w:lang w:eastAsia="pl-PL"/>
        </w:rPr>
        <w:tab/>
        <w:t xml:space="preserve">Jednostki wytwórcze o mocy osiągalnej powyżej 200 kW przyłączane do sieci dystrybucyjnej, powinny być zautomatyzowane i dostosowane do zdalnego sterowania. Industria Dystrybucja Sp. z o.o. decyduje o konieczności wyposażenia łącznika sprzęgającego jednostkę wytwórczą z siecią dystrybucyjną w urządzenia umożliwiające zdalne sterowanie. </w:t>
      </w:r>
    </w:p>
    <w:p w14:paraId="6CBEFA10" w14:textId="77777777" w:rsidR="00DE0FBF" w:rsidRPr="00DE0FBF" w:rsidRDefault="00DE0FBF" w:rsidP="00DE0FBF">
      <w:pPr>
        <w:spacing w:after="135" w:line="269" w:lineRule="auto"/>
        <w:ind w:left="1118" w:hanging="1061"/>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1.6. </w:t>
      </w:r>
      <w:r w:rsidRPr="00DE0FBF">
        <w:rPr>
          <w:rFonts w:ascii="Times New Roman" w:eastAsia="Times New Roman" w:hAnsi="Times New Roman" w:cs="Times New Roman"/>
          <w:color w:val="000000"/>
          <w:kern w:val="2"/>
          <w:sz w:val="24"/>
          <w:szCs w:val="24"/>
          <w:lang w:eastAsia="pl-PL"/>
        </w:rPr>
        <w:tab/>
        <w:t xml:space="preserve">Praca wyspowa jednostek wytwórczych jest możliwa jedynie na wyspę urządzeń tego wytwórcy, o ile uwzględniono to w warunkach przyłączenia. </w:t>
      </w:r>
    </w:p>
    <w:p w14:paraId="758C2C53" w14:textId="77777777" w:rsidR="00DE0FBF" w:rsidRPr="00DE0FBF" w:rsidRDefault="00DE0FBF" w:rsidP="00DE0FBF">
      <w:pPr>
        <w:spacing w:after="135" w:line="269" w:lineRule="auto"/>
        <w:ind w:left="1118" w:hanging="1061"/>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1.7. </w:t>
      </w:r>
      <w:r w:rsidRPr="00DE0FBF">
        <w:rPr>
          <w:rFonts w:ascii="Times New Roman" w:eastAsia="Times New Roman" w:hAnsi="Times New Roman" w:cs="Times New Roman"/>
          <w:color w:val="000000"/>
          <w:kern w:val="2"/>
          <w:sz w:val="24"/>
          <w:szCs w:val="24"/>
          <w:lang w:eastAsia="pl-PL"/>
        </w:rPr>
        <w:tab/>
        <w:t xml:space="preserve">Załączanie nowych lub modernizowanych jednostek wytwórczych do sieci dystrybucyjnej, powinno być poprzedzone przeprowadzeniem prób funkcjonalnych </w:t>
      </w:r>
      <w:r w:rsidRPr="00DE0FBF">
        <w:rPr>
          <w:rFonts w:ascii="Times New Roman" w:eastAsia="Times New Roman" w:hAnsi="Times New Roman" w:cs="Times New Roman"/>
          <w:color w:val="000000"/>
          <w:kern w:val="2"/>
          <w:sz w:val="24"/>
          <w:szCs w:val="24"/>
          <w:lang w:eastAsia="pl-PL"/>
        </w:rPr>
        <w:lastRenderedPageBreak/>
        <w:t xml:space="preserve">urządzeń w zakresie uzgodnionym z Industria Dystrybucja Sp. z o.o. i w obecności jego przedstawiciela. </w:t>
      </w:r>
    </w:p>
    <w:p w14:paraId="1D8D5761" w14:textId="77777777" w:rsidR="00DE0FBF" w:rsidRPr="00DE0FBF" w:rsidRDefault="00DE0FBF" w:rsidP="00DE0FBF">
      <w:pPr>
        <w:spacing w:after="135" w:line="269" w:lineRule="auto"/>
        <w:ind w:left="1118" w:hanging="1061"/>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1.8. </w:t>
      </w:r>
      <w:r w:rsidRPr="00DE0FBF">
        <w:rPr>
          <w:rFonts w:ascii="Times New Roman" w:eastAsia="Times New Roman" w:hAnsi="Times New Roman" w:cs="Times New Roman"/>
          <w:color w:val="000000"/>
          <w:kern w:val="2"/>
          <w:sz w:val="24"/>
          <w:szCs w:val="24"/>
          <w:lang w:eastAsia="pl-PL"/>
        </w:rPr>
        <w:tab/>
        <w:t xml:space="preserve">Instalacja odnawialnego źródła energii wykorzystywana przez Prosumenta, Prosumenta zbiorowego lub Prosumenta wirtualnego powinna spełniać wymogi określone dla jednostek wytwórczych w IRiESD oraz w przepisach odrębnych. </w:t>
      </w:r>
    </w:p>
    <w:p w14:paraId="525DD504" w14:textId="50066A90" w:rsidR="00DE0FBF" w:rsidRPr="00DE0FBF" w:rsidRDefault="00DE0FBF" w:rsidP="00DE0FBF">
      <w:pPr>
        <w:keepNext/>
        <w:keepLines/>
        <w:spacing w:before="240" w:after="155" w:line="249" w:lineRule="auto"/>
        <w:ind w:left="1118" w:hanging="1061"/>
        <w:jc w:val="left"/>
        <w:outlineLvl w:val="0"/>
        <w:rPr>
          <w:rFonts w:ascii="Times New Roman" w:eastAsia="Times New Roman" w:hAnsi="Times New Roman" w:cs="Times New Roman"/>
          <w:b/>
          <w:color w:val="000000"/>
          <w:kern w:val="2"/>
          <w:sz w:val="24"/>
          <w:szCs w:val="24"/>
          <w:lang w:eastAsia="pl-PL"/>
        </w:rPr>
      </w:pPr>
      <w:r>
        <w:rPr>
          <w:rFonts w:ascii="Times New Roman" w:eastAsia="Times New Roman" w:hAnsi="Times New Roman" w:cs="Times New Roman"/>
          <w:b/>
          <w:color w:val="000000"/>
          <w:kern w:val="2"/>
          <w:sz w:val="24"/>
          <w:szCs w:val="24"/>
          <w:lang w:eastAsia="pl-PL"/>
        </w:rPr>
        <w:t xml:space="preserve">2. </w:t>
      </w:r>
      <w:r>
        <w:rPr>
          <w:rFonts w:ascii="Times New Roman" w:eastAsia="Times New Roman" w:hAnsi="Times New Roman" w:cs="Times New Roman"/>
          <w:b/>
          <w:color w:val="000000"/>
          <w:kern w:val="2"/>
          <w:sz w:val="24"/>
          <w:szCs w:val="24"/>
          <w:lang w:eastAsia="pl-PL"/>
        </w:rPr>
        <w:tab/>
      </w:r>
      <w:r w:rsidRPr="00DE0FBF">
        <w:rPr>
          <w:rFonts w:ascii="Times New Roman" w:eastAsia="Times New Roman" w:hAnsi="Times New Roman" w:cs="Times New Roman"/>
          <w:b/>
          <w:color w:val="000000"/>
          <w:kern w:val="2"/>
          <w:sz w:val="24"/>
          <w:szCs w:val="24"/>
          <w:lang w:eastAsia="pl-PL"/>
        </w:rPr>
        <w:t xml:space="preserve">URZĄDZENIA ŁĄCZENIOWE </w:t>
      </w:r>
    </w:p>
    <w:p w14:paraId="74C1DDCE" w14:textId="77777777" w:rsidR="00DE0FBF" w:rsidRPr="00DE0FBF" w:rsidRDefault="00DE0FBF" w:rsidP="00DE0FBF">
      <w:pPr>
        <w:tabs>
          <w:tab w:val="center" w:pos="4670"/>
        </w:tabs>
        <w:spacing w:line="269" w:lineRule="auto"/>
        <w:jc w:val="left"/>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2.1. </w:t>
      </w:r>
      <w:r w:rsidRPr="00DE0FBF">
        <w:rPr>
          <w:rFonts w:ascii="Times New Roman" w:eastAsia="Times New Roman" w:hAnsi="Times New Roman" w:cs="Times New Roman"/>
          <w:color w:val="000000"/>
          <w:kern w:val="2"/>
          <w:sz w:val="24"/>
          <w:szCs w:val="24"/>
          <w:lang w:eastAsia="pl-PL"/>
        </w:rPr>
        <w:tab/>
        <w:t xml:space="preserve">Jednostki wytwórcze muszą posiadać następujące urządzenia łączeniowe: </w:t>
      </w:r>
    </w:p>
    <w:p w14:paraId="4C67227E" w14:textId="77777777" w:rsidR="00DE0FBF" w:rsidRPr="00DE0FBF" w:rsidRDefault="00DE0FBF">
      <w:pPr>
        <w:pStyle w:val="Akapitzlist"/>
        <w:numPr>
          <w:ilvl w:val="0"/>
          <w:numId w:val="216"/>
        </w:numPr>
        <w:spacing w:after="0" w:line="269" w:lineRule="auto"/>
        <w:ind w:right="4"/>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łącznik dostosowany do wyłączania jednostki wytwórczej, </w:t>
      </w:r>
    </w:p>
    <w:p w14:paraId="2BA322F4" w14:textId="77777777" w:rsidR="00DE0FBF" w:rsidRPr="00DE0FBF" w:rsidRDefault="00DE0FBF">
      <w:pPr>
        <w:pStyle w:val="Akapitzlist"/>
        <w:numPr>
          <w:ilvl w:val="0"/>
          <w:numId w:val="216"/>
        </w:numPr>
        <w:spacing w:after="135" w:line="269" w:lineRule="auto"/>
        <w:ind w:right="4"/>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łącznik do odłączania jednostki wytwórczej i stwarzania przerwy izolacyjnej. </w:t>
      </w:r>
    </w:p>
    <w:p w14:paraId="2C80A2B0" w14:textId="77777777" w:rsidR="00DE0FBF" w:rsidRPr="00DE0FBF" w:rsidRDefault="00DE0FBF" w:rsidP="00DE0FBF">
      <w:pPr>
        <w:spacing w:after="135" w:line="269" w:lineRule="auto"/>
        <w:ind w:left="1143" w:hanging="10"/>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Jeśli w skład jednostki wytwórczej wchodzi transformator, to łączniki te powinny być zainstalowane od strony sieci, z którą jednostka wytwórcza współpracuje. </w:t>
      </w:r>
    </w:p>
    <w:p w14:paraId="4D4A49AD" w14:textId="77777777" w:rsidR="00DE0FBF" w:rsidRDefault="00DE0FBF" w:rsidP="00DE0FBF">
      <w:pPr>
        <w:spacing w:after="135" w:line="269" w:lineRule="auto"/>
        <w:ind w:left="1143" w:hanging="10"/>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Dopuszcza się w uzasadnionych przypadkach stosowanie wspólnych obu wymienionych łączników lub jednego z nich dla grupy jednostek wytwórczych przyłączanych do sieci, jeśli to nie wpłynie na pogorszenie warunków zasilania odbiorców. </w:t>
      </w:r>
    </w:p>
    <w:p w14:paraId="10B613C3" w14:textId="10A23C5D" w:rsidR="00DE0FBF" w:rsidRPr="00DE0FBF" w:rsidRDefault="00DE0FBF" w:rsidP="00DE0FBF">
      <w:pPr>
        <w:spacing w:after="135" w:line="269" w:lineRule="auto"/>
        <w:ind w:left="1133" w:hanging="1133"/>
        <w:rPr>
          <w:rFonts w:ascii="Times New Roman" w:eastAsia="Times New Roman" w:hAnsi="Times New Roman" w:cs="Times New Roman"/>
          <w:color w:val="000000"/>
          <w:kern w:val="2"/>
          <w:sz w:val="24"/>
          <w:szCs w:val="24"/>
          <w:lang w:eastAsia="pl-PL"/>
        </w:rPr>
      </w:pPr>
      <w:r>
        <w:rPr>
          <w:rFonts w:ascii="Times New Roman" w:eastAsia="Times New Roman" w:hAnsi="Times New Roman" w:cs="Times New Roman"/>
          <w:color w:val="000000"/>
          <w:kern w:val="2"/>
          <w:sz w:val="24"/>
          <w:szCs w:val="24"/>
          <w:lang w:eastAsia="pl-PL"/>
        </w:rPr>
        <w:t xml:space="preserve">2.2.  </w:t>
      </w:r>
      <w:r>
        <w:rPr>
          <w:rFonts w:ascii="Times New Roman" w:eastAsia="Times New Roman" w:hAnsi="Times New Roman" w:cs="Times New Roman"/>
          <w:color w:val="000000"/>
          <w:kern w:val="2"/>
          <w:sz w:val="24"/>
          <w:szCs w:val="24"/>
          <w:lang w:eastAsia="pl-PL"/>
        </w:rPr>
        <w:tab/>
      </w:r>
      <w:r w:rsidRPr="00DE0FBF">
        <w:rPr>
          <w:rFonts w:ascii="Times New Roman" w:eastAsia="Times New Roman" w:hAnsi="Times New Roman" w:cs="Times New Roman"/>
          <w:color w:val="000000"/>
          <w:kern w:val="2"/>
          <w:sz w:val="24"/>
          <w:szCs w:val="24"/>
          <w:lang w:eastAsia="pl-PL"/>
        </w:rPr>
        <w:t xml:space="preserve">W przypadku, gdy jest możliwa praca wyspowa jednostki wytwórczej na wyspę urządzeń tego wytwórcy, musi ona posiadać dodatkowy łącznik dostosowany do oddzielenia wyspy od sieci dystrybucyjnej, wyposażony w system zdalnego sterowania z odwzorowaniem jego stanu pracy. </w:t>
      </w:r>
    </w:p>
    <w:p w14:paraId="3420DE8E" w14:textId="01051621" w:rsidR="00DE0FBF" w:rsidRPr="00DE0FBF" w:rsidRDefault="00DE0FBF" w:rsidP="00DE0FBF">
      <w:pPr>
        <w:spacing w:after="128" w:line="272" w:lineRule="auto"/>
        <w:ind w:left="1133" w:right="4" w:hanging="1133"/>
        <w:jc w:val="left"/>
        <w:rPr>
          <w:rFonts w:ascii="Times New Roman" w:eastAsia="Times New Roman" w:hAnsi="Times New Roman" w:cs="Times New Roman"/>
          <w:color w:val="000000"/>
          <w:kern w:val="2"/>
          <w:sz w:val="24"/>
          <w:szCs w:val="24"/>
          <w:lang w:eastAsia="pl-PL"/>
        </w:rPr>
      </w:pPr>
      <w:r>
        <w:rPr>
          <w:rFonts w:ascii="Times New Roman" w:eastAsia="Times New Roman" w:hAnsi="Times New Roman" w:cs="Times New Roman"/>
          <w:color w:val="000000"/>
          <w:kern w:val="2"/>
          <w:sz w:val="24"/>
          <w:szCs w:val="24"/>
          <w:lang w:eastAsia="pl-PL"/>
        </w:rPr>
        <w:t xml:space="preserve">2.3 </w:t>
      </w:r>
      <w:r>
        <w:rPr>
          <w:rFonts w:ascii="Times New Roman" w:eastAsia="Times New Roman" w:hAnsi="Times New Roman" w:cs="Times New Roman"/>
          <w:color w:val="000000"/>
          <w:kern w:val="2"/>
          <w:sz w:val="24"/>
          <w:szCs w:val="24"/>
          <w:lang w:eastAsia="pl-PL"/>
        </w:rPr>
        <w:tab/>
      </w:r>
      <w:r w:rsidRPr="00DE0FBF">
        <w:rPr>
          <w:rFonts w:ascii="Times New Roman" w:eastAsia="Times New Roman" w:hAnsi="Times New Roman" w:cs="Times New Roman"/>
          <w:color w:val="000000"/>
          <w:kern w:val="2"/>
          <w:sz w:val="24"/>
          <w:szCs w:val="24"/>
          <w:lang w:eastAsia="pl-PL"/>
        </w:rPr>
        <w:t xml:space="preserve">Industria Dystrybucja Sp. z o.o. koordynuje pracę łączników, o którym mowa w pkt. 2.1. i decyduje o konieczności ich wyposażenia w system zdalnego sterowania i odwzorowania stanu pracy.  </w:t>
      </w:r>
    </w:p>
    <w:p w14:paraId="6C06C8B2" w14:textId="06A984C3" w:rsidR="00DE0FBF" w:rsidRPr="00DE0FBF" w:rsidRDefault="00DE0FBF" w:rsidP="00DE0FBF">
      <w:pPr>
        <w:spacing w:after="135" w:line="269" w:lineRule="auto"/>
        <w:ind w:left="1133" w:right="4" w:hanging="1133"/>
        <w:jc w:val="left"/>
        <w:rPr>
          <w:rFonts w:ascii="Times New Roman" w:eastAsia="Times New Roman" w:hAnsi="Times New Roman" w:cs="Times New Roman"/>
          <w:color w:val="000000"/>
          <w:kern w:val="2"/>
          <w:sz w:val="24"/>
          <w:szCs w:val="24"/>
          <w:lang w:eastAsia="pl-PL"/>
        </w:rPr>
      </w:pPr>
      <w:r>
        <w:rPr>
          <w:rFonts w:ascii="Times New Roman" w:eastAsia="Times New Roman" w:hAnsi="Times New Roman" w:cs="Times New Roman"/>
          <w:color w:val="000000"/>
          <w:kern w:val="2"/>
          <w:sz w:val="24"/>
          <w:szCs w:val="24"/>
          <w:lang w:eastAsia="pl-PL"/>
        </w:rPr>
        <w:t xml:space="preserve">2.4 </w:t>
      </w:r>
      <w:r>
        <w:rPr>
          <w:rFonts w:ascii="Times New Roman" w:eastAsia="Times New Roman" w:hAnsi="Times New Roman" w:cs="Times New Roman"/>
          <w:color w:val="000000"/>
          <w:kern w:val="2"/>
          <w:sz w:val="24"/>
          <w:szCs w:val="24"/>
          <w:lang w:eastAsia="pl-PL"/>
        </w:rPr>
        <w:tab/>
      </w:r>
      <w:r w:rsidRPr="00DE0FBF">
        <w:rPr>
          <w:rFonts w:ascii="Times New Roman" w:eastAsia="Times New Roman" w:hAnsi="Times New Roman" w:cs="Times New Roman"/>
          <w:color w:val="000000"/>
          <w:kern w:val="2"/>
          <w:sz w:val="24"/>
          <w:szCs w:val="24"/>
          <w:lang w:eastAsia="pl-PL"/>
        </w:rPr>
        <w:t xml:space="preserve">Urządzenia łączeniowe jednostek wytwórczych współpracujących z falownikami, powinny być zlokalizowane po stronie prądu przemiennego falownika. </w:t>
      </w:r>
    </w:p>
    <w:p w14:paraId="5B4E5012" w14:textId="77777777" w:rsidR="00DE0FBF" w:rsidRPr="00DE0FBF" w:rsidRDefault="00DE0FBF" w:rsidP="00DE0FBF">
      <w:pPr>
        <w:spacing w:after="135" w:line="269" w:lineRule="auto"/>
        <w:ind w:left="1133"/>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W przypadku mikroinstalacji wymagane jest, aby po stronie prądu przemiennego falownika zlokalizowany był co najmniej rozłącznik izolacyjny odpowiadający drugiej kategorii przepięć. </w:t>
      </w:r>
    </w:p>
    <w:p w14:paraId="6662A2AC" w14:textId="77777777" w:rsidR="00DE0FBF" w:rsidRPr="00DE0FBF" w:rsidRDefault="00DE0FBF" w:rsidP="00DE0FBF">
      <w:pPr>
        <w:spacing w:after="115" w:line="269" w:lineRule="auto"/>
        <w:ind w:left="1118" w:hanging="1061"/>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2.5. </w:t>
      </w:r>
      <w:r w:rsidRPr="00DE0FBF">
        <w:rPr>
          <w:rFonts w:ascii="Times New Roman" w:eastAsia="Times New Roman" w:hAnsi="Times New Roman" w:cs="Times New Roman"/>
          <w:color w:val="000000"/>
          <w:kern w:val="2"/>
          <w:sz w:val="24"/>
          <w:szCs w:val="24"/>
          <w:lang w:eastAsia="pl-PL"/>
        </w:rPr>
        <w:tab/>
        <w:t xml:space="preserve">Impuls wyłączający przesłany od zabezpieczeń do urządzenia łączeniowego musi powodować bezzwłoczne wyłączenie jednostki wytwórczej przez to urządzenie. </w:t>
      </w:r>
    </w:p>
    <w:p w14:paraId="71077C0B" w14:textId="77777777" w:rsidR="00DE0FBF" w:rsidRPr="00DE0FBF" w:rsidRDefault="00DE0FBF" w:rsidP="00DE0FBF">
      <w:pPr>
        <w:spacing w:after="309" w:line="259" w:lineRule="auto"/>
        <w:ind w:left="72"/>
        <w:jc w:val="left"/>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 </w:t>
      </w:r>
      <w:r w:rsidRPr="00DE0FBF">
        <w:rPr>
          <w:rFonts w:ascii="Times New Roman" w:eastAsia="Times New Roman" w:hAnsi="Times New Roman" w:cs="Times New Roman"/>
          <w:color w:val="000000"/>
          <w:kern w:val="2"/>
          <w:sz w:val="24"/>
          <w:szCs w:val="24"/>
          <w:lang w:eastAsia="pl-PL"/>
        </w:rPr>
        <w:tab/>
        <w:t xml:space="preserve"> </w:t>
      </w:r>
    </w:p>
    <w:p w14:paraId="472EB0D9" w14:textId="77777777" w:rsidR="00DE0FBF" w:rsidRPr="00DE0FBF" w:rsidRDefault="00DE0FBF" w:rsidP="00DE0FBF">
      <w:pPr>
        <w:spacing w:after="309" w:line="259" w:lineRule="auto"/>
        <w:ind w:left="72"/>
        <w:jc w:val="left"/>
        <w:rPr>
          <w:rFonts w:ascii="Times New Roman" w:eastAsia="Times New Roman" w:hAnsi="Times New Roman" w:cs="Times New Roman"/>
          <w:color w:val="000000"/>
          <w:kern w:val="2"/>
          <w:sz w:val="24"/>
          <w:szCs w:val="24"/>
          <w:lang w:eastAsia="pl-PL"/>
        </w:rPr>
      </w:pPr>
    </w:p>
    <w:p w14:paraId="6543629A" w14:textId="77777777" w:rsidR="00DE0FBF" w:rsidRPr="00DE0FBF" w:rsidRDefault="00DE0FBF" w:rsidP="00DE0FBF">
      <w:pPr>
        <w:spacing w:after="309" w:line="259" w:lineRule="auto"/>
        <w:ind w:left="72"/>
        <w:jc w:val="left"/>
        <w:rPr>
          <w:rFonts w:ascii="Times New Roman" w:eastAsia="Times New Roman" w:hAnsi="Times New Roman" w:cs="Times New Roman"/>
          <w:color w:val="000000"/>
          <w:kern w:val="2"/>
          <w:sz w:val="24"/>
          <w:szCs w:val="24"/>
          <w:lang w:eastAsia="pl-PL"/>
        </w:rPr>
      </w:pPr>
    </w:p>
    <w:p w14:paraId="652A8BC1" w14:textId="77777777" w:rsidR="00DE0FBF" w:rsidRPr="00DE0FBF" w:rsidRDefault="00DE0FBF" w:rsidP="00DE0FBF">
      <w:pPr>
        <w:spacing w:after="309" w:line="259" w:lineRule="auto"/>
        <w:ind w:left="72"/>
        <w:jc w:val="left"/>
        <w:rPr>
          <w:rFonts w:ascii="Times New Roman" w:eastAsia="Times New Roman" w:hAnsi="Times New Roman" w:cs="Times New Roman"/>
          <w:color w:val="000000"/>
          <w:kern w:val="2"/>
          <w:sz w:val="24"/>
          <w:szCs w:val="24"/>
          <w:lang w:eastAsia="pl-PL"/>
        </w:rPr>
      </w:pPr>
    </w:p>
    <w:p w14:paraId="2C4054D7" w14:textId="34E6C328" w:rsidR="00DE0FBF" w:rsidRPr="00DE0FBF" w:rsidRDefault="00DE0FBF" w:rsidP="00DE0FBF">
      <w:pPr>
        <w:keepNext/>
        <w:keepLines/>
        <w:spacing w:after="155" w:line="249" w:lineRule="auto"/>
        <w:ind w:left="1118" w:hanging="1061"/>
        <w:jc w:val="left"/>
        <w:outlineLvl w:val="0"/>
        <w:rPr>
          <w:rFonts w:ascii="Times New Roman" w:eastAsia="Times New Roman" w:hAnsi="Times New Roman" w:cs="Times New Roman"/>
          <w:b/>
          <w:color w:val="000000"/>
          <w:kern w:val="2"/>
          <w:sz w:val="24"/>
          <w:szCs w:val="24"/>
          <w:lang w:eastAsia="pl-PL"/>
        </w:rPr>
      </w:pPr>
      <w:r>
        <w:rPr>
          <w:rFonts w:ascii="Times New Roman" w:eastAsia="Times New Roman" w:hAnsi="Times New Roman" w:cs="Times New Roman"/>
          <w:b/>
          <w:color w:val="000000"/>
          <w:kern w:val="2"/>
          <w:sz w:val="24"/>
          <w:szCs w:val="24"/>
          <w:lang w:eastAsia="pl-PL"/>
        </w:rPr>
        <w:lastRenderedPageBreak/>
        <w:t xml:space="preserve">3. </w:t>
      </w:r>
      <w:r>
        <w:rPr>
          <w:rFonts w:ascii="Times New Roman" w:eastAsia="Times New Roman" w:hAnsi="Times New Roman" w:cs="Times New Roman"/>
          <w:b/>
          <w:color w:val="000000"/>
          <w:kern w:val="2"/>
          <w:sz w:val="24"/>
          <w:szCs w:val="24"/>
          <w:lang w:eastAsia="pl-PL"/>
        </w:rPr>
        <w:tab/>
      </w:r>
      <w:r w:rsidRPr="00DE0FBF">
        <w:rPr>
          <w:rFonts w:ascii="Times New Roman" w:eastAsia="Times New Roman" w:hAnsi="Times New Roman" w:cs="Times New Roman"/>
          <w:b/>
          <w:color w:val="000000"/>
          <w:kern w:val="2"/>
          <w:sz w:val="24"/>
          <w:szCs w:val="24"/>
          <w:lang w:eastAsia="pl-PL"/>
        </w:rPr>
        <w:t xml:space="preserve">ZABEZPIECZENIA </w:t>
      </w:r>
    </w:p>
    <w:p w14:paraId="3B037AE5" w14:textId="77777777" w:rsidR="00DE0FBF" w:rsidRPr="00DE0FBF" w:rsidRDefault="00DE0FBF" w:rsidP="00DE0FBF">
      <w:pPr>
        <w:spacing w:after="135" w:line="269" w:lineRule="auto"/>
        <w:ind w:left="1118" w:hanging="1061"/>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3.1. </w:t>
      </w:r>
      <w:r w:rsidRPr="00DE0FBF">
        <w:rPr>
          <w:rFonts w:ascii="Times New Roman" w:eastAsia="Times New Roman" w:hAnsi="Times New Roman" w:cs="Times New Roman"/>
          <w:color w:val="000000"/>
          <w:kern w:val="2"/>
          <w:sz w:val="24"/>
          <w:szCs w:val="24"/>
          <w:lang w:eastAsia="pl-PL"/>
        </w:rPr>
        <w:tab/>
        <w:t xml:space="preserve">Jednostki wytwórcze, stosownie do rodzaju, powinny być wyposażone w zabezpieczenia zgodnie z zapisami pkt. II.5.5 IRiESD oraz pkt. 3 i pkt. 9 niniejszego załącznika. </w:t>
      </w:r>
    </w:p>
    <w:p w14:paraId="0F8E8547" w14:textId="77777777" w:rsidR="00DE0FBF" w:rsidRPr="00DE0FBF" w:rsidRDefault="00DE0FBF" w:rsidP="00DE0FBF">
      <w:pPr>
        <w:spacing w:after="128" w:line="272" w:lineRule="auto"/>
        <w:ind w:left="1128" w:hanging="1071"/>
        <w:jc w:val="left"/>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3.2. </w:t>
      </w:r>
      <w:r w:rsidRPr="00DE0FBF">
        <w:rPr>
          <w:rFonts w:ascii="Times New Roman" w:eastAsia="Times New Roman" w:hAnsi="Times New Roman" w:cs="Times New Roman"/>
          <w:color w:val="000000"/>
          <w:kern w:val="2"/>
          <w:sz w:val="24"/>
          <w:szCs w:val="24"/>
          <w:lang w:eastAsia="pl-PL"/>
        </w:rPr>
        <w:tab/>
        <w:t xml:space="preserve">Zabezpieczenia </w:t>
      </w:r>
      <w:r w:rsidRPr="00DE0FBF">
        <w:rPr>
          <w:rFonts w:ascii="Times New Roman" w:eastAsia="Times New Roman" w:hAnsi="Times New Roman" w:cs="Times New Roman"/>
          <w:color w:val="000000"/>
          <w:kern w:val="2"/>
          <w:sz w:val="24"/>
          <w:szCs w:val="24"/>
          <w:lang w:eastAsia="pl-PL"/>
        </w:rPr>
        <w:tab/>
        <w:t xml:space="preserve">jednostek wytwórczych powinny zostać dobrane zgodnie z obowiązującymi przepisami i normami. Zabezpieczenia te powinny działać na urządzenie łączeniowe określone w pkt. 2.1.a), powodując wyłączenie jednostki wytwórczej z ruchu. </w:t>
      </w:r>
    </w:p>
    <w:p w14:paraId="699B9F5A" w14:textId="3BEDD607" w:rsidR="00DE0FBF" w:rsidRPr="00DE0FBF" w:rsidRDefault="00DE0FBF" w:rsidP="00DE0FBF">
      <w:pPr>
        <w:tabs>
          <w:tab w:val="center" w:pos="4855"/>
        </w:tabs>
        <w:spacing w:after="135" w:line="269" w:lineRule="auto"/>
        <w:jc w:val="left"/>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3.3. </w:t>
      </w:r>
      <w:r w:rsidRPr="00DE0FBF">
        <w:rPr>
          <w:rFonts w:ascii="Times New Roman" w:eastAsia="Times New Roman" w:hAnsi="Times New Roman" w:cs="Times New Roman"/>
          <w:color w:val="000000"/>
          <w:kern w:val="2"/>
          <w:sz w:val="24"/>
          <w:szCs w:val="24"/>
          <w:lang w:eastAsia="pl-PL"/>
        </w:rPr>
        <w:tab/>
        <w:t>Zabezpieczenia powinny spełniać wymagania zawarte w pkt. II.5.5.5 IR</w:t>
      </w:r>
      <w:r w:rsidR="00D356CE">
        <w:rPr>
          <w:rFonts w:ascii="Times New Roman" w:eastAsia="Times New Roman" w:hAnsi="Times New Roman" w:cs="Times New Roman"/>
          <w:color w:val="000000"/>
          <w:kern w:val="2"/>
          <w:sz w:val="24"/>
          <w:szCs w:val="24"/>
          <w:lang w:eastAsia="pl-PL"/>
        </w:rPr>
        <w:t>i</w:t>
      </w:r>
      <w:r w:rsidRPr="00DE0FBF">
        <w:rPr>
          <w:rFonts w:ascii="Times New Roman" w:eastAsia="Times New Roman" w:hAnsi="Times New Roman" w:cs="Times New Roman"/>
          <w:color w:val="000000"/>
          <w:kern w:val="2"/>
          <w:sz w:val="24"/>
          <w:szCs w:val="24"/>
          <w:lang w:eastAsia="pl-PL"/>
        </w:rPr>
        <w:t xml:space="preserve">ESD. </w:t>
      </w:r>
    </w:p>
    <w:p w14:paraId="123D2022" w14:textId="77777777" w:rsidR="00DE0FBF" w:rsidRPr="00DE0FBF" w:rsidRDefault="00DE0FBF" w:rsidP="00DE0FBF">
      <w:pPr>
        <w:tabs>
          <w:tab w:val="right" w:pos="9648"/>
        </w:tabs>
        <w:spacing w:after="20" w:line="269" w:lineRule="auto"/>
        <w:ind w:left="1134" w:hanging="1134"/>
        <w:jc w:val="left"/>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3.4. </w:t>
      </w:r>
      <w:r w:rsidRPr="00DE0FBF">
        <w:rPr>
          <w:rFonts w:ascii="Times New Roman" w:eastAsia="Times New Roman" w:hAnsi="Times New Roman" w:cs="Times New Roman"/>
          <w:color w:val="000000"/>
          <w:kern w:val="2"/>
          <w:sz w:val="24"/>
          <w:szCs w:val="24"/>
          <w:lang w:eastAsia="pl-PL"/>
        </w:rPr>
        <w:tab/>
        <w:t xml:space="preserve">Jednostki wytwórcze współpracujące z falownikami o mocy maksymalnej powyżej 200 </w:t>
      </w:r>
    </w:p>
    <w:p w14:paraId="4E06630F" w14:textId="77777777" w:rsidR="00DE0FBF" w:rsidRPr="00DE0FBF" w:rsidRDefault="00DE0FBF" w:rsidP="00DE0FBF">
      <w:pPr>
        <w:spacing w:after="135" w:line="269" w:lineRule="auto"/>
        <w:ind w:left="1143" w:hanging="10"/>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kW powinny być wyposażone w urządzenia pozwalające na kontrolowanie i utrzymywanie zadanych parametrów jakościowych energii elektrycznej. </w:t>
      </w:r>
    </w:p>
    <w:p w14:paraId="661324D1" w14:textId="77777777" w:rsidR="00DE0FBF" w:rsidRPr="00DE0FBF" w:rsidRDefault="00DE0FBF" w:rsidP="00DE0FBF">
      <w:pPr>
        <w:spacing w:after="135" w:line="269" w:lineRule="auto"/>
        <w:ind w:left="1118" w:hanging="1061"/>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3.5. </w:t>
      </w:r>
      <w:r w:rsidRPr="00DE0FBF">
        <w:rPr>
          <w:rFonts w:ascii="Times New Roman" w:eastAsia="Times New Roman" w:hAnsi="Times New Roman" w:cs="Times New Roman"/>
          <w:color w:val="000000"/>
          <w:kern w:val="2"/>
          <w:sz w:val="24"/>
          <w:szCs w:val="24"/>
          <w:lang w:eastAsia="pl-PL"/>
        </w:rPr>
        <w:tab/>
        <w:t xml:space="preserve">Industria Dystrybucja Sp. z o.o. decyduje o potrzebie wyposażenia jednostek wytwórczych w zabezpieczenie od mocy zwrotnej. </w:t>
      </w:r>
    </w:p>
    <w:p w14:paraId="07785520" w14:textId="77777777" w:rsidR="00DE0FBF" w:rsidRPr="00DE0FBF" w:rsidRDefault="00DE0FBF" w:rsidP="00DE0FBF">
      <w:pPr>
        <w:spacing w:after="0" w:line="269" w:lineRule="auto"/>
        <w:ind w:left="1118" w:hanging="1061"/>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3.6. </w:t>
      </w:r>
      <w:r w:rsidRPr="00DE0FBF">
        <w:rPr>
          <w:rFonts w:ascii="Times New Roman" w:eastAsia="Times New Roman" w:hAnsi="Times New Roman" w:cs="Times New Roman"/>
          <w:color w:val="000000"/>
          <w:kern w:val="2"/>
          <w:sz w:val="24"/>
          <w:szCs w:val="24"/>
          <w:lang w:eastAsia="pl-PL"/>
        </w:rPr>
        <w:tab/>
        <w:t xml:space="preserve">W zależności od rodzaju jednostki wytwórczej zabezpieczenia powinny powodować otwarcie łącznika: </w:t>
      </w:r>
    </w:p>
    <w:p w14:paraId="2E664F05" w14:textId="77777777" w:rsidR="00DE0FBF" w:rsidRPr="00DE0FBF" w:rsidRDefault="00DE0FBF">
      <w:pPr>
        <w:pStyle w:val="Akapitzlist"/>
        <w:numPr>
          <w:ilvl w:val="0"/>
          <w:numId w:val="217"/>
        </w:numPr>
        <w:spacing w:after="0" w:line="269" w:lineRule="auto"/>
        <w:ind w:right="-2"/>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określonego w pkt. 2.1.a), gdy jednostka wytwórcza nie ma możliwości pracy wyspowej, </w:t>
      </w:r>
    </w:p>
    <w:p w14:paraId="57D17A6F" w14:textId="77777777" w:rsidR="00DE0FBF" w:rsidRDefault="00DE0FBF">
      <w:pPr>
        <w:pStyle w:val="Akapitzlist"/>
        <w:numPr>
          <w:ilvl w:val="0"/>
          <w:numId w:val="217"/>
        </w:numPr>
        <w:spacing w:after="144" w:line="259" w:lineRule="auto"/>
        <w:ind w:right="-2"/>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określonego w pkt. 2.2, gdy jednostka wytwórcza ma możliwość pracy wyspowej. </w:t>
      </w:r>
    </w:p>
    <w:p w14:paraId="57D8E437" w14:textId="6B458C6E" w:rsidR="00DE0FBF" w:rsidRPr="00202DD5" w:rsidRDefault="00DE0FBF">
      <w:pPr>
        <w:pStyle w:val="Akapitzlist"/>
        <w:numPr>
          <w:ilvl w:val="1"/>
          <w:numId w:val="218"/>
        </w:numPr>
        <w:spacing w:after="144" w:line="259" w:lineRule="auto"/>
        <w:ind w:left="1134" w:right="-2" w:hanging="1134"/>
        <w:rPr>
          <w:rFonts w:ascii="Times New Roman" w:eastAsia="Times New Roman" w:hAnsi="Times New Roman" w:cs="Times New Roman"/>
          <w:color w:val="000000"/>
          <w:kern w:val="2"/>
          <w:sz w:val="24"/>
          <w:szCs w:val="24"/>
          <w:lang w:eastAsia="pl-PL"/>
        </w:rPr>
      </w:pPr>
      <w:r w:rsidRPr="00202DD5">
        <w:rPr>
          <w:rFonts w:ascii="Times New Roman" w:eastAsia="Times New Roman" w:hAnsi="Times New Roman" w:cs="Times New Roman"/>
          <w:color w:val="000000"/>
          <w:kern w:val="2"/>
          <w:sz w:val="24"/>
          <w:szCs w:val="24"/>
          <w:lang w:eastAsia="pl-PL"/>
        </w:rPr>
        <w:t xml:space="preserve">Industria Dystrybucja Sp. z o.o. ustala nastawy oraz zwłokę czasową działania zabezpieczeń, w zależności od miejsca przyłączenia jednostki wytwórczej do sieci dystrybucyjnej.  </w:t>
      </w:r>
    </w:p>
    <w:p w14:paraId="36B7FDE1" w14:textId="1B449CB5" w:rsidR="00DE0FBF" w:rsidRPr="00DE0FBF" w:rsidRDefault="00202DD5" w:rsidP="00202DD5">
      <w:pPr>
        <w:spacing w:after="83" w:line="269" w:lineRule="auto"/>
        <w:ind w:left="1134" w:right="4" w:hanging="1134"/>
        <w:rPr>
          <w:rFonts w:ascii="Times New Roman" w:eastAsia="Times New Roman" w:hAnsi="Times New Roman" w:cs="Times New Roman"/>
          <w:color w:val="000000"/>
          <w:kern w:val="2"/>
          <w:sz w:val="24"/>
          <w:szCs w:val="24"/>
          <w:lang w:eastAsia="pl-PL"/>
        </w:rPr>
      </w:pPr>
      <w:r>
        <w:rPr>
          <w:rFonts w:ascii="Times New Roman" w:eastAsia="Times New Roman" w:hAnsi="Times New Roman" w:cs="Times New Roman"/>
          <w:color w:val="000000"/>
          <w:kern w:val="2"/>
          <w:sz w:val="24"/>
          <w:szCs w:val="24"/>
          <w:lang w:eastAsia="pl-PL"/>
        </w:rPr>
        <w:t xml:space="preserve">3.8 </w:t>
      </w:r>
      <w:r>
        <w:rPr>
          <w:rFonts w:ascii="Times New Roman" w:eastAsia="Times New Roman" w:hAnsi="Times New Roman" w:cs="Times New Roman"/>
          <w:color w:val="000000"/>
          <w:kern w:val="2"/>
          <w:sz w:val="24"/>
          <w:szCs w:val="24"/>
          <w:lang w:eastAsia="pl-PL"/>
        </w:rPr>
        <w:tab/>
      </w:r>
      <w:r w:rsidR="00DE0FBF" w:rsidRPr="00DE0FBF">
        <w:rPr>
          <w:rFonts w:ascii="Times New Roman" w:eastAsia="Times New Roman" w:hAnsi="Times New Roman" w:cs="Times New Roman"/>
          <w:color w:val="000000"/>
          <w:kern w:val="2"/>
          <w:sz w:val="24"/>
          <w:szCs w:val="24"/>
          <w:lang w:eastAsia="pl-PL"/>
        </w:rPr>
        <w:t xml:space="preserve">W przypadku trójfazowych jednostek wytwórczych zabezpieczenie do ochrony przed obniżeniem lub wzrostem napięcia musi być wykonane trójfazowo. Jednostka wytwórcza przy obniżeniu lub wzroście napięcia w jednym z przewodów fazowych musi być odłączona od sieci trójbiegunowo. </w:t>
      </w:r>
    </w:p>
    <w:p w14:paraId="4B9369CB" w14:textId="77777777" w:rsidR="00DE0FBF" w:rsidRPr="00DE0FBF" w:rsidRDefault="00DE0FBF" w:rsidP="00DE0FBF">
      <w:pPr>
        <w:spacing w:after="12" w:line="269" w:lineRule="auto"/>
        <w:ind w:left="1143" w:hanging="10"/>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W przypadku jednofazowych jednostek wytwórczych zabezpieczenie do ochrony przed obniżeniem lub wzrostem napięcia, przy obniżeniu lub wzroście napięcia, powinno powodować odłączenie jednostki od sieci dwubiegunowo. </w:t>
      </w:r>
    </w:p>
    <w:p w14:paraId="714E6E67" w14:textId="77777777" w:rsidR="00DE0FBF" w:rsidRPr="00DE0FBF" w:rsidRDefault="00DE0FBF" w:rsidP="00DE0FBF">
      <w:pPr>
        <w:spacing w:after="22" w:line="259" w:lineRule="auto"/>
        <w:ind w:left="1134" w:right="-4" w:hanging="426"/>
        <w:jc w:val="center"/>
        <w:rPr>
          <w:rFonts w:ascii="Times New Roman" w:eastAsia="Times New Roman" w:hAnsi="Times New Roman" w:cs="Times New Roman"/>
          <w:color w:val="000000"/>
          <w:kern w:val="2"/>
          <w:sz w:val="24"/>
          <w:szCs w:val="24"/>
          <w:lang w:eastAsia="pl-PL"/>
        </w:rPr>
      </w:pPr>
    </w:p>
    <w:p w14:paraId="68EE6791" w14:textId="77777777" w:rsidR="00DE0FBF" w:rsidRPr="00DE0FBF" w:rsidRDefault="00DE0FBF" w:rsidP="00DE0FBF">
      <w:pPr>
        <w:spacing w:after="22" w:line="259" w:lineRule="auto"/>
        <w:ind w:left="1134" w:right="-4" w:hanging="1134"/>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3.9. </w:t>
      </w:r>
      <w:r w:rsidRPr="00DE0FBF">
        <w:rPr>
          <w:rFonts w:ascii="Times New Roman" w:eastAsia="Times New Roman" w:hAnsi="Times New Roman" w:cs="Times New Roman"/>
          <w:color w:val="000000"/>
          <w:kern w:val="2"/>
          <w:sz w:val="24"/>
          <w:szCs w:val="24"/>
          <w:lang w:eastAsia="pl-PL"/>
        </w:rPr>
        <w:tab/>
        <w:t xml:space="preserve">W przypadku jednostek wytwórczych przyłączonych do sieci dystrybucyjnej poprzez </w:t>
      </w:r>
    </w:p>
    <w:p w14:paraId="1D081326" w14:textId="77777777" w:rsidR="00DE0FBF" w:rsidRPr="00DE0FBF" w:rsidRDefault="00DE0FBF" w:rsidP="00DE0FBF">
      <w:pPr>
        <w:spacing w:after="16" w:line="269" w:lineRule="auto"/>
        <w:ind w:left="1134" w:hanging="1"/>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transformator nN/SN, dla zabezpieczeń do ochrony przed: wzrostem częstotliwości, obniżeniem częstotliwości oraz obniżeniem napięcia, wielkości pomiarowe powinny być pobierane po stronie </w:t>
      </w:r>
      <w:proofErr w:type="spellStart"/>
      <w:r w:rsidRPr="00DE0FBF">
        <w:rPr>
          <w:rFonts w:ascii="Times New Roman" w:eastAsia="Times New Roman" w:hAnsi="Times New Roman" w:cs="Times New Roman"/>
          <w:color w:val="000000"/>
          <w:kern w:val="2"/>
          <w:sz w:val="24"/>
          <w:szCs w:val="24"/>
          <w:lang w:eastAsia="pl-PL"/>
        </w:rPr>
        <w:t>nN.</w:t>
      </w:r>
      <w:proofErr w:type="spellEnd"/>
      <w:r w:rsidRPr="00DE0FBF">
        <w:rPr>
          <w:rFonts w:ascii="Times New Roman" w:eastAsia="Times New Roman" w:hAnsi="Times New Roman" w:cs="Times New Roman"/>
          <w:color w:val="000000"/>
          <w:kern w:val="2"/>
          <w:sz w:val="24"/>
          <w:szCs w:val="24"/>
          <w:lang w:eastAsia="pl-PL"/>
        </w:rPr>
        <w:t xml:space="preserve"> Natomiast dla zabezpieczeń: zerowo-nadnapięciowych oraz do ochrony przed wzrostem napięcia, wielkości pomiarowe powinny być pobierane po stronie SN. </w:t>
      </w:r>
    </w:p>
    <w:p w14:paraId="59D35ABE" w14:textId="77777777" w:rsidR="00DE0FBF" w:rsidRPr="00DE0FBF" w:rsidRDefault="00DE0FBF" w:rsidP="00DE0FBF">
      <w:pPr>
        <w:spacing w:after="135" w:line="269" w:lineRule="auto"/>
        <w:ind w:left="1143" w:hanging="10"/>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W przypadku jednostek wytwórczych, nie będącymi mikroinstalacjami, przyłączonych bezpośrednio do sieci dystrybucyjnej nN, dla zabezpieczeń wielkości pomiarowe powinny być pobierane z sieci </w:t>
      </w:r>
      <w:proofErr w:type="spellStart"/>
      <w:r w:rsidRPr="00DE0FBF">
        <w:rPr>
          <w:rFonts w:ascii="Times New Roman" w:eastAsia="Times New Roman" w:hAnsi="Times New Roman" w:cs="Times New Roman"/>
          <w:color w:val="000000"/>
          <w:kern w:val="2"/>
          <w:sz w:val="24"/>
          <w:szCs w:val="24"/>
          <w:lang w:eastAsia="pl-PL"/>
        </w:rPr>
        <w:t>nN.</w:t>
      </w:r>
      <w:proofErr w:type="spellEnd"/>
      <w:r w:rsidRPr="00DE0FBF">
        <w:rPr>
          <w:rFonts w:ascii="Times New Roman" w:eastAsia="Times New Roman" w:hAnsi="Times New Roman" w:cs="Times New Roman"/>
          <w:color w:val="000000"/>
          <w:kern w:val="2"/>
          <w:sz w:val="24"/>
          <w:szCs w:val="24"/>
          <w:lang w:eastAsia="pl-PL"/>
        </w:rPr>
        <w:t xml:space="preserve"> </w:t>
      </w:r>
    </w:p>
    <w:p w14:paraId="1C4CFEDF" w14:textId="77777777" w:rsidR="00DE0FBF" w:rsidRPr="00DE0FBF" w:rsidRDefault="00DE0FBF" w:rsidP="00DE0FBF">
      <w:pPr>
        <w:spacing w:after="135" w:line="269" w:lineRule="auto"/>
        <w:ind w:left="1143" w:hanging="10"/>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lastRenderedPageBreak/>
        <w:t xml:space="preserve">W przypadku podłączania mikroinstalacji, wielkości pomiarowe dla działania zainstalowanych zabezpieczeń powinny być pobierane z sieci </w:t>
      </w:r>
      <w:proofErr w:type="spellStart"/>
      <w:r w:rsidRPr="00DE0FBF">
        <w:rPr>
          <w:rFonts w:ascii="Times New Roman" w:eastAsia="Times New Roman" w:hAnsi="Times New Roman" w:cs="Times New Roman"/>
          <w:color w:val="000000"/>
          <w:kern w:val="2"/>
          <w:sz w:val="24"/>
          <w:szCs w:val="24"/>
          <w:lang w:eastAsia="pl-PL"/>
        </w:rPr>
        <w:t>nN.</w:t>
      </w:r>
      <w:proofErr w:type="spellEnd"/>
      <w:r w:rsidRPr="00DE0FBF">
        <w:rPr>
          <w:rFonts w:ascii="Times New Roman" w:eastAsia="Times New Roman" w:hAnsi="Times New Roman" w:cs="Times New Roman"/>
          <w:color w:val="000000"/>
          <w:kern w:val="2"/>
          <w:sz w:val="24"/>
          <w:szCs w:val="24"/>
          <w:lang w:eastAsia="pl-PL"/>
        </w:rPr>
        <w:t xml:space="preserve"> Punkt pomiarowy może być umieszczony w dowolnym miejscu pomiędzy zaciskami falownika a siecią dystrybucyjną, z wyłączeniem punktu przyłączenia do sieci OSD (PCC). </w:t>
      </w:r>
    </w:p>
    <w:p w14:paraId="50DA6E4D" w14:textId="77777777" w:rsidR="00DE0FBF" w:rsidRPr="00DE0FBF" w:rsidRDefault="00DE0FBF" w:rsidP="00DE0FBF">
      <w:pPr>
        <w:spacing w:after="135" w:line="269" w:lineRule="auto"/>
        <w:ind w:left="1134" w:hanging="1134"/>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3.10. </w:t>
      </w:r>
      <w:r w:rsidRPr="00DE0FBF">
        <w:rPr>
          <w:rFonts w:ascii="Times New Roman" w:eastAsia="Times New Roman" w:hAnsi="Times New Roman" w:cs="Times New Roman"/>
          <w:color w:val="000000"/>
          <w:kern w:val="2"/>
          <w:sz w:val="24"/>
          <w:szCs w:val="24"/>
          <w:lang w:eastAsia="pl-PL"/>
        </w:rPr>
        <w:tab/>
        <w:t xml:space="preserve">Dla generatorów synchronicznych lub asynchronicznych czas działania zabezpieczeń i czas własny łącznika sprzęgającego muszą być tak dobrane, aby wyłączenie generatora nastąpiło podczas zaników napięcia spowodowanych zadziałaniem automatyki SPZ lub SZR. </w:t>
      </w:r>
    </w:p>
    <w:p w14:paraId="66C67023" w14:textId="77777777" w:rsidR="00DE0FBF" w:rsidRPr="00DE0FBF" w:rsidRDefault="00DE0FBF" w:rsidP="00DE0FBF">
      <w:pPr>
        <w:spacing w:after="83" w:line="269" w:lineRule="auto"/>
        <w:ind w:left="1134" w:hanging="1077"/>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3.11. </w:t>
      </w:r>
      <w:r w:rsidRPr="00DE0FBF">
        <w:rPr>
          <w:rFonts w:ascii="Times New Roman" w:eastAsia="Times New Roman" w:hAnsi="Times New Roman" w:cs="Times New Roman"/>
          <w:color w:val="000000"/>
          <w:kern w:val="2"/>
          <w:sz w:val="24"/>
          <w:szCs w:val="24"/>
          <w:lang w:eastAsia="pl-PL"/>
        </w:rPr>
        <w:tab/>
        <w:t xml:space="preserve">Farmy wiatrowe z generatorami asynchronicznymi należy wyposażyć w automatykę bezzwłocznego wyłączania elektrowni po przejściu do pracy na wydzieloną sieć. </w:t>
      </w:r>
    </w:p>
    <w:p w14:paraId="65C8EBB1" w14:textId="77777777" w:rsidR="00DE0FBF" w:rsidRPr="00DE0FBF" w:rsidRDefault="00DE0FBF" w:rsidP="00DE0FBF">
      <w:pPr>
        <w:spacing w:after="135" w:line="269" w:lineRule="auto"/>
        <w:ind w:left="1134" w:hanging="1077"/>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3.12. </w:t>
      </w:r>
      <w:r w:rsidRPr="00DE0FBF">
        <w:rPr>
          <w:rFonts w:ascii="Times New Roman" w:eastAsia="Times New Roman" w:hAnsi="Times New Roman" w:cs="Times New Roman"/>
          <w:color w:val="000000"/>
          <w:kern w:val="2"/>
          <w:sz w:val="24"/>
          <w:szCs w:val="24"/>
          <w:lang w:eastAsia="pl-PL"/>
        </w:rPr>
        <w:tab/>
        <w:t xml:space="preserve">W przypadku zwarcia w farmie wiatrowej z generatorem asynchronicznym, automatyka zabezpieczeniowa powinna wyłączać ją bezzwłocznie lub ze zwłoką czasową uzgodnioną z Industria Dystrybucja Sp. z o.o.  </w:t>
      </w:r>
    </w:p>
    <w:p w14:paraId="6B7CD916" w14:textId="0F628F69" w:rsidR="00DE0FBF" w:rsidRPr="00DE0FBF" w:rsidRDefault="00DE0FBF" w:rsidP="00443B72">
      <w:pPr>
        <w:spacing w:after="123" w:line="259" w:lineRule="auto"/>
        <w:ind w:left="1118" w:hanging="1118"/>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3.13. </w:t>
      </w:r>
      <w:r w:rsidRPr="00DE0FBF">
        <w:rPr>
          <w:rFonts w:ascii="Times New Roman" w:eastAsia="Times New Roman" w:hAnsi="Times New Roman" w:cs="Times New Roman"/>
          <w:color w:val="000000"/>
          <w:kern w:val="2"/>
          <w:sz w:val="24"/>
          <w:szCs w:val="24"/>
          <w:lang w:eastAsia="pl-PL"/>
        </w:rPr>
        <w:tab/>
        <w:t>Industria Dystrybucja Sp. z o.o. może zdecydować o potrzebie stosowania zabezpieczeń różnicowoprądowych dla poszczególnych rodzajów jednostek wytwórczych.</w:t>
      </w:r>
    </w:p>
    <w:p w14:paraId="2FA10579" w14:textId="08407718" w:rsidR="00DE0FBF" w:rsidRPr="00DE0FBF" w:rsidRDefault="00202DD5" w:rsidP="00443B72">
      <w:pPr>
        <w:keepNext/>
        <w:keepLines/>
        <w:spacing w:before="240" w:after="155" w:line="249" w:lineRule="auto"/>
        <w:ind w:left="1118" w:hanging="1061"/>
        <w:jc w:val="left"/>
        <w:outlineLvl w:val="0"/>
        <w:rPr>
          <w:rFonts w:ascii="Times New Roman" w:eastAsia="Times New Roman" w:hAnsi="Times New Roman" w:cs="Times New Roman"/>
          <w:b/>
          <w:color w:val="000000"/>
          <w:kern w:val="2"/>
          <w:sz w:val="24"/>
          <w:szCs w:val="24"/>
          <w:lang w:eastAsia="pl-PL"/>
        </w:rPr>
      </w:pPr>
      <w:r>
        <w:rPr>
          <w:rFonts w:ascii="Times New Roman" w:eastAsia="Times New Roman" w:hAnsi="Times New Roman" w:cs="Times New Roman"/>
          <w:b/>
          <w:color w:val="000000"/>
          <w:kern w:val="2"/>
          <w:sz w:val="24"/>
          <w:szCs w:val="24"/>
          <w:lang w:eastAsia="pl-PL"/>
        </w:rPr>
        <w:t xml:space="preserve">4. </w:t>
      </w:r>
      <w:r>
        <w:rPr>
          <w:rFonts w:ascii="Times New Roman" w:eastAsia="Times New Roman" w:hAnsi="Times New Roman" w:cs="Times New Roman"/>
          <w:b/>
          <w:color w:val="000000"/>
          <w:kern w:val="2"/>
          <w:sz w:val="24"/>
          <w:szCs w:val="24"/>
          <w:lang w:eastAsia="pl-PL"/>
        </w:rPr>
        <w:tab/>
      </w:r>
      <w:r w:rsidR="00DE0FBF" w:rsidRPr="00DE0FBF">
        <w:rPr>
          <w:rFonts w:ascii="Times New Roman" w:eastAsia="Times New Roman" w:hAnsi="Times New Roman" w:cs="Times New Roman"/>
          <w:b/>
          <w:color w:val="000000"/>
          <w:kern w:val="2"/>
          <w:sz w:val="24"/>
          <w:szCs w:val="24"/>
          <w:lang w:eastAsia="pl-PL"/>
        </w:rPr>
        <w:t xml:space="preserve">KOMPENSACJA MOCY BIERNEJ </w:t>
      </w:r>
    </w:p>
    <w:p w14:paraId="4F5BBCC3" w14:textId="77777777" w:rsidR="00DE0FBF" w:rsidRPr="00DE0FBF" w:rsidRDefault="00DE0FBF" w:rsidP="00DE0FBF">
      <w:pPr>
        <w:spacing w:after="135" w:line="269" w:lineRule="auto"/>
        <w:ind w:left="1118" w:hanging="1061"/>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4.1. </w:t>
      </w:r>
      <w:r w:rsidRPr="00DE0FBF">
        <w:rPr>
          <w:rFonts w:ascii="Times New Roman" w:eastAsia="Times New Roman" w:hAnsi="Times New Roman" w:cs="Times New Roman"/>
          <w:color w:val="000000"/>
          <w:kern w:val="2"/>
          <w:sz w:val="24"/>
          <w:szCs w:val="24"/>
          <w:lang w:eastAsia="pl-PL"/>
        </w:rPr>
        <w:tab/>
        <w:t xml:space="preserve">Wymagany stopień skompensowania mocy biernej określa Industria Dystrybucja Sp. z o.o. w warunkach przyłączenia.  </w:t>
      </w:r>
    </w:p>
    <w:p w14:paraId="0D655B76" w14:textId="77777777" w:rsidR="00DE0FBF" w:rsidRPr="00DE0FBF" w:rsidRDefault="00DE0FBF" w:rsidP="00DE0FBF">
      <w:pPr>
        <w:spacing w:after="135" w:line="269" w:lineRule="auto"/>
        <w:ind w:left="1118" w:hanging="1046"/>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4.2. </w:t>
      </w:r>
      <w:r w:rsidRPr="00DE0FBF">
        <w:rPr>
          <w:rFonts w:ascii="Times New Roman" w:eastAsia="Times New Roman" w:hAnsi="Times New Roman" w:cs="Times New Roman"/>
          <w:color w:val="000000"/>
          <w:kern w:val="2"/>
          <w:sz w:val="24"/>
          <w:szCs w:val="24"/>
          <w:lang w:eastAsia="pl-PL"/>
        </w:rPr>
        <w:tab/>
        <w:t xml:space="preserve">Nie jest wymagane stosowanie urządzeń do kompensacji mocy biernej w przypadku jednostek wytwórczych, których moc osiągalna określona na przewód fazowy nie przekracza 4,6 kVA (5 </w:t>
      </w:r>
      <w:proofErr w:type="spellStart"/>
      <w:r w:rsidRPr="00DE0FBF">
        <w:rPr>
          <w:rFonts w:ascii="Times New Roman" w:eastAsia="Times New Roman" w:hAnsi="Times New Roman" w:cs="Times New Roman"/>
          <w:color w:val="000000"/>
          <w:kern w:val="2"/>
          <w:sz w:val="24"/>
          <w:szCs w:val="24"/>
          <w:lang w:eastAsia="pl-PL"/>
        </w:rPr>
        <w:t>kWp</w:t>
      </w:r>
      <w:proofErr w:type="spellEnd"/>
      <w:r w:rsidRPr="00DE0FBF">
        <w:rPr>
          <w:rFonts w:ascii="Times New Roman" w:eastAsia="Times New Roman" w:hAnsi="Times New Roman" w:cs="Times New Roman"/>
          <w:color w:val="000000"/>
          <w:kern w:val="2"/>
          <w:sz w:val="24"/>
          <w:szCs w:val="24"/>
          <w:lang w:eastAsia="pl-PL"/>
        </w:rPr>
        <w:t xml:space="preserve"> dla jednostek wytwórczych fotowoltaicznych). W pozostałych jednostkach wytwórczych należy stosować urządzenia do kompensacji mocy biernej. W jednostkach wytwórczych charakteryzujących się pracą ze zmienną mocą, w szczególności w farmach wiatrowych należy stosować układy automatycznej regulacji mocy biernej.</w:t>
      </w:r>
    </w:p>
    <w:p w14:paraId="04727073" w14:textId="77777777" w:rsidR="00DE0FBF" w:rsidRPr="00DE0FBF" w:rsidRDefault="00DE0FBF" w:rsidP="00DE0FBF">
      <w:pPr>
        <w:spacing w:after="135" w:line="269" w:lineRule="auto"/>
        <w:ind w:left="1118" w:hanging="1061"/>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4.3. </w:t>
      </w:r>
      <w:r w:rsidRPr="00DE0FBF">
        <w:rPr>
          <w:rFonts w:ascii="Times New Roman" w:eastAsia="Times New Roman" w:hAnsi="Times New Roman" w:cs="Times New Roman"/>
          <w:color w:val="000000"/>
          <w:kern w:val="2"/>
          <w:sz w:val="24"/>
          <w:szCs w:val="24"/>
          <w:lang w:eastAsia="pl-PL"/>
        </w:rPr>
        <w:tab/>
        <w:t xml:space="preserve">Moc bierną przy generatorach synchronicznych należy regulować przy pomocy wzbudzenia. W jednostkach wytwórczych charakteryzujących się pracą ze zmienną mocą, w szczególności w farmach wiatrowych należy stosować układy automatycznej regulacji wzbudzenia. </w:t>
      </w:r>
    </w:p>
    <w:p w14:paraId="35509032" w14:textId="77777777" w:rsidR="00DE0FBF" w:rsidRPr="00DE0FBF" w:rsidRDefault="00DE0FBF" w:rsidP="00DE0FBF">
      <w:pPr>
        <w:spacing w:after="135" w:line="269" w:lineRule="auto"/>
        <w:ind w:left="1118" w:hanging="1061"/>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4.4. </w:t>
      </w:r>
      <w:r w:rsidRPr="00DE0FBF">
        <w:rPr>
          <w:rFonts w:ascii="Times New Roman" w:eastAsia="Times New Roman" w:hAnsi="Times New Roman" w:cs="Times New Roman"/>
          <w:color w:val="000000"/>
          <w:kern w:val="2"/>
          <w:sz w:val="24"/>
          <w:szCs w:val="24"/>
          <w:lang w:eastAsia="pl-PL"/>
        </w:rPr>
        <w:tab/>
        <w:t xml:space="preserve">W przypadku generatorów asynchronicznych układ służący do automatycznego bądź ręcznego załączania kondensatorów do kompensacji mocy biernej powinien być tak skonstruowany, aby nie było możliwe załączenie baterii kondensatorów przed dokonaniem rozruchu generatora. Wyłączenie generatora i baterii kondensatorów następuje równocześnie. </w:t>
      </w:r>
    </w:p>
    <w:p w14:paraId="38EA6FE3" w14:textId="6FE16A26" w:rsidR="00DE0FBF" w:rsidRPr="00DE0FBF" w:rsidRDefault="00DE0FBF" w:rsidP="00443B72">
      <w:pPr>
        <w:spacing w:after="135" w:line="269" w:lineRule="auto"/>
        <w:ind w:left="1118" w:hanging="1061"/>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4.5. </w:t>
      </w:r>
      <w:r w:rsidRPr="00DE0FBF">
        <w:rPr>
          <w:rFonts w:ascii="Times New Roman" w:eastAsia="Times New Roman" w:hAnsi="Times New Roman" w:cs="Times New Roman"/>
          <w:color w:val="000000"/>
          <w:kern w:val="2"/>
          <w:sz w:val="24"/>
          <w:szCs w:val="24"/>
          <w:lang w:eastAsia="pl-PL"/>
        </w:rPr>
        <w:tab/>
        <w:t xml:space="preserve">Dla jednostek wytwórczych przyłączonych do sieci dystrybucyjnej poprzez falowniki </w:t>
      </w:r>
      <w:proofErr w:type="spellStart"/>
      <w:r w:rsidRPr="00DE0FBF">
        <w:rPr>
          <w:rFonts w:ascii="Times New Roman" w:eastAsia="Times New Roman" w:hAnsi="Times New Roman" w:cs="Times New Roman"/>
          <w:color w:val="000000"/>
          <w:kern w:val="2"/>
          <w:sz w:val="24"/>
          <w:szCs w:val="24"/>
          <w:lang w:eastAsia="pl-PL"/>
        </w:rPr>
        <w:t>sieciowzbudne</w:t>
      </w:r>
      <w:proofErr w:type="spellEnd"/>
      <w:r w:rsidRPr="00DE0FBF">
        <w:rPr>
          <w:rFonts w:ascii="Times New Roman" w:eastAsia="Times New Roman" w:hAnsi="Times New Roman" w:cs="Times New Roman"/>
          <w:color w:val="000000"/>
          <w:kern w:val="2"/>
          <w:sz w:val="24"/>
          <w:szCs w:val="24"/>
          <w:lang w:eastAsia="pl-PL"/>
        </w:rPr>
        <w:t xml:space="preserve"> obowiązują warunki dotyczące załączania i odłączania kondensatorów oraz warunki ich doboru takie same, jak przy generatorach asynchronicznych. W </w:t>
      </w:r>
      <w:r w:rsidRPr="00DE0FBF">
        <w:rPr>
          <w:rFonts w:ascii="Times New Roman" w:eastAsia="Times New Roman" w:hAnsi="Times New Roman" w:cs="Times New Roman"/>
          <w:color w:val="000000"/>
          <w:kern w:val="2"/>
          <w:sz w:val="24"/>
          <w:szCs w:val="24"/>
          <w:lang w:eastAsia="pl-PL"/>
        </w:rPr>
        <w:lastRenderedPageBreak/>
        <w:t xml:space="preserve">jednostkach wytwórczych z falownikami niezależnymi kompensacja mocy biernej nie jest wymagana. </w:t>
      </w:r>
    </w:p>
    <w:p w14:paraId="14D3271E" w14:textId="4BD326BB" w:rsidR="00DE0FBF" w:rsidRPr="00DE0FBF" w:rsidRDefault="00202DD5" w:rsidP="00443B72">
      <w:pPr>
        <w:keepNext/>
        <w:keepLines/>
        <w:spacing w:before="240" w:after="155" w:line="249" w:lineRule="auto"/>
        <w:ind w:left="1118" w:hanging="1061"/>
        <w:jc w:val="left"/>
        <w:outlineLvl w:val="0"/>
        <w:rPr>
          <w:rFonts w:ascii="Times New Roman" w:eastAsia="Times New Roman" w:hAnsi="Times New Roman" w:cs="Times New Roman"/>
          <w:b/>
          <w:color w:val="000000"/>
          <w:kern w:val="2"/>
          <w:sz w:val="24"/>
          <w:szCs w:val="24"/>
          <w:lang w:eastAsia="pl-PL"/>
        </w:rPr>
      </w:pPr>
      <w:r>
        <w:rPr>
          <w:rFonts w:ascii="Times New Roman" w:eastAsia="Times New Roman" w:hAnsi="Times New Roman" w:cs="Times New Roman"/>
          <w:b/>
          <w:color w:val="000000"/>
          <w:kern w:val="2"/>
          <w:sz w:val="24"/>
          <w:szCs w:val="24"/>
          <w:lang w:eastAsia="pl-PL"/>
        </w:rPr>
        <w:t xml:space="preserve">5. </w:t>
      </w:r>
      <w:r>
        <w:rPr>
          <w:rFonts w:ascii="Times New Roman" w:eastAsia="Times New Roman" w:hAnsi="Times New Roman" w:cs="Times New Roman"/>
          <w:b/>
          <w:color w:val="000000"/>
          <w:kern w:val="2"/>
          <w:sz w:val="24"/>
          <w:szCs w:val="24"/>
          <w:lang w:eastAsia="pl-PL"/>
        </w:rPr>
        <w:tab/>
      </w:r>
      <w:r w:rsidR="00DE0FBF" w:rsidRPr="00DE0FBF">
        <w:rPr>
          <w:rFonts w:ascii="Times New Roman" w:eastAsia="Times New Roman" w:hAnsi="Times New Roman" w:cs="Times New Roman"/>
          <w:b/>
          <w:color w:val="000000"/>
          <w:kern w:val="2"/>
          <w:sz w:val="24"/>
          <w:szCs w:val="24"/>
          <w:lang w:eastAsia="pl-PL"/>
        </w:rPr>
        <w:t xml:space="preserve">ZAŁĄCZANIE JEDNOSTEK WYTWÓRCZYCH </w:t>
      </w:r>
    </w:p>
    <w:p w14:paraId="0390609A" w14:textId="77777777" w:rsidR="00DE0FBF" w:rsidRPr="00DE0FBF" w:rsidRDefault="00DE0FBF" w:rsidP="00DE0FBF">
      <w:pPr>
        <w:spacing w:after="135" w:line="269" w:lineRule="auto"/>
        <w:ind w:left="1118" w:hanging="1061"/>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5.1. </w:t>
      </w:r>
      <w:r w:rsidRPr="00DE0FBF">
        <w:rPr>
          <w:rFonts w:ascii="Times New Roman" w:eastAsia="Times New Roman" w:hAnsi="Times New Roman" w:cs="Times New Roman"/>
          <w:color w:val="000000"/>
          <w:kern w:val="2"/>
          <w:sz w:val="24"/>
          <w:szCs w:val="24"/>
          <w:lang w:eastAsia="pl-PL"/>
        </w:rPr>
        <w:tab/>
        <w:t xml:space="preserve">Załączenie jednostki wytwórczej do sieci dystrybucyjnej jest możliwe tylko, gdy napięcie sieci istnieje we wszystkich trzech fazach i posiada odpowiednie parametry. W przypadku stosowania ochrony przed obniżeniem napięcia powodującej odłączenie jednostki wytwórczej od sieci dystrybucyjnej, powinna ona mieć zwłokę czasową minimum 30 s pomiędzy powrotem napięcia w sieci dystrybucyjnej, a ponownym załączeniem jednostki wytwórczej. </w:t>
      </w:r>
    </w:p>
    <w:p w14:paraId="54D697FC" w14:textId="77777777" w:rsidR="00DE0FBF" w:rsidRPr="00DE0FBF" w:rsidRDefault="00DE0FBF" w:rsidP="00DE0FBF">
      <w:pPr>
        <w:spacing w:after="135" w:line="269" w:lineRule="auto"/>
        <w:ind w:left="1118" w:hanging="1061"/>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5.2. </w:t>
      </w:r>
      <w:r w:rsidRPr="00DE0FBF">
        <w:rPr>
          <w:rFonts w:ascii="Times New Roman" w:eastAsia="Times New Roman" w:hAnsi="Times New Roman" w:cs="Times New Roman"/>
          <w:color w:val="000000"/>
          <w:kern w:val="2"/>
          <w:sz w:val="24"/>
          <w:szCs w:val="24"/>
          <w:lang w:eastAsia="pl-PL"/>
        </w:rPr>
        <w:tab/>
        <w:t xml:space="preserve">Dla generatorów asynchronicznych, których rozruch odbywa się przy wykorzystaniu silnika napędowego, załączenie do sieci dystrybucyjnej powinno następować przy prędkości obrotowej pomiędzy 95 ÷ 105% prędkości synchronicznej. Przy zdolnych do pracy wyspowej, samowzbudnych generatorach asynchronicznych należy dotrzymać warunków jak dla załączania generatorów synchronicznych, określonych w pkt. 5.4. i 5.5. </w:t>
      </w:r>
    </w:p>
    <w:p w14:paraId="4791868C" w14:textId="77777777" w:rsidR="00DE0FBF" w:rsidRPr="00DE0FBF" w:rsidRDefault="00DE0FBF" w:rsidP="00DE0FBF">
      <w:pPr>
        <w:spacing w:after="135" w:line="269" w:lineRule="auto"/>
        <w:ind w:left="1118" w:hanging="1061"/>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5.3. </w:t>
      </w:r>
      <w:r w:rsidRPr="00DE0FBF">
        <w:rPr>
          <w:rFonts w:ascii="Times New Roman" w:eastAsia="Times New Roman" w:hAnsi="Times New Roman" w:cs="Times New Roman"/>
          <w:color w:val="000000"/>
          <w:kern w:val="2"/>
          <w:sz w:val="24"/>
          <w:szCs w:val="24"/>
          <w:lang w:eastAsia="pl-PL"/>
        </w:rPr>
        <w:tab/>
        <w:t xml:space="preserve">Dla generatorów asynchronicznych, które dokonują rozruchu jako silnik obowiązują warunki jak dla przyłączania silników elektrycznych. Dla generatorów o mocy osiągalnej do 100 kVA przyłączonych do sieci dystrybucyjnej nN prąd rozruchu nie powinien przekraczać wartości 60 A. Dla pozostałych jednostek wytwórczych prąd rozruchu należy ograniczyć w sposób zapobiegający ujemnemu wpływowi na sieć dystrybucyjną.  </w:t>
      </w:r>
    </w:p>
    <w:p w14:paraId="34E38732" w14:textId="77777777" w:rsidR="00DE0FBF" w:rsidRPr="00DE0FBF" w:rsidRDefault="00DE0FBF" w:rsidP="00DE0FBF">
      <w:pPr>
        <w:spacing w:after="128" w:line="272" w:lineRule="auto"/>
        <w:ind w:left="1128" w:hanging="1071"/>
        <w:jc w:val="left"/>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5.4. </w:t>
      </w:r>
      <w:r w:rsidRPr="00DE0FBF">
        <w:rPr>
          <w:rFonts w:ascii="Times New Roman" w:eastAsia="Times New Roman" w:hAnsi="Times New Roman" w:cs="Times New Roman"/>
          <w:color w:val="000000"/>
          <w:kern w:val="2"/>
          <w:sz w:val="24"/>
          <w:szCs w:val="24"/>
          <w:lang w:eastAsia="pl-PL"/>
        </w:rPr>
        <w:tab/>
        <w:t xml:space="preserve">Dla generatorów synchronicznych wymagane jest urządzenie synchronizujące, umożliwiające załączenie generatora z zachowaniem następujących warunków synchronizacji: </w:t>
      </w:r>
    </w:p>
    <w:p w14:paraId="17C656F1" w14:textId="77777777" w:rsidR="00DE0FBF" w:rsidRPr="00202DD5" w:rsidRDefault="00DE0FBF">
      <w:pPr>
        <w:pStyle w:val="Akapitzlist"/>
        <w:numPr>
          <w:ilvl w:val="0"/>
          <w:numId w:val="219"/>
        </w:numPr>
        <w:spacing w:after="108" w:line="269" w:lineRule="auto"/>
        <w:ind w:right="4"/>
        <w:rPr>
          <w:rFonts w:ascii="Times New Roman" w:eastAsia="Times New Roman" w:hAnsi="Times New Roman" w:cs="Times New Roman"/>
          <w:color w:val="000000"/>
          <w:kern w:val="2"/>
          <w:sz w:val="24"/>
          <w:szCs w:val="24"/>
          <w:lang w:eastAsia="pl-PL"/>
        </w:rPr>
      </w:pPr>
      <w:r w:rsidRPr="00202DD5">
        <w:rPr>
          <w:rFonts w:ascii="Times New Roman" w:eastAsia="Times New Roman" w:hAnsi="Times New Roman" w:cs="Times New Roman"/>
          <w:color w:val="000000"/>
          <w:kern w:val="2"/>
          <w:sz w:val="24"/>
          <w:szCs w:val="24"/>
          <w:lang w:eastAsia="pl-PL"/>
        </w:rPr>
        <w:t xml:space="preserve">różnica napięć – ΔU &lt; </w:t>
      </w:r>
      <w:r w:rsidRPr="00202DD5">
        <w:rPr>
          <w:rFonts w:ascii="Segoe UI Symbol" w:eastAsia="Segoe UI Symbol" w:hAnsi="Segoe UI Symbol" w:cs="Segoe UI Symbol"/>
          <w:color w:val="000000"/>
          <w:kern w:val="2"/>
          <w:sz w:val="24"/>
          <w:szCs w:val="24"/>
          <w:lang w:eastAsia="pl-PL"/>
        </w:rPr>
        <w:t>±</w:t>
      </w:r>
      <w:r w:rsidRPr="00202DD5">
        <w:rPr>
          <w:rFonts w:ascii="Times New Roman" w:eastAsia="Times New Roman" w:hAnsi="Times New Roman" w:cs="Times New Roman"/>
          <w:color w:val="000000"/>
          <w:kern w:val="2"/>
          <w:sz w:val="24"/>
          <w:szCs w:val="24"/>
          <w:lang w:eastAsia="pl-PL"/>
        </w:rPr>
        <w:t xml:space="preserve"> 10% </w:t>
      </w:r>
      <w:proofErr w:type="spellStart"/>
      <w:r w:rsidRPr="00202DD5">
        <w:rPr>
          <w:rFonts w:ascii="Times New Roman" w:eastAsia="Times New Roman" w:hAnsi="Times New Roman" w:cs="Times New Roman"/>
          <w:color w:val="000000"/>
          <w:kern w:val="2"/>
          <w:sz w:val="24"/>
          <w:szCs w:val="24"/>
          <w:lang w:eastAsia="pl-PL"/>
        </w:rPr>
        <w:t>U</w:t>
      </w:r>
      <w:r w:rsidRPr="00202DD5">
        <w:rPr>
          <w:rFonts w:ascii="Times New Roman" w:eastAsia="Times New Roman" w:hAnsi="Times New Roman" w:cs="Times New Roman"/>
          <w:color w:val="000000"/>
          <w:kern w:val="2"/>
          <w:sz w:val="24"/>
          <w:szCs w:val="24"/>
          <w:vertAlign w:val="subscript"/>
          <w:lang w:eastAsia="pl-PL"/>
        </w:rPr>
        <w:t>n</w:t>
      </w:r>
      <w:proofErr w:type="spellEnd"/>
      <w:r w:rsidRPr="00202DD5">
        <w:rPr>
          <w:rFonts w:ascii="Times New Roman" w:eastAsia="Times New Roman" w:hAnsi="Times New Roman" w:cs="Times New Roman"/>
          <w:color w:val="000000"/>
          <w:kern w:val="2"/>
          <w:sz w:val="24"/>
          <w:szCs w:val="24"/>
          <w:lang w:eastAsia="pl-PL"/>
        </w:rPr>
        <w:t xml:space="preserve">, </w:t>
      </w:r>
    </w:p>
    <w:p w14:paraId="2F0223DC" w14:textId="77777777" w:rsidR="00DE0FBF" w:rsidRPr="00202DD5" w:rsidRDefault="00DE0FBF">
      <w:pPr>
        <w:pStyle w:val="Akapitzlist"/>
        <w:numPr>
          <w:ilvl w:val="0"/>
          <w:numId w:val="219"/>
        </w:numPr>
        <w:spacing w:after="135" w:line="269" w:lineRule="auto"/>
        <w:ind w:right="4"/>
        <w:rPr>
          <w:rFonts w:ascii="Times New Roman" w:eastAsia="Times New Roman" w:hAnsi="Times New Roman" w:cs="Times New Roman"/>
          <w:color w:val="000000"/>
          <w:kern w:val="2"/>
          <w:sz w:val="24"/>
          <w:szCs w:val="24"/>
          <w:lang w:eastAsia="pl-PL"/>
        </w:rPr>
      </w:pPr>
      <w:r w:rsidRPr="00202DD5">
        <w:rPr>
          <w:rFonts w:ascii="Times New Roman" w:eastAsia="Times New Roman" w:hAnsi="Times New Roman" w:cs="Times New Roman"/>
          <w:color w:val="000000"/>
          <w:kern w:val="2"/>
          <w:sz w:val="24"/>
          <w:szCs w:val="24"/>
          <w:lang w:eastAsia="pl-PL"/>
        </w:rPr>
        <w:t xml:space="preserve">różnica częstotliwości – </w:t>
      </w:r>
      <w:proofErr w:type="spellStart"/>
      <w:r w:rsidRPr="00202DD5">
        <w:rPr>
          <w:rFonts w:ascii="Times New Roman" w:eastAsia="Times New Roman" w:hAnsi="Times New Roman" w:cs="Times New Roman"/>
          <w:color w:val="000000"/>
          <w:kern w:val="2"/>
          <w:sz w:val="24"/>
          <w:szCs w:val="24"/>
          <w:lang w:eastAsia="pl-PL"/>
        </w:rPr>
        <w:t>Δf</w:t>
      </w:r>
      <w:proofErr w:type="spellEnd"/>
      <w:r w:rsidRPr="00202DD5">
        <w:rPr>
          <w:rFonts w:ascii="Times New Roman" w:eastAsia="Times New Roman" w:hAnsi="Times New Roman" w:cs="Times New Roman"/>
          <w:color w:val="000000"/>
          <w:kern w:val="2"/>
          <w:sz w:val="24"/>
          <w:szCs w:val="24"/>
          <w:lang w:eastAsia="pl-PL"/>
        </w:rPr>
        <w:t xml:space="preserve"> &lt; </w:t>
      </w:r>
      <w:r w:rsidRPr="00202DD5">
        <w:rPr>
          <w:rFonts w:ascii="Segoe UI Symbol" w:eastAsia="Segoe UI Symbol" w:hAnsi="Segoe UI Symbol" w:cs="Segoe UI Symbol"/>
          <w:color w:val="000000"/>
          <w:kern w:val="2"/>
          <w:sz w:val="24"/>
          <w:szCs w:val="24"/>
          <w:lang w:eastAsia="pl-PL"/>
        </w:rPr>
        <w:t>±</w:t>
      </w:r>
      <w:r w:rsidRPr="00202DD5">
        <w:rPr>
          <w:rFonts w:ascii="Times New Roman" w:eastAsia="Times New Roman" w:hAnsi="Times New Roman" w:cs="Times New Roman"/>
          <w:color w:val="000000"/>
          <w:kern w:val="2"/>
          <w:sz w:val="24"/>
          <w:szCs w:val="24"/>
          <w:lang w:eastAsia="pl-PL"/>
        </w:rPr>
        <w:t xml:space="preserve"> 0,5 </w:t>
      </w:r>
      <w:proofErr w:type="spellStart"/>
      <w:r w:rsidRPr="00202DD5">
        <w:rPr>
          <w:rFonts w:ascii="Times New Roman" w:eastAsia="Times New Roman" w:hAnsi="Times New Roman" w:cs="Times New Roman"/>
          <w:color w:val="000000"/>
          <w:kern w:val="2"/>
          <w:sz w:val="24"/>
          <w:szCs w:val="24"/>
          <w:lang w:eastAsia="pl-PL"/>
        </w:rPr>
        <w:t>Hz</w:t>
      </w:r>
      <w:proofErr w:type="spellEnd"/>
      <w:r w:rsidRPr="00202DD5">
        <w:rPr>
          <w:rFonts w:ascii="Times New Roman" w:eastAsia="Times New Roman" w:hAnsi="Times New Roman" w:cs="Times New Roman"/>
          <w:color w:val="000000"/>
          <w:kern w:val="2"/>
          <w:sz w:val="24"/>
          <w:szCs w:val="24"/>
          <w:lang w:eastAsia="pl-PL"/>
        </w:rPr>
        <w:t xml:space="preserve">, </w:t>
      </w:r>
    </w:p>
    <w:p w14:paraId="00266D44" w14:textId="77777777" w:rsidR="00DE0FBF" w:rsidRPr="00202DD5" w:rsidRDefault="00DE0FBF">
      <w:pPr>
        <w:pStyle w:val="Akapitzlist"/>
        <w:numPr>
          <w:ilvl w:val="0"/>
          <w:numId w:val="219"/>
        </w:numPr>
        <w:spacing w:after="98" w:line="269" w:lineRule="auto"/>
        <w:ind w:right="4"/>
        <w:rPr>
          <w:rFonts w:ascii="Times New Roman" w:eastAsia="Times New Roman" w:hAnsi="Times New Roman" w:cs="Times New Roman"/>
          <w:color w:val="000000"/>
          <w:kern w:val="2"/>
          <w:sz w:val="24"/>
          <w:szCs w:val="24"/>
          <w:lang w:eastAsia="pl-PL"/>
        </w:rPr>
      </w:pPr>
      <w:r w:rsidRPr="00202DD5">
        <w:rPr>
          <w:rFonts w:ascii="Times New Roman" w:eastAsia="Times New Roman" w:hAnsi="Times New Roman" w:cs="Times New Roman"/>
          <w:color w:val="000000"/>
          <w:kern w:val="2"/>
          <w:sz w:val="24"/>
          <w:szCs w:val="24"/>
          <w:lang w:eastAsia="pl-PL"/>
        </w:rPr>
        <w:t xml:space="preserve">różnica kąta fazowego – </w:t>
      </w:r>
      <w:proofErr w:type="spellStart"/>
      <w:r w:rsidRPr="00202DD5">
        <w:rPr>
          <w:rFonts w:ascii="Times New Roman" w:eastAsia="Times New Roman" w:hAnsi="Times New Roman" w:cs="Times New Roman"/>
          <w:color w:val="000000"/>
          <w:kern w:val="2"/>
          <w:sz w:val="24"/>
          <w:szCs w:val="24"/>
          <w:lang w:eastAsia="pl-PL"/>
        </w:rPr>
        <w:t>Δφ</w:t>
      </w:r>
      <w:proofErr w:type="spellEnd"/>
      <w:r w:rsidRPr="00202DD5">
        <w:rPr>
          <w:rFonts w:ascii="Times New Roman" w:eastAsia="Times New Roman" w:hAnsi="Times New Roman" w:cs="Times New Roman"/>
          <w:color w:val="000000"/>
          <w:kern w:val="2"/>
          <w:sz w:val="24"/>
          <w:szCs w:val="24"/>
          <w:lang w:eastAsia="pl-PL"/>
        </w:rPr>
        <w:t xml:space="preserve"> &lt; </w:t>
      </w:r>
      <w:r w:rsidRPr="00202DD5">
        <w:rPr>
          <w:rFonts w:ascii="Segoe UI Symbol" w:eastAsia="Segoe UI Symbol" w:hAnsi="Segoe UI Symbol" w:cs="Segoe UI Symbol"/>
          <w:color w:val="000000"/>
          <w:kern w:val="2"/>
          <w:sz w:val="24"/>
          <w:szCs w:val="24"/>
          <w:lang w:eastAsia="pl-PL"/>
        </w:rPr>
        <w:t>±</w:t>
      </w:r>
      <w:r w:rsidRPr="00202DD5">
        <w:rPr>
          <w:rFonts w:ascii="Times New Roman" w:eastAsia="Times New Roman" w:hAnsi="Times New Roman" w:cs="Times New Roman"/>
          <w:color w:val="000000"/>
          <w:kern w:val="2"/>
          <w:sz w:val="24"/>
          <w:szCs w:val="24"/>
          <w:lang w:eastAsia="pl-PL"/>
        </w:rPr>
        <w:t xml:space="preserve"> 10°, </w:t>
      </w:r>
    </w:p>
    <w:p w14:paraId="5D3A81F9" w14:textId="77777777" w:rsidR="00DE0FBF" w:rsidRPr="00DE0FBF" w:rsidRDefault="00DE0FBF">
      <w:pPr>
        <w:numPr>
          <w:ilvl w:val="1"/>
          <w:numId w:val="197"/>
        </w:numPr>
        <w:spacing w:after="135" w:line="269" w:lineRule="auto"/>
        <w:ind w:right="4" w:hanging="1118"/>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Industria Dystrybucja Sp. z o.o. może w uzasadnionych przypadkach ustalić inne granice warunków synchronizacji w momencie załączania generatorów synchronicznych niż podane w pkt. 5.4. </w:t>
      </w:r>
    </w:p>
    <w:p w14:paraId="2899171C" w14:textId="77777777" w:rsidR="00DE0FBF" w:rsidRPr="00DE0FBF" w:rsidRDefault="00DE0FBF">
      <w:pPr>
        <w:numPr>
          <w:ilvl w:val="1"/>
          <w:numId w:val="197"/>
        </w:numPr>
        <w:spacing w:after="135" w:line="269" w:lineRule="auto"/>
        <w:ind w:right="4" w:hanging="1118"/>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Falowniki załącza się tylko, gdy są one bez napięcia po stronie prądu przemiennego. Przy zdolnych do pracy wyspowej jednostkach wytwórczych z falownikami, które nie są przyłączane </w:t>
      </w:r>
      <w:proofErr w:type="spellStart"/>
      <w:r w:rsidRPr="00DE0FBF">
        <w:rPr>
          <w:rFonts w:ascii="Times New Roman" w:eastAsia="Times New Roman" w:hAnsi="Times New Roman" w:cs="Times New Roman"/>
          <w:color w:val="000000"/>
          <w:kern w:val="2"/>
          <w:sz w:val="24"/>
          <w:szCs w:val="24"/>
          <w:lang w:eastAsia="pl-PL"/>
        </w:rPr>
        <w:t>beznapięciowo</w:t>
      </w:r>
      <w:proofErr w:type="spellEnd"/>
      <w:r w:rsidRPr="00DE0FBF">
        <w:rPr>
          <w:rFonts w:ascii="Times New Roman" w:eastAsia="Times New Roman" w:hAnsi="Times New Roman" w:cs="Times New Roman"/>
          <w:color w:val="000000"/>
          <w:kern w:val="2"/>
          <w:sz w:val="24"/>
          <w:szCs w:val="24"/>
          <w:lang w:eastAsia="pl-PL"/>
        </w:rPr>
        <w:t xml:space="preserve">, należy dotrzymać warunków jak dla załączania generatorów synchronicznych. </w:t>
      </w:r>
    </w:p>
    <w:p w14:paraId="14185362" w14:textId="77777777" w:rsidR="00DE0FBF" w:rsidRPr="00DE0FBF" w:rsidRDefault="00DE0FBF">
      <w:pPr>
        <w:numPr>
          <w:ilvl w:val="1"/>
          <w:numId w:val="197"/>
        </w:numPr>
        <w:spacing w:after="135" w:line="269" w:lineRule="auto"/>
        <w:ind w:right="4" w:hanging="1118"/>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Załączanie generatorów do ruchu powinno odbywać się sekwencyjnie, w trybie uzgodnionym z Industria Dystrybucja Sp. z o.o. </w:t>
      </w:r>
    </w:p>
    <w:p w14:paraId="044391A6" w14:textId="36A2C0AC" w:rsidR="00DE0FBF" w:rsidRPr="00DE0FBF" w:rsidRDefault="00C926A8" w:rsidP="00DE0FBF">
      <w:pPr>
        <w:keepNext/>
        <w:keepLines/>
        <w:spacing w:after="155" w:line="249" w:lineRule="auto"/>
        <w:ind w:left="1118" w:hanging="1061"/>
        <w:jc w:val="left"/>
        <w:outlineLvl w:val="0"/>
        <w:rPr>
          <w:rFonts w:ascii="Times New Roman" w:eastAsia="Times New Roman" w:hAnsi="Times New Roman" w:cs="Times New Roman"/>
          <w:b/>
          <w:color w:val="000000"/>
          <w:kern w:val="2"/>
          <w:sz w:val="24"/>
          <w:szCs w:val="24"/>
          <w:lang w:eastAsia="pl-PL"/>
        </w:rPr>
      </w:pPr>
      <w:r>
        <w:rPr>
          <w:rFonts w:ascii="Times New Roman" w:eastAsia="Times New Roman" w:hAnsi="Times New Roman" w:cs="Times New Roman"/>
          <w:b/>
          <w:color w:val="000000"/>
          <w:kern w:val="2"/>
          <w:sz w:val="24"/>
          <w:szCs w:val="24"/>
          <w:lang w:eastAsia="pl-PL"/>
        </w:rPr>
        <w:lastRenderedPageBreak/>
        <w:t xml:space="preserve">6. </w:t>
      </w:r>
      <w:r>
        <w:rPr>
          <w:rFonts w:ascii="Times New Roman" w:eastAsia="Times New Roman" w:hAnsi="Times New Roman" w:cs="Times New Roman"/>
          <w:b/>
          <w:color w:val="000000"/>
          <w:kern w:val="2"/>
          <w:sz w:val="24"/>
          <w:szCs w:val="24"/>
          <w:lang w:eastAsia="pl-PL"/>
        </w:rPr>
        <w:tab/>
      </w:r>
      <w:r w:rsidR="00DE0FBF" w:rsidRPr="00DE0FBF">
        <w:rPr>
          <w:rFonts w:ascii="Times New Roman" w:eastAsia="Times New Roman" w:hAnsi="Times New Roman" w:cs="Times New Roman"/>
          <w:b/>
          <w:color w:val="000000"/>
          <w:kern w:val="2"/>
          <w:sz w:val="24"/>
          <w:szCs w:val="24"/>
          <w:lang w:eastAsia="pl-PL"/>
        </w:rPr>
        <w:t xml:space="preserve">CZĘSTOTLIWOŚĆ I NAPIĘCIE </w:t>
      </w:r>
    </w:p>
    <w:p w14:paraId="2F3745E0" w14:textId="77777777" w:rsidR="00DE0FBF" w:rsidRPr="00DE0FBF" w:rsidRDefault="00DE0FBF" w:rsidP="00DE0FBF">
      <w:pPr>
        <w:spacing w:after="135" w:line="269" w:lineRule="auto"/>
        <w:ind w:left="1118" w:hanging="1061"/>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6.1. </w:t>
      </w:r>
      <w:r w:rsidRPr="00DE0FBF">
        <w:rPr>
          <w:rFonts w:ascii="Times New Roman" w:eastAsia="Times New Roman" w:hAnsi="Times New Roman" w:cs="Times New Roman"/>
          <w:color w:val="000000"/>
          <w:kern w:val="2"/>
          <w:sz w:val="24"/>
          <w:szCs w:val="24"/>
          <w:lang w:eastAsia="pl-PL"/>
        </w:rPr>
        <w:tab/>
        <w:t xml:space="preserve">Oddziaływanie jednostek wytwórczych na warunki pracy sieci dystrybucyjnej należy ograniczać w takim stopniu, aby nie zostały przekroczone, w miejscu dostarczania energii elektrycznej z jednostki wytwórczej do sieci dystrybucyjnej, wymagania określone w niniejszym pkt. 6 niniejszego załącznika. </w:t>
      </w:r>
    </w:p>
    <w:p w14:paraId="76808188" w14:textId="77777777" w:rsidR="00DE0FBF" w:rsidRPr="00DE0FBF" w:rsidRDefault="00DE0FBF" w:rsidP="00DE0FBF">
      <w:pPr>
        <w:spacing w:after="135" w:line="269" w:lineRule="auto"/>
        <w:ind w:left="1118" w:hanging="1061"/>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6.2. </w:t>
      </w:r>
      <w:r w:rsidRPr="00DE0FBF">
        <w:rPr>
          <w:rFonts w:ascii="Times New Roman" w:eastAsia="Times New Roman" w:hAnsi="Times New Roman" w:cs="Times New Roman"/>
          <w:color w:val="000000"/>
          <w:kern w:val="2"/>
          <w:sz w:val="24"/>
          <w:szCs w:val="24"/>
          <w:lang w:eastAsia="pl-PL"/>
        </w:rPr>
        <w:tab/>
        <w:t xml:space="preserve">Częstotliwość znamionowa wynosi 50 </w:t>
      </w:r>
      <w:proofErr w:type="spellStart"/>
      <w:r w:rsidRPr="00DE0FBF">
        <w:rPr>
          <w:rFonts w:ascii="Times New Roman" w:eastAsia="Times New Roman" w:hAnsi="Times New Roman" w:cs="Times New Roman"/>
          <w:color w:val="000000"/>
          <w:kern w:val="2"/>
          <w:sz w:val="24"/>
          <w:szCs w:val="24"/>
          <w:lang w:eastAsia="pl-PL"/>
        </w:rPr>
        <w:t>Hz</w:t>
      </w:r>
      <w:proofErr w:type="spellEnd"/>
      <w:r w:rsidRPr="00DE0FBF">
        <w:rPr>
          <w:rFonts w:ascii="Times New Roman" w:eastAsia="Times New Roman" w:hAnsi="Times New Roman" w:cs="Times New Roman"/>
          <w:color w:val="000000"/>
          <w:kern w:val="2"/>
          <w:sz w:val="24"/>
          <w:szCs w:val="24"/>
          <w:lang w:eastAsia="pl-PL"/>
        </w:rPr>
        <w:t xml:space="preserve"> z dopuszczalnym odchyleniem zawierającym się w przedziale od -0,5 </w:t>
      </w:r>
      <w:proofErr w:type="spellStart"/>
      <w:r w:rsidRPr="00DE0FBF">
        <w:rPr>
          <w:rFonts w:ascii="Times New Roman" w:eastAsia="Times New Roman" w:hAnsi="Times New Roman" w:cs="Times New Roman"/>
          <w:color w:val="000000"/>
          <w:kern w:val="2"/>
          <w:sz w:val="24"/>
          <w:szCs w:val="24"/>
          <w:lang w:eastAsia="pl-PL"/>
        </w:rPr>
        <w:t>Hz</w:t>
      </w:r>
      <w:proofErr w:type="spellEnd"/>
      <w:r w:rsidRPr="00DE0FBF">
        <w:rPr>
          <w:rFonts w:ascii="Times New Roman" w:eastAsia="Times New Roman" w:hAnsi="Times New Roman" w:cs="Times New Roman"/>
          <w:color w:val="000000"/>
          <w:kern w:val="2"/>
          <w:sz w:val="24"/>
          <w:szCs w:val="24"/>
          <w:lang w:eastAsia="pl-PL"/>
        </w:rPr>
        <w:t xml:space="preserve"> do +0,5 </w:t>
      </w:r>
      <w:proofErr w:type="spellStart"/>
      <w:r w:rsidRPr="00DE0FBF">
        <w:rPr>
          <w:rFonts w:ascii="Times New Roman" w:eastAsia="Times New Roman" w:hAnsi="Times New Roman" w:cs="Times New Roman"/>
          <w:color w:val="000000"/>
          <w:kern w:val="2"/>
          <w:sz w:val="24"/>
          <w:szCs w:val="24"/>
          <w:lang w:eastAsia="pl-PL"/>
        </w:rPr>
        <w:t>Hz</w:t>
      </w:r>
      <w:proofErr w:type="spellEnd"/>
      <w:r w:rsidRPr="00DE0FBF">
        <w:rPr>
          <w:rFonts w:ascii="Times New Roman" w:eastAsia="Times New Roman" w:hAnsi="Times New Roman" w:cs="Times New Roman"/>
          <w:color w:val="000000"/>
          <w:kern w:val="2"/>
          <w:sz w:val="24"/>
          <w:szCs w:val="24"/>
          <w:lang w:eastAsia="pl-PL"/>
        </w:rPr>
        <w:t xml:space="preserve">, przez 99,5% czasu tygodnia. </w:t>
      </w:r>
    </w:p>
    <w:p w14:paraId="3AF63279" w14:textId="77777777" w:rsidR="00DE0FBF" w:rsidRPr="00DE0FBF" w:rsidRDefault="00DE0FBF" w:rsidP="00DE0FBF">
      <w:pPr>
        <w:spacing w:after="128" w:line="272" w:lineRule="auto"/>
        <w:ind w:left="1128" w:hanging="1071"/>
        <w:jc w:val="left"/>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6.3. </w:t>
      </w:r>
      <w:r w:rsidRPr="00DE0FBF">
        <w:rPr>
          <w:rFonts w:ascii="Times New Roman" w:eastAsia="Times New Roman" w:hAnsi="Times New Roman" w:cs="Times New Roman"/>
          <w:color w:val="000000"/>
          <w:kern w:val="2"/>
          <w:sz w:val="24"/>
          <w:szCs w:val="24"/>
          <w:lang w:eastAsia="pl-PL"/>
        </w:rPr>
        <w:tab/>
        <w:t xml:space="preserve">Dla jednostek wytwórczych przyłączonych do sieci dystrybucyjnej, w każdym tygodniu, 95% ze zbioru 10-minutowych średnich wartości skutecznych napięcia zasilającego powinno mieścić się w przedziale odchyleń </w:t>
      </w:r>
      <w:r w:rsidRPr="00DE0FBF">
        <w:rPr>
          <w:rFonts w:ascii="Segoe UI Symbol" w:eastAsia="Segoe UI Symbol" w:hAnsi="Segoe UI Symbol" w:cs="Segoe UI Symbol"/>
          <w:color w:val="000000"/>
          <w:kern w:val="2"/>
          <w:sz w:val="24"/>
          <w:szCs w:val="24"/>
          <w:lang w:eastAsia="pl-PL"/>
        </w:rPr>
        <w:t>±</w:t>
      </w:r>
      <w:r w:rsidRPr="00DE0FBF">
        <w:rPr>
          <w:rFonts w:ascii="Times New Roman" w:eastAsia="Times New Roman" w:hAnsi="Times New Roman" w:cs="Times New Roman"/>
          <w:color w:val="000000"/>
          <w:kern w:val="2"/>
          <w:sz w:val="24"/>
          <w:szCs w:val="24"/>
          <w:lang w:eastAsia="pl-PL"/>
        </w:rPr>
        <w:t xml:space="preserve">5% napięcia znamionowego lub deklarowanego (w sieciach niskiego napięcia wartości napięć deklarowanych i znamionowych są równe). </w:t>
      </w:r>
    </w:p>
    <w:p w14:paraId="11FB0D5F" w14:textId="77777777" w:rsidR="00DE0FBF" w:rsidRPr="00DE0FBF" w:rsidRDefault="00DE0FBF" w:rsidP="00DE0FBF">
      <w:pPr>
        <w:spacing w:after="128" w:line="272" w:lineRule="auto"/>
        <w:ind w:left="1128" w:hanging="1071"/>
        <w:jc w:val="left"/>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6.4. </w:t>
      </w:r>
      <w:r w:rsidRPr="00DE0FBF">
        <w:rPr>
          <w:rFonts w:ascii="Times New Roman" w:eastAsia="Times New Roman" w:hAnsi="Times New Roman" w:cs="Times New Roman"/>
          <w:color w:val="000000"/>
          <w:kern w:val="2"/>
          <w:sz w:val="24"/>
          <w:szCs w:val="24"/>
          <w:lang w:eastAsia="pl-PL"/>
        </w:rPr>
        <w:tab/>
        <w:t xml:space="preserve">Dla miejsc przyłączenia w sieci dystrybucyjnej o napięciu znamionowym 110 </w:t>
      </w:r>
      <w:proofErr w:type="spellStart"/>
      <w:r w:rsidRPr="00DE0FBF">
        <w:rPr>
          <w:rFonts w:ascii="Times New Roman" w:eastAsia="Times New Roman" w:hAnsi="Times New Roman" w:cs="Times New Roman"/>
          <w:color w:val="000000"/>
          <w:kern w:val="2"/>
          <w:sz w:val="24"/>
          <w:szCs w:val="24"/>
          <w:lang w:eastAsia="pl-PL"/>
        </w:rPr>
        <w:t>kV</w:t>
      </w:r>
      <w:proofErr w:type="spellEnd"/>
      <w:r w:rsidRPr="00DE0FBF">
        <w:rPr>
          <w:rFonts w:ascii="Times New Roman" w:eastAsia="Times New Roman" w:hAnsi="Times New Roman" w:cs="Times New Roman"/>
          <w:color w:val="000000"/>
          <w:kern w:val="2"/>
          <w:sz w:val="24"/>
          <w:szCs w:val="24"/>
          <w:lang w:eastAsia="pl-PL"/>
        </w:rPr>
        <w:t xml:space="preserve">, SN i nN, zawartość poszczególnych harmonicznych odniesionych do harmonicznej podstawowej nie może przekraczać 0,5%. </w:t>
      </w:r>
    </w:p>
    <w:p w14:paraId="673CBEF0" w14:textId="77777777" w:rsidR="00DE0FBF" w:rsidRPr="00DE0FBF" w:rsidRDefault="00DE0FBF" w:rsidP="00DE0FBF">
      <w:pPr>
        <w:spacing w:after="69" w:line="269" w:lineRule="auto"/>
        <w:ind w:left="1118" w:hanging="1061"/>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6.5. </w:t>
      </w:r>
      <w:r w:rsidRPr="00DE0FBF">
        <w:rPr>
          <w:rFonts w:ascii="Times New Roman" w:eastAsia="Times New Roman" w:hAnsi="Times New Roman" w:cs="Times New Roman"/>
          <w:color w:val="000000"/>
          <w:kern w:val="2"/>
          <w:sz w:val="24"/>
          <w:szCs w:val="24"/>
          <w:lang w:eastAsia="pl-PL"/>
        </w:rPr>
        <w:tab/>
        <w:t xml:space="preserve">Współczynnik THD (uwzględniający wszystkie harmoniczne, aż do rzędu 40) odkształcenia napięcia nie może przekraczać odpowiednio: </w:t>
      </w:r>
    </w:p>
    <w:p w14:paraId="2075FDB1" w14:textId="77777777" w:rsidR="00DE0FBF" w:rsidRPr="00DE0FBF" w:rsidRDefault="00DE0FBF">
      <w:pPr>
        <w:numPr>
          <w:ilvl w:val="0"/>
          <w:numId w:val="215"/>
        </w:numPr>
        <w:spacing w:after="22" w:line="259" w:lineRule="auto"/>
        <w:ind w:right="-4"/>
        <w:contextualSpacing/>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1,5% – dla miejsc przyłączenia w sieci o napięciu znamionowym nie wyższym niż 110 </w:t>
      </w:r>
      <w:proofErr w:type="spellStart"/>
      <w:r w:rsidRPr="00DE0FBF">
        <w:rPr>
          <w:rFonts w:ascii="Times New Roman" w:eastAsia="Times New Roman" w:hAnsi="Times New Roman" w:cs="Times New Roman"/>
          <w:color w:val="000000"/>
          <w:kern w:val="2"/>
          <w:sz w:val="24"/>
          <w:szCs w:val="24"/>
          <w:lang w:eastAsia="pl-PL"/>
        </w:rPr>
        <w:t>kV</w:t>
      </w:r>
      <w:proofErr w:type="spellEnd"/>
      <w:r w:rsidRPr="00DE0FBF">
        <w:rPr>
          <w:rFonts w:ascii="Times New Roman" w:eastAsia="Times New Roman" w:hAnsi="Times New Roman" w:cs="Times New Roman"/>
          <w:color w:val="000000"/>
          <w:kern w:val="2"/>
          <w:sz w:val="24"/>
          <w:szCs w:val="24"/>
          <w:lang w:eastAsia="pl-PL"/>
        </w:rPr>
        <w:t xml:space="preserve"> i wyższym niż 30 </w:t>
      </w:r>
      <w:proofErr w:type="spellStart"/>
      <w:r w:rsidRPr="00DE0FBF">
        <w:rPr>
          <w:rFonts w:ascii="Times New Roman" w:eastAsia="Times New Roman" w:hAnsi="Times New Roman" w:cs="Times New Roman"/>
          <w:color w:val="000000"/>
          <w:kern w:val="2"/>
          <w:sz w:val="24"/>
          <w:szCs w:val="24"/>
          <w:lang w:eastAsia="pl-PL"/>
        </w:rPr>
        <w:t>kV</w:t>
      </w:r>
      <w:proofErr w:type="spellEnd"/>
      <w:r w:rsidRPr="00DE0FBF">
        <w:rPr>
          <w:rFonts w:ascii="Times New Roman" w:eastAsia="Times New Roman" w:hAnsi="Times New Roman" w:cs="Times New Roman"/>
          <w:color w:val="000000"/>
          <w:kern w:val="2"/>
          <w:sz w:val="24"/>
          <w:szCs w:val="24"/>
          <w:lang w:eastAsia="pl-PL"/>
        </w:rPr>
        <w:t xml:space="preserve">, </w:t>
      </w:r>
    </w:p>
    <w:p w14:paraId="6992367B" w14:textId="77777777" w:rsidR="00DE0FBF" w:rsidRPr="00DE0FBF" w:rsidRDefault="00DE0FBF">
      <w:pPr>
        <w:numPr>
          <w:ilvl w:val="0"/>
          <w:numId w:val="215"/>
        </w:numPr>
        <w:spacing w:after="22" w:line="259" w:lineRule="auto"/>
        <w:ind w:right="-4"/>
        <w:contextualSpacing/>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3,0% – dla miejsc przyłączenia w sieci o napięciu znamionowym nie wyższym niż 30 </w:t>
      </w:r>
      <w:proofErr w:type="spellStart"/>
      <w:r w:rsidRPr="00DE0FBF">
        <w:rPr>
          <w:rFonts w:ascii="Times New Roman" w:eastAsia="Times New Roman" w:hAnsi="Times New Roman" w:cs="Times New Roman"/>
          <w:color w:val="000000"/>
          <w:kern w:val="2"/>
          <w:sz w:val="24"/>
          <w:szCs w:val="24"/>
          <w:lang w:eastAsia="pl-PL"/>
        </w:rPr>
        <w:t>kV</w:t>
      </w:r>
      <w:proofErr w:type="spellEnd"/>
      <w:r w:rsidRPr="00DE0FBF">
        <w:rPr>
          <w:rFonts w:ascii="Times New Roman" w:eastAsia="Times New Roman" w:hAnsi="Times New Roman" w:cs="Times New Roman"/>
          <w:color w:val="000000"/>
          <w:kern w:val="2"/>
          <w:sz w:val="24"/>
          <w:szCs w:val="24"/>
          <w:lang w:eastAsia="pl-PL"/>
        </w:rPr>
        <w:t xml:space="preserve"> i wyższym niż 1 </w:t>
      </w:r>
      <w:proofErr w:type="spellStart"/>
      <w:r w:rsidRPr="00DE0FBF">
        <w:rPr>
          <w:rFonts w:ascii="Times New Roman" w:eastAsia="Times New Roman" w:hAnsi="Times New Roman" w:cs="Times New Roman"/>
          <w:color w:val="000000"/>
          <w:kern w:val="2"/>
          <w:sz w:val="24"/>
          <w:szCs w:val="24"/>
          <w:lang w:eastAsia="pl-PL"/>
        </w:rPr>
        <w:t>kV</w:t>
      </w:r>
      <w:proofErr w:type="spellEnd"/>
      <w:r w:rsidRPr="00DE0FBF">
        <w:rPr>
          <w:rFonts w:ascii="Times New Roman" w:eastAsia="Times New Roman" w:hAnsi="Times New Roman" w:cs="Times New Roman"/>
          <w:color w:val="000000"/>
          <w:kern w:val="2"/>
          <w:sz w:val="24"/>
          <w:szCs w:val="24"/>
          <w:lang w:eastAsia="pl-PL"/>
        </w:rPr>
        <w:t xml:space="preserve">, </w:t>
      </w:r>
    </w:p>
    <w:p w14:paraId="2940FBF4" w14:textId="77777777" w:rsidR="00DE0FBF" w:rsidRPr="00DE0FBF" w:rsidRDefault="00DE0FBF">
      <w:pPr>
        <w:numPr>
          <w:ilvl w:val="0"/>
          <w:numId w:val="215"/>
        </w:numPr>
        <w:spacing w:after="135" w:line="269" w:lineRule="auto"/>
        <w:ind w:right="-4"/>
        <w:contextualSpacing/>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5,0% – dla miejsc przyłączenia w sieci o napięciu znamionowym nie wyższym niż 1 </w:t>
      </w:r>
      <w:proofErr w:type="spellStart"/>
      <w:r w:rsidRPr="00DE0FBF">
        <w:rPr>
          <w:rFonts w:ascii="Times New Roman" w:eastAsia="Times New Roman" w:hAnsi="Times New Roman" w:cs="Times New Roman"/>
          <w:color w:val="000000"/>
          <w:kern w:val="2"/>
          <w:sz w:val="24"/>
          <w:szCs w:val="24"/>
          <w:lang w:eastAsia="pl-PL"/>
        </w:rPr>
        <w:t>kV</w:t>
      </w:r>
      <w:proofErr w:type="spellEnd"/>
      <w:r w:rsidRPr="00DE0FBF">
        <w:rPr>
          <w:rFonts w:ascii="Times New Roman" w:eastAsia="Times New Roman" w:hAnsi="Times New Roman" w:cs="Times New Roman"/>
          <w:color w:val="000000"/>
          <w:kern w:val="2"/>
          <w:sz w:val="24"/>
          <w:szCs w:val="24"/>
          <w:lang w:eastAsia="pl-PL"/>
        </w:rPr>
        <w:t xml:space="preserve">. </w:t>
      </w:r>
    </w:p>
    <w:p w14:paraId="3D0E8F5D" w14:textId="77777777" w:rsidR="00DE0FBF" w:rsidRPr="00DE0FBF" w:rsidRDefault="00DE0FBF">
      <w:pPr>
        <w:numPr>
          <w:ilvl w:val="1"/>
          <w:numId w:val="198"/>
        </w:numPr>
        <w:spacing w:after="160" w:line="269" w:lineRule="auto"/>
        <w:ind w:right="4" w:hanging="976"/>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Dla jednostek wytwórczych współpracujących z falownikami, w których zastosowany jest przekształtnik sześciopołówkowy z wygładzaniem indukcyjnym i nie są stosowane szczególne środki do redukcji wyższych harmonicznych, powinien być spełniony następujący warunek: </w:t>
      </w:r>
    </w:p>
    <w:p w14:paraId="729EC6D0" w14:textId="07F7A9C9" w:rsidR="00DE0FBF" w:rsidRPr="00DE0FBF" w:rsidRDefault="00DE0FBF" w:rsidP="00DE0FBF">
      <w:pPr>
        <w:tabs>
          <w:tab w:val="center" w:pos="5265"/>
          <w:tab w:val="center" w:pos="5903"/>
        </w:tabs>
        <w:spacing w:after="0" w:line="259" w:lineRule="auto"/>
        <w:jc w:val="left"/>
        <w:rPr>
          <w:rFonts w:ascii="Calibri" w:eastAsia="Calibri" w:hAnsi="Calibri" w:cs="Calibri"/>
          <w:color w:val="000000"/>
          <w:kern w:val="2"/>
          <w:sz w:val="22"/>
          <w:szCs w:val="24"/>
          <w:lang w:eastAsia="pl-PL"/>
        </w:rPr>
      </w:pPr>
      <w:r w:rsidRPr="00DE0FBF">
        <w:rPr>
          <w:rFonts w:ascii="Calibri" w:eastAsia="Calibri" w:hAnsi="Calibri" w:cs="Calibri"/>
          <w:noProof/>
          <w:color w:val="000000"/>
          <w:kern w:val="2"/>
          <w:sz w:val="22"/>
          <w:szCs w:val="24"/>
          <w:lang w:eastAsia="pl-PL"/>
        </w:rPr>
        <w:drawing>
          <wp:anchor distT="0" distB="0" distL="114300" distR="114300" simplePos="0" relativeHeight="251764736" behindDoc="1" locked="0" layoutInCell="1" allowOverlap="1" wp14:anchorId="46F46BD1" wp14:editId="29D90BF7">
            <wp:simplePos x="0" y="0"/>
            <wp:positionH relativeFrom="margin">
              <wp:align>center</wp:align>
            </wp:positionH>
            <wp:positionV relativeFrom="paragraph">
              <wp:posOffset>6350</wp:posOffset>
            </wp:positionV>
            <wp:extent cx="1619250" cy="1047750"/>
            <wp:effectExtent l="0" t="0" r="0" b="0"/>
            <wp:wrapTight wrapText="bothSides">
              <wp:wrapPolygon edited="0">
                <wp:start x="0" y="0"/>
                <wp:lineTo x="0" y="21207"/>
                <wp:lineTo x="21346" y="21207"/>
                <wp:lineTo x="21346" y="0"/>
                <wp:lineTo x="0" y="0"/>
              </wp:wrapPolygon>
            </wp:wrapTight>
            <wp:docPr id="1341559274" name="Obraz 1" descr="Obraz zawierający Czcionka, tekst, biały, diagram&#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559274" name="Obraz 1" descr="Obraz zawierający Czcionka, tekst, biały, diagram&#10;&#10;Zawartość wygenerowana przez AI może być niepoprawna."/>
                    <pic:cNvPicPr/>
                  </pic:nvPicPr>
                  <pic:blipFill>
                    <a:blip r:embed="rId40">
                      <a:extLst>
                        <a:ext uri="{28A0092B-C50C-407E-A947-70E740481C1C}">
                          <a14:useLocalDpi xmlns:a14="http://schemas.microsoft.com/office/drawing/2010/main" val="0"/>
                        </a:ext>
                      </a:extLst>
                    </a:blip>
                    <a:stretch>
                      <a:fillRect/>
                    </a:stretch>
                  </pic:blipFill>
                  <pic:spPr>
                    <a:xfrm>
                      <a:off x="0" y="0"/>
                      <a:ext cx="1619250" cy="1047750"/>
                    </a:xfrm>
                    <a:prstGeom prst="rect">
                      <a:avLst/>
                    </a:prstGeom>
                  </pic:spPr>
                </pic:pic>
              </a:graphicData>
            </a:graphic>
          </wp:anchor>
        </w:drawing>
      </w:r>
      <w:r w:rsidR="00000000">
        <w:rPr>
          <w:noProof/>
        </w:rPr>
        <w:pict w14:anchorId="0287C7B3">
          <v:group id="Group 46473" o:spid="_x0000_s3115" style="position:absolute;margin-left:254.75pt;margin-top:10.15pt;width:49.45pt;height:.5pt;z-index:251763712;mso-position-horizontal-relative:text;mso-position-vertical-relative:text" coordsize="627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">
            <v:shape id="Shape 1514" o:spid="_x0000_s3116" style="position:absolute;width:2240;height:0;visibility:visible;mso-wrap-style:square;v-text-anchor:top" coordsize="22402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" adj="0,,0" path="m,l224027,e" filled="f" strokeweight=".48pt">
              <v:stroke joinstyle="round" endcap="round"/>
              <v:formulas/>
              <v:path arrowok="t" o:connecttype="segments" textboxrect="0,0,224027,0"/>
            </v:shape>
            <v:shape id="Shape 1515" o:spid="_x0000_s3117" style="position:absolute;left:3992;width:2286;height:0;visibility:visible;mso-wrap-style:square;v-text-anchor:top" coordsize="2285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" adj="0,,0" path="m,l228594,e" filled="f" strokeweight=".48pt">
              <v:stroke joinstyle="round" endcap="round"/>
              <v:formulas/>
              <v:path arrowok="t" o:connecttype="segments" textboxrect="0,0,228594,0"/>
            </v:shape>
          </v:group>
        </w:pict>
      </w:r>
      <w:r w:rsidRPr="00DE0FBF">
        <w:rPr>
          <w:rFonts w:ascii="Calibri" w:eastAsia="Calibri" w:hAnsi="Calibri" w:cs="Calibri"/>
          <w:color w:val="000000"/>
          <w:kern w:val="2"/>
          <w:sz w:val="22"/>
          <w:szCs w:val="24"/>
          <w:lang w:eastAsia="pl-PL"/>
        </w:rPr>
        <w:tab/>
      </w:r>
    </w:p>
    <w:p w14:paraId="503E0635" w14:textId="77777777" w:rsidR="00DE0FBF" w:rsidRPr="00DE0FBF" w:rsidRDefault="00DE0FBF" w:rsidP="00DE0FBF">
      <w:pPr>
        <w:tabs>
          <w:tab w:val="center" w:pos="5265"/>
          <w:tab w:val="center" w:pos="5903"/>
        </w:tabs>
        <w:spacing w:after="0" w:line="259" w:lineRule="auto"/>
        <w:jc w:val="left"/>
        <w:rPr>
          <w:rFonts w:ascii="Calibri" w:eastAsia="Calibri" w:hAnsi="Calibri" w:cs="Calibri"/>
          <w:color w:val="000000"/>
          <w:kern w:val="2"/>
          <w:sz w:val="22"/>
          <w:szCs w:val="24"/>
          <w:lang w:eastAsia="pl-PL"/>
        </w:rPr>
      </w:pPr>
    </w:p>
    <w:p w14:paraId="768107C7" w14:textId="77777777" w:rsidR="00DE0FBF" w:rsidRPr="00DE0FBF" w:rsidRDefault="00DE0FBF" w:rsidP="00DE0FBF">
      <w:pPr>
        <w:tabs>
          <w:tab w:val="center" w:pos="5265"/>
          <w:tab w:val="center" w:pos="5903"/>
        </w:tabs>
        <w:spacing w:after="0" w:line="259" w:lineRule="auto"/>
        <w:jc w:val="left"/>
        <w:rPr>
          <w:rFonts w:ascii="Calibri" w:eastAsia="Calibri" w:hAnsi="Calibri" w:cs="Calibri"/>
          <w:color w:val="000000"/>
          <w:kern w:val="2"/>
          <w:sz w:val="22"/>
          <w:szCs w:val="24"/>
          <w:lang w:eastAsia="pl-PL"/>
        </w:rPr>
      </w:pPr>
    </w:p>
    <w:p w14:paraId="4F14460B" w14:textId="77777777" w:rsidR="00DE0FBF" w:rsidRPr="00DE0FBF" w:rsidRDefault="00DE0FBF" w:rsidP="00DE0FBF">
      <w:pPr>
        <w:tabs>
          <w:tab w:val="center" w:pos="5265"/>
          <w:tab w:val="center" w:pos="5903"/>
        </w:tabs>
        <w:spacing w:after="0" w:line="259" w:lineRule="auto"/>
        <w:jc w:val="left"/>
        <w:rPr>
          <w:rFonts w:ascii="Calibri" w:eastAsia="Calibri" w:hAnsi="Calibri" w:cs="Calibri"/>
          <w:color w:val="000000"/>
          <w:kern w:val="2"/>
          <w:sz w:val="22"/>
          <w:szCs w:val="24"/>
          <w:lang w:eastAsia="pl-PL"/>
        </w:rPr>
      </w:pPr>
    </w:p>
    <w:p w14:paraId="57CFEB70" w14:textId="77777777" w:rsidR="00DE0FBF" w:rsidRPr="00DE0FBF" w:rsidRDefault="00DE0FBF" w:rsidP="00DE0FBF">
      <w:pPr>
        <w:tabs>
          <w:tab w:val="center" w:pos="5265"/>
          <w:tab w:val="center" w:pos="5903"/>
        </w:tabs>
        <w:spacing w:after="0" w:line="259" w:lineRule="auto"/>
        <w:jc w:val="left"/>
        <w:rPr>
          <w:rFonts w:ascii="Calibri" w:eastAsia="Calibri" w:hAnsi="Calibri" w:cs="Calibri"/>
          <w:color w:val="000000"/>
          <w:kern w:val="2"/>
          <w:sz w:val="22"/>
          <w:szCs w:val="24"/>
          <w:lang w:eastAsia="pl-PL"/>
        </w:rPr>
      </w:pPr>
    </w:p>
    <w:p w14:paraId="5E88008D" w14:textId="77777777" w:rsidR="00DE0FBF" w:rsidRPr="00DE0FBF" w:rsidRDefault="00DE0FBF" w:rsidP="00DE0FBF">
      <w:pPr>
        <w:tabs>
          <w:tab w:val="center" w:pos="5265"/>
          <w:tab w:val="center" w:pos="5903"/>
        </w:tabs>
        <w:spacing w:after="0" w:line="259" w:lineRule="auto"/>
        <w:jc w:val="left"/>
        <w:rPr>
          <w:rFonts w:ascii="Times New Roman" w:eastAsia="Times New Roman" w:hAnsi="Times New Roman" w:cs="Times New Roman"/>
          <w:color w:val="000000"/>
          <w:kern w:val="2"/>
          <w:sz w:val="24"/>
          <w:szCs w:val="24"/>
          <w:lang w:eastAsia="pl-PL"/>
        </w:rPr>
      </w:pPr>
    </w:p>
    <w:p w14:paraId="228A0B66" w14:textId="77777777" w:rsidR="00DE0FBF" w:rsidRPr="00DE0FBF" w:rsidRDefault="00DE0FBF" w:rsidP="00DE0FBF">
      <w:pPr>
        <w:spacing w:after="0" w:line="269" w:lineRule="auto"/>
        <w:ind w:left="1143" w:hanging="10"/>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gdzie: </w:t>
      </w:r>
    </w:p>
    <w:p w14:paraId="24E40A4B" w14:textId="77777777" w:rsidR="00DE0FBF" w:rsidRPr="00DE0FBF" w:rsidRDefault="00DE0FBF" w:rsidP="00DE0FBF">
      <w:pPr>
        <w:spacing w:after="0" w:line="269" w:lineRule="auto"/>
        <w:ind w:left="1143" w:hanging="10"/>
        <w:jc w:val="left"/>
        <w:rPr>
          <w:rFonts w:ascii="Times New Roman" w:eastAsia="Times New Roman" w:hAnsi="Times New Roman" w:cs="Times New Roman"/>
          <w:color w:val="000000"/>
          <w:kern w:val="2"/>
          <w:sz w:val="24"/>
          <w:szCs w:val="24"/>
          <w:lang w:eastAsia="pl-PL"/>
        </w:rPr>
      </w:pPr>
      <w:proofErr w:type="spellStart"/>
      <w:r w:rsidRPr="00DE0FBF">
        <w:rPr>
          <w:rFonts w:ascii="Times New Roman" w:eastAsia="Times New Roman" w:hAnsi="Times New Roman" w:cs="Times New Roman"/>
          <w:i/>
          <w:color w:val="000000"/>
          <w:kern w:val="2"/>
          <w:sz w:val="24"/>
          <w:szCs w:val="24"/>
          <w:lang w:eastAsia="pl-PL"/>
        </w:rPr>
        <w:t>S</w:t>
      </w:r>
      <w:r w:rsidRPr="00DE0FBF">
        <w:rPr>
          <w:rFonts w:ascii="Times New Roman" w:eastAsia="Times New Roman" w:hAnsi="Times New Roman" w:cs="Times New Roman"/>
          <w:i/>
          <w:color w:val="000000"/>
          <w:kern w:val="2"/>
          <w:sz w:val="24"/>
          <w:szCs w:val="24"/>
          <w:vertAlign w:val="subscript"/>
          <w:lang w:eastAsia="pl-PL"/>
        </w:rPr>
        <w:t>rA</w:t>
      </w:r>
      <w:proofErr w:type="spellEnd"/>
      <w:r w:rsidRPr="00DE0FBF">
        <w:rPr>
          <w:rFonts w:ascii="Times New Roman" w:eastAsia="Times New Roman" w:hAnsi="Times New Roman" w:cs="Times New Roman"/>
          <w:i/>
          <w:color w:val="000000"/>
          <w:kern w:val="2"/>
          <w:sz w:val="24"/>
          <w:szCs w:val="24"/>
          <w:lang w:eastAsia="pl-PL"/>
        </w:rPr>
        <w:t xml:space="preserve"> </w:t>
      </w:r>
      <w:r w:rsidRPr="00DE0FBF">
        <w:rPr>
          <w:rFonts w:ascii="Times New Roman" w:eastAsia="Times New Roman" w:hAnsi="Times New Roman" w:cs="Times New Roman"/>
          <w:color w:val="000000"/>
          <w:kern w:val="2"/>
          <w:sz w:val="24"/>
          <w:szCs w:val="24"/>
          <w:lang w:eastAsia="pl-PL"/>
        </w:rPr>
        <w:t xml:space="preserve">– moc osiągalna jednostki wytwórczej, </w:t>
      </w:r>
    </w:p>
    <w:p w14:paraId="5B6BA899" w14:textId="77777777" w:rsidR="00DE0FBF" w:rsidRDefault="00DE0FBF" w:rsidP="00DE0FBF">
      <w:pPr>
        <w:spacing w:after="135" w:line="269" w:lineRule="auto"/>
        <w:ind w:left="1134"/>
        <w:jc w:val="left"/>
        <w:rPr>
          <w:rFonts w:ascii="Times New Roman" w:eastAsia="Times New Roman" w:hAnsi="Times New Roman" w:cs="Times New Roman"/>
          <w:color w:val="000000"/>
          <w:kern w:val="2"/>
          <w:sz w:val="24"/>
          <w:szCs w:val="24"/>
          <w:lang w:eastAsia="pl-PL"/>
        </w:rPr>
      </w:pPr>
      <w:proofErr w:type="spellStart"/>
      <w:r w:rsidRPr="00DE0FBF">
        <w:rPr>
          <w:rFonts w:ascii="Times New Roman" w:eastAsia="Times New Roman" w:hAnsi="Times New Roman" w:cs="Times New Roman"/>
          <w:i/>
          <w:color w:val="000000"/>
          <w:kern w:val="2"/>
          <w:sz w:val="24"/>
          <w:szCs w:val="24"/>
          <w:lang w:eastAsia="pl-PL"/>
        </w:rPr>
        <w:t>S</w:t>
      </w:r>
      <w:r w:rsidRPr="00DE0FBF">
        <w:rPr>
          <w:rFonts w:ascii="Times New Roman" w:eastAsia="Times New Roman" w:hAnsi="Times New Roman" w:cs="Times New Roman"/>
          <w:i/>
          <w:color w:val="000000"/>
          <w:kern w:val="2"/>
          <w:sz w:val="24"/>
          <w:szCs w:val="24"/>
          <w:vertAlign w:val="subscript"/>
          <w:lang w:eastAsia="pl-PL"/>
        </w:rPr>
        <w:t>kV</w:t>
      </w:r>
      <w:proofErr w:type="spellEnd"/>
      <w:r w:rsidRPr="00DE0FBF">
        <w:rPr>
          <w:rFonts w:ascii="Times New Roman" w:eastAsia="Times New Roman" w:hAnsi="Times New Roman" w:cs="Times New Roman"/>
          <w:i/>
          <w:color w:val="000000"/>
          <w:kern w:val="2"/>
          <w:sz w:val="24"/>
          <w:szCs w:val="24"/>
          <w:lang w:eastAsia="pl-PL"/>
        </w:rPr>
        <w:t xml:space="preserve"> </w:t>
      </w:r>
      <w:r w:rsidRPr="00DE0FBF">
        <w:rPr>
          <w:rFonts w:ascii="Times New Roman" w:eastAsia="Times New Roman" w:hAnsi="Times New Roman" w:cs="Times New Roman"/>
          <w:color w:val="000000"/>
          <w:kern w:val="2"/>
          <w:sz w:val="24"/>
          <w:szCs w:val="24"/>
          <w:lang w:eastAsia="pl-PL"/>
        </w:rPr>
        <w:t xml:space="preserve">– moc zwarciowa w miejscu przyłączenia jednostki wytwórczej do sieci dystrybucyjnej, określona jako iloraz kwadratu napięcia znamionowego sieci oraz sumy impedancji linii od transformatora do miejsca przyłączenia i impedancji transformatora. </w:t>
      </w:r>
    </w:p>
    <w:p w14:paraId="15771503" w14:textId="77777777" w:rsidR="00202DD5" w:rsidRPr="00DE0FBF" w:rsidRDefault="00202DD5" w:rsidP="00DE0FBF">
      <w:pPr>
        <w:spacing w:after="135" w:line="269" w:lineRule="auto"/>
        <w:ind w:left="1134"/>
        <w:jc w:val="left"/>
        <w:rPr>
          <w:rFonts w:ascii="Times New Roman" w:eastAsia="Times New Roman" w:hAnsi="Times New Roman" w:cs="Times New Roman"/>
          <w:color w:val="000000"/>
          <w:kern w:val="2"/>
          <w:sz w:val="24"/>
          <w:szCs w:val="24"/>
          <w:lang w:eastAsia="pl-PL"/>
        </w:rPr>
      </w:pPr>
    </w:p>
    <w:p w14:paraId="4C2FEF1E" w14:textId="77777777" w:rsidR="00DE0FBF" w:rsidRPr="00DE0FBF" w:rsidRDefault="00DE0FBF">
      <w:pPr>
        <w:numPr>
          <w:ilvl w:val="1"/>
          <w:numId w:val="198"/>
        </w:numPr>
        <w:spacing w:after="135" w:line="269" w:lineRule="auto"/>
        <w:ind w:right="4" w:hanging="1118"/>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lastRenderedPageBreak/>
        <w:t xml:space="preserve">W normalnych warunkach pracy sieci dystrybucyjnej, w ciągu każdego tygodnia, wskaźnik długookresowego migotania światła </w:t>
      </w:r>
      <w:proofErr w:type="spellStart"/>
      <w:r w:rsidRPr="00DE0FBF">
        <w:rPr>
          <w:rFonts w:ascii="Times New Roman" w:eastAsia="Times New Roman" w:hAnsi="Times New Roman" w:cs="Times New Roman"/>
          <w:color w:val="000000"/>
          <w:kern w:val="2"/>
          <w:sz w:val="24"/>
          <w:szCs w:val="24"/>
          <w:lang w:eastAsia="pl-PL"/>
        </w:rPr>
        <w:t>P</w:t>
      </w:r>
      <w:r w:rsidRPr="00DE0FBF">
        <w:rPr>
          <w:rFonts w:ascii="Times New Roman" w:eastAsia="Times New Roman" w:hAnsi="Times New Roman" w:cs="Times New Roman"/>
          <w:color w:val="000000"/>
          <w:kern w:val="2"/>
          <w:sz w:val="24"/>
          <w:szCs w:val="24"/>
          <w:vertAlign w:val="subscript"/>
          <w:lang w:eastAsia="pl-PL"/>
        </w:rPr>
        <w:t>lt</w:t>
      </w:r>
      <w:proofErr w:type="spellEnd"/>
      <w:r w:rsidRPr="00DE0FBF">
        <w:rPr>
          <w:rFonts w:ascii="Times New Roman" w:eastAsia="Times New Roman" w:hAnsi="Times New Roman" w:cs="Times New Roman"/>
          <w:color w:val="000000"/>
          <w:kern w:val="2"/>
          <w:sz w:val="24"/>
          <w:szCs w:val="24"/>
          <w:lang w:eastAsia="pl-PL"/>
        </w:rPr>
        <w:t xml:space="preserve"> spowodowanego wahaniami napięcia, przez 95% czasu, powinien spełniać warunek: </w:t>
      </w:r>
      <w:proofErr w:type="spellStart"/>
      <w:r w:rsidRPr="00DE0FBF">
        <w:rPr>
          <w:rFonts w:ascii="Times New Roman" w:eastAsia="Times New Roman" w:hAnsi="Times New Roman" w:cs="Times New Roman"/>
          <w:i/>
          <w:color w:val="000000"/>
          <w:kern w:val="2"/>
          <w:sz w:val="24"/>
          <w:szCs w:val="24"/>
          <w:lang w:eastAsia="pl-PL"/>
        </w:rPr>
        <w:t>P</w:t>
      </w:r>
      <w:r w:rsidRPr="00DE0FBF">
        <w:rPr>
          <w:rFonts w:ascii="Times New Roman" w:eastAsia="Times New Roman" w:hAnsi="Times New Roman" w:cs="Times New Roman"/>
          <w:i/>
          <w:color w:val="000000"/>
          <w:kern w:val="2"/>
          <w:sz w:val="24"/>
          <w:szCs w:val="24"/>
          <w:vertAlign w:val="subscript"/>
          <w:lang w:eastAsia="pl-PL"/>
        </w:rPr>
        <w:t>lt</w:t>
      </w:r>
      <w:proofErr w:type="spellEnd"/>
      <w:r w:rsidRPr="00DE0FBF">
        <w:rPr>
          <w:rFonts w:ascii="Times New Roman" w:eastAsia="Times New Roman" w:hAnsi="Times New Roman" w:cs="Times New Roman"/>
          <w:i/>
          <w:color w:val="000000"/>
          <w:kern w:val="2"/>
          <w:sz w:val="24"/>
          <w:szCs w:val="24"/>
          <w:lang w:eastAsia="pl-PL"/>
        </w:rPr>
        <w:t xml:space="preserve"> </w:t>
      </w:r>
      <w:r w:rsidRPr="00DE0FBF">
        <w:rPr>
          <w:rFonts w:ascii="Segoe UI Symbol" w:eastAsia="Segoe UI Symbol" w:hAnsi="Segoe UI Symbol" w:cs="Segoe UI Symbol"/>
          <w:color w:val="000000"/>
          <w:kern w:val="2"/>
          <w:sz w:val="24"/>
          <w:szCs w:val="24"/>
          <w:lang w:eastAsia="pl-PL"/>
        </w:rPr>
        <w:t>≤</w:t>
      </w:r>
      <w:r w:rsidRPr="00DE0FBF">
        <w:rPr>
          <w:rFonts w:ascii="Times New Roman" w:eastAsia="Times New Roman" w:hAnsi="Times New Roman" w:cs="Times New Roman"/>
          <w:color w:val="000000"/>
          <w:kern w:val="2"/>
          <w:sz w:val="24"/>
          <w:szCs w:val="24"/>
          <w:lang w:eastAsia="pl-PL"/>
        </w:rPr>
        <w:t xml:space="preserve"> 0,6 z wyjątkiem farm wiatrowych, dla których współczynnik </w:t>
      </w:r>
      <w:proofErr w:type="spellStart"/>
      <w:r w:rsidRPr="00DE0FBF">
        <w:rPr>
          <w:rFonts w:ascii="Times New Roman" w:eastAsia="Times New Roman" w:hAnsi="Times New Roman" w:cs="Times New Roman"/>
          <w:color w:val="000000"/>
          <w:kern w:val="2"/>
          <w:sz w:val="24"/>
          <w:szCs w:val="24"/>
          <w:lang w:eastAsia="pl-PL"/>
        </w:rPr>
        <w:t>P</w:t>
      </w:r>
      <w:r w:rsidRPr="00DE0FBF">
        <w:rPr>
          <w:rFonts w:ascii="Times New Roman" w:eastAsia="Times New Roman" w:hAnsi="Times New Roman" w:cs="Times New Roman"/>
          <w:color w:val="000000"/>
          <w:kern w:val="2"/>
          <w:sz w:val="24"/>
          <w:szCs w:val="24"/>
          <w:vertAlign w:val="subscript"/>
          <w:lang w:eastAsia="pl-PL"/>
        </w:rPr>
        <w:t>lt</w:t>
      </w:r>
      <w:proofErr w:type="spellEnd"/>
      <w:r w:rsidRPr="00DE0FBF">
        <w:rPr>
          <w:rFonts w:ascii="Times New Roman" w:eastAsia="Times New Roman" w:hAnsi="Times New Roman" w:cs="Times New Roman"/>
          <w:color w:val="000000"/>
          <w:kern w:val="2"/>
          <w:sz w:val="24"/>
          <w:szCs w:val="24"/>
          <w:lang w:eastAsia="pl-PL"/>
        </w:rPr>
        <w:t xml:space="preserve"> określono w pkt. 8.7.3. </w:t>
      </w:r>
    </w:p>
    <w:p w14:paraId="65F51D33" w14:textId="77777777" w:rsidR="00DE0FBF" w:rsidRPr="00DE0FBF" w:rsidRDefault="00DE0FBF">
      <w:pPr>
        <w:numPr>
          <w:ilvl w:val="1"/>
          <w:numId w:val="198"/>
        </w:numPr>
        <w:spacing w:after="135" w:line="269" w:lineRule="auto"/>
        <w:ind w:right="4" w:hanging="1118"/>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Wymaganie określone w pkt. 6.7 jest również spełnione w przypadkach, gdy: </w:t>
      </w:r>
    </w:p>
    <w:p w14:paraId="076E1C6D" w14:textId="0D8085BF" w:rsidR="00DE0FBF" w:rsidRPr="00DE0FBF" w:rsidRDefault="00202DD5" w:rsidP="00202DD5">
      <w:pPr>
        <w:spacing w:after="92" w:line="269" w:lineRule="auto"/>
        <w:ind w:left="1118" w:right="4"/>
        <w:rPr>
          <w:rFonts w:ascii="Times New Roman" w:eastAsia="Times New Roman" w:hAnsi="Times New Roman" w:cs="Times New Roman"/>
          <w:color w:val="000000"/>
          <w:kern w:val="2"/>
          <w:sz w:val="24"/>
          <w:szCs w:val="24"/>
          <w:lang w:eastAsia="pl-PL"/>
        </w:rPr>
      </w:pPr>
      <w:r>
        <w:rPr>
          <w:rFonts w:ascii="Times New Roman" w:eastAsia="Times New Roman" w:hAnsi="Times New Roman" w:cs="Times New Roman"/>
          <w:color w:val="000000"/>
          <w:kern w:val="2"/>
          <w:sz w:val="24"/>
          <w:szCs w:val="24"/>
          <w:lang w:eastAsia="pl-PL"/>
        </w:rPr>
        <w:t xml:space="preserve">- </w:t>
      </w:r>
      <w:r w:rsidR="00DE0FBF" w:rsidRPr="00DE0FBF">
        <w:rPr>
          <w:rFonts w:ascii="Times New Roman" w:eastAsia="Times New Roman" w:hAnsi="Times New Roman" w:cs="Times New Roman"/>
          <w:color w:val="000000"/>
          <w:kern w:val="2"/>
          <w:sz w:val="24"/>
          <w:szCs w:val="24"/>
          <w:lang w:eastAsia="pl-PL"/>
        </w:rPr>
        <w:t xml:space="preserve">dla jednostek wytwórczych przyłączonych do sieci SN zasilanych z szyn stacji 110/SN: </w:t>
      </w:r>
    </w:p>
    <w:p w14:paraId="26452E7B" w14:textId="77777777" w:rsidR="00DE0FBF" w:rsidRPr="00DE0FBF" w:rsidRDefault="00DE0FBF" w:rsidP="00DE0FBF">
      <w:pPr>
        <w:spacing w:after="169" w:line="269" w:lineRule="auto"/>
        <w:ind w:left="1483"/>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noProof/>
          <w:color w:val="000000"/>
          <w:kern w:val="2"/>
          <w:sz w:val="24"/>
          <w:szCs w:val="24"/>
          <w:lang w:eastAsia="pl-PL"/>
        </w:rPr>
        <w:drawing>
          <wp:anchor distT="0" distB="0" distL="114300" distR="114300" simplePos="0" relativeHeight="251765760" behindDoc="1" locked="0" layoutInCell="1" allowOverlap="1" wp14:anchorId="7C2494AB" wp14:editId="22686A9F">
            <wp:simplePos x="0" y="0"/>
            <wp:positionH relativeFrom="page">
              <wp:align>center</wp:align>
            </wp:positionH>
            <wp:positionV relativeFrom="paragraph">
              <wp:posOffset>9525</wp:posOffset>
            </wp:positionV>
            <wp:extent cx="2057687" cy="838317"/>
            <wp:effectExtent l="0" t="0" r="0" b="0"/>
            <wp:wrapTight wrapText="bothSides">
              <wp:wrapPolygon edited="0">
                <wp:start x="0" y="0"/>
                <wp:lineTo x="0" y="21109"/>
                <wp:lineTo x="21400" y="21109"/>
                <wp:lineTo x="21400" y="0"/>
                <wp:lineTo x="0" y="0"/>
              </wp:wrapPolygon>
            </wp:wrapTight>
            <wp:docPr id="364497370" name="Obraz 1" descr="Obraz zawierający Czcionka, tekst, biały, typografi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497370" name="Obraz 1" descr="Obraz zawierający Czcionka, tekst, biały, typografia&#10;&#10;Zawartość wygenerowana przez AI może być niepoprawna."/>
                    <pic:cNvPicPr/>
                  </pic:nvPicPr>
                  <pic:blipFill>
                    <a:blip r:embed="rId41">
                      <a:extLst>
                        <a:ext uri="{28A0092B-C50C-407E-A947-70E740481C1C}">
                          <a14:useLocalDpi xmlns:a14="http://schemas.microsoft.com/office/drawing/2010/main" val="0"/>
                        </a:ext>
                      </a:extLst>
                    </a:blip>
                    <a:stretch>
                      <a:fillRect/>
                    </a:stretch>
                  </pic:blipFill>
                  <pic:spPr>
                    <a:xfrm>
                      <a:off x="0" y="0"/>
                      <a:ext cx="2057687" cy="838317"/>
                    </a:xfrm>
                    <a:prstGeom prst="rect">
                      <a:avLst/>
                    </a:prstGeom>
                  </pic:spPr>
                </pic:pic>
              </a:graphicData>
            </a:graphic>
          </wp:anchor>
        </w:drawing>
      </w:r>
    </w:p>
    <w:p w14:paraId="4714F6F4" w14:textId="77777777" w:rsidR="00DE0FBF" w:rsidRPr="00DE0FBF" w:rsidRDefault="00DE0FBF" w:rsidP="00DE0FBF">
      <w:pPr>
        <w:spacing w:after="169" w:line="269" w:lineRule="auto"/>
        <w:ind w:left="1483"/>
        <w:rPr>
          <w:rFonts w:ascii="Times New Roman" w:eastAsia="Times New Roman" w:hAnsi="Times New Roman" w:cs="Times New Roman"/>
          <w:color w:val="000000"/>
          <w:kern w:val="2"/>
          <w:sz w:val="24"/>
          <w:szCs w:val="24"/>
          <w:lang w:eastAsia="pl-PL"/>
        </w:rPr>
      </w:pPr>
    </w:p>
    <w:p w14:paraId="0A52D96B" w14:textId="77777777" w:rsidR="00DE0FBF" w:rsidRPr="00DE0FBF" w:rsidRDefault="00DE0FBF" w:rsidP="00DE0FBF">
      <w:pPr>
        <w:spacing w:after="169" w:line="269" w:lineRule="auto"/>
        <w:ind w:left="1483"/>
        <w:rPr>
          <w:rFonts w:ascii="Times New Roman" w:eastAsia="Times New Roman" w:hAnsi="Times New Roman" w:cs="Times New Roman"/>
          <w:color w:val="000000"/>
          <w:kern w:val="2"/>
          <w:sz w:val="24"/>
          <w:szCs w:val="24"/>
          <w:lang w:eastAsia="pl-PL"/>
        </w:rPr>
      </w:pPr>
    </w:p>
    <w:p w14:paraId="276B8B21" w14:textId="6B1AB207" w:rsidR="00DE0FBF" w:rsidRPr="00DE0FBF" w:rsidRDefault="00202DD5" w:rsidP="00202DD5">
      <w:pPr>
        <w:spacing w:after="169" w:line="269" w:lineRule="auto"/>
        <w:ind w:left="410" w:right="4" w:firstLine="708"/>
        <w:rPr>
          <w:rFonts w:ascii="Times New Roman" w:eastAsia="Times New Roman" w:hAnsi="Times New Roman" w:cs="Times New Roman"/>
          <w:color w:val="000000"/>
          <w:kern w:val="2"/>
          <w:sz w:val="24"/>
          <w:szCs w:val="24"/>
          <w:lang w:eastAsia="pl-PL"/>
        </w:rPr>
      </w:pPr>
      <w:r>
        <w:rPr>
          <w:rFonts w:ascii="Times New Roman" w:eastAsia="Times New Roman" w:hAnsi="Times New Roman" w:cs="Times New Roman"/>
          <w:color w:val="000000"/>
          <w:kern w:val="2"/>
          <w:sz w:val="24"/>
          <w:szCs w:val="24"/>
          <w:lang w:eastAsia="pl-PL"/>
        </w:rPr>
        <w:t xml:space="preserve">- </w:t>
      </w:r>
      <w:r w:rsidR="00DE0FBF" w:rsidRPr="00DE0FBF">
        <w:rPr>
          <w:rFonts w:ascii="Times New Roman" w:eastAsia="Times New Roman" w:hAnsi="Times New Roman" w:cs="Times New Roman"/>
          <w:color w:val="000000"/>
          <w:kern w:val="2"/>
          <w:sz w:val="24"/>
          <w:szCs w:val="24"/>
          <w:lang w:eastAsia="pl-PL"/>
        </w:rPr>
        <w:t xml:space="preserve">dla jednostek wytwórczych przyłączonych do sieci nN: </w:t>
      </w:r>
    </w:p>
    <w:p w14:paraId="63C53FBC" w14:textId="77777777" w:rsidR="00DE0FBF" w:rsidRPr="00DE0FBF" w:rsidRDefault="00DE0FBF" w:rsidP="00DE0FBF">
      <w:pPr>
        <w:tabs>
          <w:tab w:val="center" w:pos="4691"/>
          <w:tab w:val="center" w:pos="6077"/>
        </w:tabs>
        <w:spacing w:after="0" w:line="259" w:lineRule="auto"/>
        <w:jc w:val="left"/>
        <w:rPr>
          <w:rFonts w:ascii="Calibri" w:eastAsia="Calibri" w:hAnsi="Calibri" w:cs="Calibri"/>
          <w:color w:val="000000"/>
          <w:kern w:val="2"/>
          <w:sz w:val="22"/>
          <w:szCs w:val="24"/>
          <w:lang w:eastAsia="pl-PL"/>
        </w:rPr>
      </w:pPr>
      <w:r w:rsidRPr="00DE0FBF">
        <w:rPr>
          <w:rFonts w:ascii="Times New Roman" w:eastAsia="Times New Roman" w:hAnsi="Times New Roman" w:cs="Times New Roman"/>
          <w:noProof/>
          <w:color w:val="000000"/>
          <w:kern w:val="2"/>
          <w:sz w:val="24"/>
          <w:szCs w:val="24"/>
          <w:lang w:eastAsia="pl-PL"/>
        </w:rPr>
        <w:drawing>
          <wp:anchor distT="0" distB="0" distL="114300" distR="114300" simplePos="0" relativeHeight="251766784" behindDoc="1" locked="0" layoutInCell="1" allowOverlap="1" wp14:anchorId="1ACF0B0A" wp14:editId="13E737BB">
            <wp:simplePos x="0" y="0"/>
            <wp:positionH relativeFrom="page">
              <wp:align>center</wp:align>
            </wp:positionH>
            <wp:positionV relativeFrom="paragraph">
              <wp:posOffset>8255</wp:posOffset>
            </wp:positionV>
            <wp:extent cx="2086266" cy="847843"/>
            <wp:effectExtent l="0" t="0" r="9525" b="9525"/>
            <wp:wrapTight wrapText="bothSides">
              <wp:wrapPolygon edited="0">
                <wp:start x="0" y="0"/>
                <wp:lineTo x="0" y="21357"/>
                <wp:lineTo x="21501" y="21357"/>
                <wp:lineTo x="21501" y="0"/>
                <wp:lineTo x="0" y="0"/>
              </wp:wrapPolygon>
            </wp:wrapTight>
            <wp:docPr id="1812811204" name="Obraz 1" descr="Obraz zawierający Czcionka, pismo odręczne, biały, tekst&#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811204" name="Obraz 1" descr="Obraz zawierający Czcionka, pismo odręczne, biały, tekst&#10;&#10;Zawartość wygenerowana przez AI może być niepoprawna."/>
                    <pic:cNvPicPr/>
                  </pic:nvPicPr>
                  <pic:blipFill>
                    <a:blip r:embed="rId42">
                      <a:extLst>
                        <a:ext uri="{28A0092B-C50C-407E-A947-70E740481C1C}">
                          <a14:useLocalDpi xmlns:a14="http://schemas.microsoft.com/office/drawing/2010/main" val="0"/>
                        </a:ext>
                      </a:extLst>
                    </a:blip>
                    <a:stretch>
                      <a:fillRect/>
                    </a:stretch>
                  </pic:blipFill>
                  <pic:spPr>
                    <a:xfrm>
                      <a:off x="0" y="0"/>
                      <a:ext cx="2086266" cy="847843"/>
                    </a:xfrm>
                    <a:prstGeom prst="rect">
                      <a:avLst/>
                    </a:prstGeom>
                  </pic:spPr>
                </pic:pic>
              </a:graphicData>
            </a:graphic>
          </wp:anchor>
        </w:drawing>
      </w:r>
      <w:r w:rsidRPr="00DE0FBF">
        <w:rPr>
          <w:rFonts w:ascii="Calibri" w:eastAsia="Calibri" w:hAnsi="Calibri" w:cs="Calibri"/>
          <w:color w:val="000000"/>
          <w:kern w:val="2"/>
          <w:sz w:val="22"/>
          <w:szCs w:val="24"/>
          <w:lang w:eastAsia="pl-PL"/>
        </w:rPr>
        <w:tab/>
      </w:r>
    </w:p>
    <w:p w14:paraId="212B0BD4" w14:textId="77777777" w:rsidR="00DE0FBF" w:rsidRPr="00DE0FBF" w:rsidRDefault="00DE0FBF" w:rsidP="00DE0FBF">
      <w:pPr>
        <w:tabs>
          <w:tab w:val="center" w:pos="4691"/>
          <w:tab w:val="center" w:pos="6077"/>
        </w:tabs>
        <w:spacing w:after="0" w:line="259" w:lineRule="auto"/>
        <w:jc w:val="left"/>
        <w:rPr>
          <w:rFonts w:ascii="Calibri" w:eastAsia="Calibri" w:hAnsi="Calibri" w:cs="Calibri"/>
          <w:color w:val="000000"/>
          <w:kern w:val="2"/>
          <w:sz w:val="22"/>
          <w:szCs w:val="24"/>
          <w:lang w:eastAsia="pl-PL"/>
        </w:rPr>
      </w:pPr>
    </w:p>
    <w:p w14:paraId="0B719983" w14:textId="77777777" w:rsidR="00DE0FBF" w:rsidRPr="00DE0FBF" w:rsidRDefault="00DE0FBF" w:rsidP="00DE0FBF">
      <w:pPr>
        <w:tabs>
          <w:tab w:val="center" w:pos="4691"/>
          <w:tab w:val="center" w:pos="6077"/>
        </w:tabs>
        <w:spacing w:after="0" w:line="259" w:lineRule="auto"/>
        <w:jc w:val="left"/>
        <w:rPr>
          <w:rFonts w:ascii="Times New Roman" w:eastAsia="Times New Roman" w:hAnsi="Times New Roman" w:cs="Times New Roman"/>
          <w:color w:val="000000"/>
          <w:kern w:val="2"/>
          <w:sz w:val="24"/>
          <w:szCs w:val="24"/>
          <w:lang w:eastAsia="pl-PL"/>
        </w:rPr>
      </w:pPr>
    </w:p>
    <w:p w14:paraId="201AF3BC" w14:textId="77777777" w:rsidR="00DE0FBF" w:rsidRPr="00DE0FBF" w:rsidRDefault="00DE0FBF" w:rsidP="00DE0FBF">
      <w:pPr>
        <w:spacing w:after="135" w:line="269" w:lineRule="auto"/>
        <w:rPr>
          <w:rFonts w:ascii="Times New Roman" w:eastAsia="Times New Roman" w:hAnsi="Times New Roman" w:cs="Times New Roman"/>
          <w:color w:val="000000"/>
          <w:kern w:val="2"/>
          <w:sz w:val="24"/>
          <w:szCs w:val="24"/>
          <w:lang w:eastAsia="pl-PL"/>
        </w:rPr>
      </w:pPr>
    </w:p>
    <w:p w14:paraId="45052F2A" w14:textId="77777777" w:rsidR="00DE0FBF" w:rsidRPr="00DE0FBF" w:rsidRDefault="00DE0FBF" w:rsidP="00DE0FBF">
      <w:pPr>
        <w:spacing w:after="135" w:line="269" w:lineRule="auto"/>
        <w:ind w:left="1143" w:hanging="10"/>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gdzie: </w:t>
      </w:r>
    </w:p>
    <w:p w14:paraId="72EF3D1D" w14:textId="77777777" w:rsidR="00DE0FBF" w:rsidRPr="00DE0FBF" w:rsidRDefault="00DE0FBF" w:rsidP="00DE0FBF">
      <w:pPr>
        <w:tabs>
          <w:tab w:val="center" w:pos="1501"/>
          <w:tab w:val="center" w:pos="3833"/>
        </w:tabs>
        <w:spacing w:after="135" w:line="269" w:lineRule="auto"/>
        <w:ind w:left="1134"/>
        <w:jc w:val="left"/>
        <w:rPr>
          <w:rFonts w:ascii="Times New Roman" w:eastAsia="Times New Roman" w:hAnsi="Times New Roman" w:cs="Times New Roman"/>
          <w:color w:val="000000"/>
          <w:kern w:val="2"/>
          <w:sz w:val="24"/>
          <w:szCs w:val="24"/>
          <w:lang w:eastAsia="pl-PL"/>
        </w:rPr>
      </w:pPr>
      <w:r w:rsidRPr="00DE0FBF">
        <w:rPr>
          <w:rFonts w:ascii="Calibri" w:eastAsia="Calibri" w:hAnsi="Calibri" w:cs="Calibri"/>
          <w:color w:val="000000"/>
          <w:kern w:val="2"/>
          <w:sz w:val="22"/>
          <w:szCs w:val="24"/>
          <w:lang w:eastAsia="pl-PL"/>
        </w:rPr>
        <w:tab/>
      </w:r>
      <w:proofErr w:type="spellStart"/>
      <w:r w:rsidRPr="00DE0FBF">
        <w:rPr>
          <w:rFonts w:ascii="Times New Roman" w:eastAsia="Times New Roman" w:hAnsi="Times New Roman" w:cs="Times New Roman"/>
          <w:i/>
          <w:color w:val="000000"/>
          <w:kern w:val="2"/>
          <w:sz w:val="24"/>
          <w:szCs w:val="24"/>
          <w:lang w:eastAsia="pl-PL"/>
        </w:rPr>
        <w:t>S</w:t>
      </w:r>
      <w:r w:rsidRPr="00DE0FBF">
        <w:rPr>
          <w:rFonts w:ascii="Times New Roman" w:eastAsia="Times New Roman" w:hAnsi="Times New Roman" w:cs="Times New Roman"/>
          <w:i/>
          <w:color w:val="000000"/>
          <w:kern w:val="2"/>
          <w:sz w:val="24"/>
          <w:szCs w:val="24"/>
          <w:vertAlign w:val="subscript"/>
          <w:lang w:eastAsia="pl-PL"/>
        </w:rPr>
        <w:t>rA</w:t>
      </w:r>
      <w:proofErr w:type="spellEnd"/>
      <w:r w:rsidRPr="00DE0FBF">
        <w:rPr>
          <w:rFonts w:ascii="Times New Roman" w:eastAsia="Times New Roman" w:hAnsi="Times New Roman" w:cs="Times New Roman"/>
          <w:i/>
          <w:color w:val="000000"/>
          <w:kern w:val="2"/>
          <w:sz w:val="24"/>
          <w:szCs w:val="24"/>
          <w:lang w:eastAsia="pl-PL"/>
        </w:rPr>
        <w:t xml:space="preserve"> – </w:t>
      </w:r>
      <w:r w:rsidRPr="00DE0FBF">
        <w:rPr>
          <w:rFonts w:ascii="Times New Roman" w:eastAsia="Times New Roman" w:hAnsi="Times New Roman" w:cs="Times New Roman"/>
          <w:color w:val="000000"/>
          <w:kern w:val="2"/>
          <w:sz w:val="24"/>
          <w:szCs w:val="24"/>
          <w:lang w:eastAsia="pl-PL"/>
        </w:rPr>
        <w:t xml:space="preserve">moc osiągalna jednostki wytwórczej, </w:t>
      </w:r>
    </w:p>
    <w:p w14:paraId="5F088016" w14:textId="77777777" w:rsidR="00DE0FBF" w:rsidRPr="00DE0FBF" w:rsidRDefault="00DE0FBF" w:rsidP="00DE0FBF">
      <w:pPr>
        <w:spacing w:after="135" w:line="269" w:lineRule="auto"/>
        <w:ind w:left="1134"/>
        <w:rPr>
          <w:rFonts w:ascii="Times New Roman" w:eastAsia="Times New Roman" w:hAnsi="Times New Roman" w:cs="Times New Roman"/>
          <w:color w:val="000000"/>
          <w:kern w:val="2"/>
          <w:sz w:val="24"/>
          <w:szCs w:val="24"/>
          <w:lang w:eastAsia="pl-PL"/>
        </w:rPr>
      </w:pPr>
      <w:proofErr w:type="spellStart"/>
      <w:r w:rsidRPr="00DE0FBF">
        <w:rPr>
          <w:rFonts w:ascii="Times New Roman" w:eastAsia="Times New Roman" w:hAnsi="Times New Roman" w:cs="Times New Roman"/>
          <w:i/>
          <w:color w:val="000000"/>
          <w:kern w:val="2"/>
          <w:sz w:val="24"/>
          <w:szCs w:val="24"/>
          <w:lang w:eastAsia="pl-PL"/>
        </w:rPr>
        <w:t>S</w:t>
      </w:r>
      <w:r w:rsidRPr="00DE0FBF">
        <w:rPr>
          <w:rFonts w:ascii="Times New Roman" w:eastAsia="Times New Roman" w:hAnsi="Times New Roman" w:cs="Times New Roman"/>
          <w:i/>
          <w:color w:val="000000"/>
          <w:kern w:val="2"/>
          <w:sz w:val="24"/>
          <w:szCs w:val="24"/>
          <w:vertAlign w:val="subscript"/>
          <w:lang w:eastAsia="pl-PL"/>
        </w:rPr>
        <w:t>kV</w:t>
      </w:r>
      <w:proofErr w:type="spellEnd"/>
      <w:r w:rsidRPr="00DE0FBF">
        <w:rPr>
          <w:rFonts w:ascii="Times New Roman" w:eastAsia="Times New Roman" w:hAnsi="Times New Roman" w:cs="Times New Roman"/>
          <w:i/>
          <w:color w:val="000000"/>
          <w:kern w:val="2"/>
          <w:sz w:val="24"/>
          <w:szCs w:val="24"/>
          <w:lang w:eastAsia="pl-PL"/>
        </w:rPr>
        <w:t xml:space="preserve"> </w:t>
      </w:r>
      <w:r w:rsidRPr="00DE0FBF">
        <w:rPr>
          <w:rFonts w:ascii="Times New Roman" w:eastAsia="Times New Roman" w:hAnsi="Times New Roman" w:cs="Times New Roman"/>
          <w:color w:val="000000"/>
          <w:kern w:val="2"/>
          <w:sz w:val="24"/>
          <w:szCs w:val="24"/>
          <w:lang w:eastAsia="pl-PL"/>
        </w:rPr>
        <w:t>–</w:t>
      </w:r>
      <w:r w:rsidRPr="00DE0FBF">
        <w:rPr>
          <w:rFonts w:ascii="Times New Roman" w:eastAsia="Times New Roman" w:hAnsi="Times New Roman" w:cs="Times New Roman"/>
          <w:i/>
          <w:color w:val="000000"/>
          <w:kern w:val="2"/>
          <w:sz w:val="24"/>
          <w:szCs w:val="24"/>
          <w:lang w:eastAsia="pl-PL"/>
        </w:rPr>
        <w:t xml:space="preserve"> </w:t>
      </w:r>
      <w:r w:rsidRPr="00DE0FBF">
        <w:rPr>
          <w:rFonts w:ascii="Times New Roman" w:eastAsia="Times New Roman" w:hAnsi="Times New Roman" w:cs="Times New Roman"/>
          <w:color w:val="000000"/>
          <w:kern w:val="2"/>
          <w:sz w:val="24"/>
          <w:szCs w:val="24"/>
          <w:lang w:eastAsia="pl-PL"/>
        </w:rPr>
        <w:t xml:space="preserve">moc zwarciowa w miejscu przyłączenia jednostki wytwórczej do sieci dystrybucyjnej, </w:t>
      </w:r>
    </w:p>
    <w:p w14:paraId="6426C440" w14:textId="77777777" w:rsidR="00DE0FBF" w:rsidRPr="00DE0FBF" w:rsidRDefault="00DE0FBF" w:rsidP="00DE0FBF">
      <w:pPr>
        <w:spacing w:after="112" w:line="269" w:lineRule="auto"/>
        <w:ind w:left="1134"/>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i/>
          <w:color w:val="000000"/>
          <w:kern w:val="2"/>
          <w:sz w:val="24"/>
          <w:szCs w:val="24"/>
          <w:lang w:eastAsia="pl-PL"/>
        </w:rPr>
        <w:t>N</w:t>
      </w:r>
      <w:r w:rsidRPr="00DE0FBF">
        <w:rPr>
          <w:rFonts w:ascii="Times New Roman" w:eastAsia="Times New Roman" w:hAnsi="Times New Roman" w:cs="Times New Roman"/>
          <w:color w:val="000000"/>
          <w:kern w:val="2"/>
          <w:sz w:val="24"/>
          <w:szCs w:val="24"/>
          <w:lang w:eastAsia="pl-PL"/>
        </w:rPr>
        <w:t xml:space="preserve"> – liczba przekształtników tyrystorowych o jednakowych lub zbliżonych do siebie mocach znamionowych, współpracujących z jednostką wytwórczą, </w:t>
      </w:r>
    </w:p>
    <w:p w14:paraId="3E43B98B" w14:textId="77777777" w:rsidR="00DE0FBF" w:rsidRPr="00DE0FBF" w:rsidRDefault="00DE0FBF" w:rsidP="00DE0FBF">
      <w:pPr>
        <w:tabs>
          <w:tab w:val="center" w:pos="1414"/>
          <w:tab w:val="center" w:pos="3314"/>
        </w:tabs>
        <w:spacing w:after="105" w:line="269" w:lineRule="auto"/>
        <w:ind w:left="1134"/>
        <w:jc w:val="left"/>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i/>
          <w:color w:val="000000"/>
          <w:kern w:val="2"/>
          <w:sz w:val="24"/>
          <w:szCs w:val="24"/>
          <w:lang w:eastAsia="pl-PL"/>
        </w:rPr>
        <w:t xml:space="preserve">k </w:t>
      </w:r>
      <w:r w:rsidRPr="00DE0FBF">
        <w:rPr>
          <w:rFonts w:ascii="Times New Roman" w:eastAsia="Times New Roman" w:hAnsi="Times New Roman" w:cs="Times New Roman"/>
          <w:i/>
          <w:color w:val="000000"/>
          <w:kern w:val="2"/>
          <w:sz w:val="24"/>
          <w:szCs w:val="24"/>
          <w:lang w:eastAsia="pl-PL"/>
        </w:rPr>
        <w:tab/>
      </w:r>
      <w:r w:rsidRPr="00DE0FBF">
        <w:rPr>
          <w:rFonts w:ascii="Times New Roman" w:eastAsia="Times New Roman" w:hAnsi="Times New Roman" w:cs="Times New Roman"/>
          <w:color w:val="000000"/>
          <w:kern w:val="2"/>
          <w:sz w:val="24"/>
          <w:szCs w:val="24"/>
          <w:lang w:eastAsia="pl-PL"/>
        </w:rPr>
        <w:t xml:space="preserve">– współczynnik wynoszący: </w:t>
      </w:r>
    </w:p>
    <w:p w14:paraId="4731F1B9" w14:textId="77777777" w:rsidR="00DE0FBF" w:rsidRPr="00DE0FBF" w:rsidRDefault="00DE0FBF" w:rsidP="00DE0FBF">
      <w:pPr>
        <w:spacing w:after="135" w:line="269" w:lineRule="auto"/>
        <w:ind w:left="1418" w:hanging="10"/>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1 – dla generatorów synchronicznych, </w:t>
      </w:r>
    </w:p>
    <w:p w14:paraId="62131315" w14:textId="77777777" w:rsidR="00DE0FBF" w:rsidRPr="00DE0FBF" w:rsidRDefault="00DE0FBF" w:rsidP="00DE0FBF">
      <w:pPr>
        <w:spacing w:after="84" w:line="269" w:lineRule="auto"/>
        <w:ind w:left="1418" w:hanging="10"/>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2 – dla generatorów asynchronicznych, które są załączane przy 95% </w:t>
      </w:r>
      <w:r w:rsidRPr="00DE0FBF">
        <w:rPr>
          <w:rFonts w:ascii="Segoe UI Symbol" w:eastAsia="Segoe UI Symbol" w:hAnsi="Segoe UI Symbol" w:cs="Segoe UI Symbol"/>
          <w:color w:val="000000"/>
          <w:kern w:val="2"/>
          <w:sz w:val="24"/>
          <w:szCs w:val="24"/>
          <w:lang w:eastAsia="pl-PL"/>
        </w:rPr>
        <w:t>÷</w:t>
      </w:r>
      <w:r w:rsidRPr="00DE0FBF">
        <w:rPr>
          <w:rFonts w:ascii="Times New Roman" w:eastAsia="Times New Roman" w:hAnsi="Times New Roman" w:cs="Times New Roman"/>
          <w:color w:val="000000"/>
          <w:kern w:val="2"/>
          <w:sz w:val="24"/>
          <w:szCs w:val="24"/>
          <w:lang w:eastAsia="pl-PL"/>
        </w:rPr>
        <w:t xml:space="preserve"> 105% ich prędkości synchronicznej, </w:t>
      </w:r>
    </w:p>
    <w:p w14:paraId="10CFF468" w14:textId="77777777" w:rsidR="00DE0FBF" w:rsidRPr="00DE0FBF" w:rsidRDefault="00DE0FBF" w:rsidP="00DE0FBF">
      <w:pPr>
        <w:spacing w:after="135" w:line="269" w:lineRule="auto"/>
        <w:ind w:left="1418"/>
        <w:rPr>
          <w:rFonts w:ascii="Times New Roman" w:eastAsia="Times New Roman" w:hAnsi="Times New Roman" w:cs="Times New Roman"/>
          <w:color w:val="000000"/>
          <w:kern w:val="2"/>
          <w:sz w:val="24"/>
          <w:szCs w:val="24"/>
          <w:lang w:eastAsia="pl-PL"/>
        </w:rPr>
      </w:pPr>
      <w:proofErr w:type="spellStart"/>
      <w:r w:rsidRPr="00DE0FBF">
        <w:rPr>
          <w:rFonts w:ascii="Times New Roman" w:eastAsia="Times New Roman" w:hAnsi="Times New Roman" w:cs="Times New Roman"/>
          <w:i/>
          <w:color w:val="000000"/>
          <w:kern w:val="2"/>
          <w:sz w:val="24"/>
          <w:szCs w:val="24"/>
          <w:lang w:eastAsia="pl-PL"/>
        </w:rPr>
        <w:t>I</w:t>
      </w:r>
      <w:r w:rsidRPr="00DE0FBF">
        <w:rPr>
          <w:rFonts w:ascii="Times New Roman" w:eastAsia="Times New Roman" w:hAnsi="Times New Roman" w:cs="Times New Roman"/>
          <w:i/>
          <w:color w:val="000000"/>
          <w:kern w:val="2"/>
          <w:sz w:val="24"/>
          <w:szCs w:val="24"/>
          <w:vertAlign w:val="subscript"/>
          <w:lang w:eastAsia="pl-PL"/>
        </w:rPr>
        <w:t>a</w:t>
      </w:r>
      <w:proofErr w:type="spellEnd"/>
      <w:r w:rsidRPr="00DE0FBF">
        <w:rPr>
          <w:rFonts w:ascii="Times New Roman" w:eastAsia="Times New Roman" w:hAnsi="Times New Roman" w:cs="Times New Roman"/>
          <w:i/>
          <w:color w:val="000000"/>
          <w:kern w:val="2"/>
          <w:sz w:val="24"/>
          <w:szCs w:val="24"/>
          <w:lang w:eastAsia="pl-PL"/>
        </w:rPr>
        <w:t>/I</w:t>
      </w:r>
      <w:r w:rsidRPr="00DE0FBF">
        <w:rPr>
          <w:rFonts w:ascii="Times New Roman" w:eastAsia="Times New Roman" w:hAnsi="Times New Roman" w:cs="Times New Roman"/>
          <w:i/>
          <w:color w:val="000000"/>
          <w:kern w:val="2"/>
          <w:sz w:val="24"/>
          <w:szCs w:val="24"/>
          <w:vertAlign w:val="subscript"/>
          <w:lang w:eastAsia="pl-PL"/>
        </w:rPr>
        <w:t xml:space="preserve">r </w:t>
      </w:r>
      <w:r w:rsidRPr="00DE0FBF">
        <w:rPr>
          <w:rFonts w:ascii="Times New Roman" w:eastAsia="Times New Roman" w:hAnsi="Times New Roman" w:cs="Times New Roman"/>
          <w:i/>
          <w:color w:val="000000"/>
          <w:kern w:val="2"/>
          <w:sz w:val="24"/>
          <w:szCs w:val="24"/>
          <w:lang w:eastAsia="pl-PL"/>
        </w:rPr>
        <w:t xml:space="preserve">– </w:t>
      </w:r>
      <w:r w:rsidRPr="00DE0FBF">
        <w:rPr>
          <w:rFonts w:ascii="Times New Roman" w:eastAsia="Times New Roman" w:hAnsi="Times New Roman" w:cs="Times New Roman"/>
          <w:color w:val="000000"/>
          <w:kern w:val="2"/>
          <w:sz w:val="24"/>
          <w:szCs w:val="24"/>
          <w:lang w:eastAsia="pl-PL"/>
        </w:rPr>
        <w:t xml:space="preserve">dla generatorów asynchronicznych, które są wprowadzane na obroty jako silnik, </w:t>
      </w:r>
    </w:p>
    <w:p w14:paraId="14E00337" w14:textId="77777777" w:rsidR="00DE0FBF" w:rsidRPr="00DE0FBF" w:rsidRDefault="00DE0FBF" w:rsidP="00DE0FBF">
      <w:pPr>
        <w:tabs>
          <w:tab w:val="center" w:pos="2196"/>
          <w:tab w:val="center" w:pos="5202"/>
        </w:tabs>
        <w:spacing w:after="136" w:line="259" w:lineRule="auto"/>
        <w:ind w:left="1418"/>
        <w:jc w:val="left"/>
        <w:rPr>
          <w:rFonts w:ascii="Times New Roman" w:eastAsia="Times New Roman" w:hAnsi="Times New Roman" w:cs="Times New Roman"/>
          <w:color w:val="000000"/>
          <w:kern w:val="2"/>
          <w:sz w:val="24"/>
          <w:szCs w:val="24"/>
          <w:lang w:eastAsia="pl-PL"/>
        </w:rPr>
      </w:pPr>
      <w:r w:rsidRPr="00DE0FBF">
        <w:rPr>
          <w:rFonts w:ascii="Calibri" w:eastAsia="Calibri" w:hAnsi="Calibri" w:cs="Calibri"/>
          <w:color w:val="000000"/>
          <w:kern w:val="2"/>
          <w:sz w:val="22"/>
          <w:szCs w:val="24"/>
          <w:lang w:eastAsia="pl-PL"/>
        </w:rPr>
        <w:tab/>
      </w:r>
      <w:r w:rsidRPr="00DE0FBF">
        <w:rPr>
          <w:rFonts w:ascii="Times New Roman" w:eastAsia="Times New Roman" w:hAnsi="Times New Roman" w:cs="Times New Roman"/>
          <w:i/>
          <w:color w:val="000000"/>
          <w:kern w:val="2"/>
          <w:sz w:val="24"/>
          <w:szCs w:val="24"/>
          <w:lang w:eastAsia="pl-PL"/>
        </w:rPr>
        <w:t xml:space="preserve">8 – </w:t>
      </w:r>
      <w:r w:rsidRPr="00DE0FBF">
        <w:rPr>
          <w:rFonts w:ascii="Times New Roman" w:eastAsia="Times New Roman" w:hAnsi="Times New Roman" w:cs="Times New Roman"/>
          <w:color w:val="000000"/>
          <w:kern w:val="2"/>
          <w:sz w:val="24"/>
          <w:szCs w:val="24"/>
          <w:lang w:eastAsia="pl-PL"/>
        </w:rPr>
        <w:t xml:space="preserve">dla przypadków, gdy nie jest znany prąd rozruchu, </w:t>
      </w:r>
    </w:p>
    <w:p w14:paraId="70E808C1" w14:textId="77777777" w:rsidR="00DE0FBF" w:rsidRPr="00DE0FBF" w:rsidRDefault="00DE0FBF" w:rsidP="00DE0FBF">
      <w:pPr>
        <w:tabs>
          <w:tab w:val="center" w:pos="1441"/>
          <w:tab w:val="center" w:pos="2898"/>
        </w:tabs>
        <w:spacing w:after="135" w:line="269" w:lineRule="auto"/>
        <w:ind w:left="1134"/>
        <w:jc w:val="left"/>
        <w:rPr>
          <w:rFonts w:ascii="Times New Roman" w:eastAsia="Times New Roman" w:hAnsi="Times New Roman" w:cs="Times New Roman"/>
          <w:color w:val="000000"/>
          <w:kern w:val="2"/>
          <w:sz w:val="24"/>
          <w:szCs w:val="24"/>
          <w:lang w:eastAsia="pl-PL"/>
        </w:rPr>
      </w:pPr>
      <w:proofErr w:type="spellStart"/>
      <w:r w:rsidRPr="00DE0FBF">
        <w:rPr>
          <w:rFonts w:ascii="Times New Roman" w:eastAsia="Times New Roman" w:hAnsi="Times New Roman" w:cs="Times New Roman"/>
          <w:i/>
          <w:color w:val="000000"/>
          <w:kern w:val="2"/>
          <w:sz w:val="24"/>
          <w:szCs w:val="24"/>
          <w:lang w:eastAsia="pl-PL"/>
        </w:rPr>
        <w:t>I</w:t>
      </w:r>
      <w:r w:rsidRPr="00DE0FBF">
        <w:rPr>
          <w:rFonts w:ascii="Times New Roman" w:eastAsia="Times New Roman" w:hAnsi="Times New Roman" w:cs="Times New Roman"/>
          <w:i/>
          <w:color w:val="000000"/>
          <w:kern w:val="2"/>
          <w:sz w:val="24"/>
          <w:szCs w:val="24"/>
          <w:vertAlign w:val="subscript"/>
          <w:lang w:eastAsia="pl-PL"/>
        </w:rPr>
        <w:t>a</w:t>
      </w:r>
      <w:proofErr w:type="spellEnd"/>
      <w:r w:rsidRPr="00DE0FBF">
        <w:rPr>
          <w:rFonts w:ascii="Times New Roman" w:eastAsia="Times New Roman" w:hAnsi="Times New Roman" w:cs="Times New Roman"/>
          <w:i/>
          <w:color w:val="000000"/>
          <w:kern w:val="2"/>
          <w:sz w:val="24"/>
          <w:szCs w:val="24"/>
          <w:lang w:eastAsia="pl-PL"/>
        </w:rPr>
        <w:t xml:space="preserve"> </w:t>
      </w:r>
      <w:r w:rsidRPr="00DE0FBF">
        <w:rPr>
          <w:rFonts w:ascii="Times New Roman" w:eastAsia="Times New Roman" w:hAnsi="Times New Roman" w:cs="Times New Roman"/>
          <w:i/>
          <w:color w:val="000000"/>
          <w:kern w:val="2"/>
          <w:sz w:val="24"/>
          <w:szCs w:val="24"/>
          <w:lang w:eastAsia="pl-PL"/>
        </w:rPr>
        <w:tab/>
      </w:r>
      <w:r w:rsidRPr="00DE0FBF">
        <w:rPr>
          <w:rFonts w:ascii="Times New Roman" w:eastAsia="Times New Roman" w:hAnsi="Times New Roman" w:cs="Times New Roman"/>
          <w:color w:val="000000"/>
          <w:kern w:val="2"/>
          <w:sz w:val="24"/>
          <w:szCs w:val="24"/>
          <w:lang w:eastAsia="pl-PL"/>
        </w:rPr>
        <w:t xml:space="preserve">– prąd rozruchowy, </w:t>
      </w:r>
    </w:p>
    <w:p w14:paraId="10A4C1A9" w14:textId="77777777" w:rsidR="00DE0FBF" w:rsidRPr="00DE0FBF" w:rsidRDefault="00DE0FBF" w:rsidP="00DE0FBF">
      <w:pPr>
        <w:tabs>
          <w:tab w:val="center" w:pos="1432"/>
          <w:tab w:val="center" w:pos="3268"/>
        </w:tabs>
        <w:spacing w:after="135" w:line="269" w:lineRule="auto"/>
        <w:ind w:left="1134"/>
        <w:jc w:val="left"/>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i/>
          <w:color w:val="000000"/>
          <w:kern w:val="2"/>
          <w:sz w:val="24"/>
          <w:szCs w:val="24"/>
          <w:lang w:eastAsia="pl-PL"/>
        </w:rPr>
        <w:t>I</w:t>
      </w:r>
      <w:r w:rsidRPr="00DE0FBF">
        <w:rPr>
          <w:rFonts w:ascii="Times New Roman" w:eastAsia="Times New Roman" w:hAnsi="Times New Roman" w:cs="Times New Roman"/>
          <w:i/>
          <w:color w:val="000000"/>
          <w:kern w:val="2"/>
          <w:sz w:val="24"/>
          <w:szCs w:val="24"/>
          <w:vertAlign w:val="subscript"/>
          <w:lang w:eastAsia="pl-PL"/>
        </w:rPr>
        <w:t>r</w:t>
      </w:r>
      <w:r w:rsidRPr="00DE0FBF">
        <w:rPr>
          <w:rFonts w:ascii="Times New Roman" w:eastAsia="Times New Roman" w:hAnsi="Times New Roman" w:cs="Times New Roman"/>
          <w:i/>
          <w:color w:val="000000"/>
          <w:kern w:val="2"/>
          <w:sz w:val="24"/>
          <w:szCs w:val="24"/>
          <w:lang w:eastAsia="pl-PL"/>
        </w:rPr>
        <w:t xml:space="preserve"> </w:t>
      </w:r>
      <w:r w:rsidRPr="00DE0FBF">
        <w:rPr>
          <w:rFonts w:ascii="Times New Roman" w:eastAsia="Times New Roman" w:hAnsi="Times New Roman" w:cs="Times New Roman"/>
          <w:color w:val="000000"/>
          <w:kern w:val="2"/>
          <w:sz w:val="24"/>
          <w:szCs w:val="24"/>
          <w:lang w:eastAsia="pl-PL"/>
        </w:rPr>
        <w:t xml:space="preserve">– znamionowy prąd ciągły. </w:t>
      </w:r>
    </w:p>
    <w:p w14:paraId="1BA63974" w14:textId="77777777" w:rsidR="00DE0FBF" w:rsidRPr="00DE0FBF" w:rsidRDefault="00DE0FBF" w:rsidP="00DE0FBF">
      <w:pPr>
        <w:spacing w:after="326" w:line="259" w:lineRule="auto"/>
        <w:ind w:left="72"/>
        <w:jc w:val="left"/>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 </w:t>
      </w:r>
      <w:r w:rsidRPr="00DE0FBF">
        <w:rPr>
          <w:rFonts w:ascii="Times New Roman" w:eastAsia="Times New Roman" w:hAnsi="Times New Roman" w:cs="Times New Roman"/>
          <w:color w:val="000000"/>
          <w:kern w:val="2"/>
          <w:sz w:val="24"/>
          <w:szCs w:val="24"/>
          <w:lang w:eastAsia="pl-PL"/>
        </w:rPr>
        <w:tab/>
        <w:t xml:space="preserve"> </w:t>
      </w:r>
    </w:p>
    <w:p w14:paraId="52F6CE70" w14:textId="308D49C2" w:rsidR="00DE0FBF" w:rsidRPr="00DE0FBF" w:rsidRDefault="00C926A8" w:rsidP="00DE0FBF">
      <w:pPr>
        <w:keepNext/>
        <w:keepLines/>
        <w:spacing w:after="155" w:line="249" w:lineRule="auto"/>
        <w:ind w:left="1134" w:hanging="1077"/>
        <w:jc w:val="left"/>
        <w:outlineLvl w:val="0"/>
        <w:rPr>
          <w:rFonts w:ascii="Times New Roman" w:eastAsia="Times New Roman" w:hAnsi="Times New Roman" w:cs="Times New Roman"/>
          <w:b/>
          <w:color w:val="000000"/>
          <w:kern w:val="2"/>
          <w:sz w:val="24"/>
          <w:szCs w:val="24"/>
          <w:lang w:eastAsia="pl-PL"/>
        </w:rPr>
      </w:pPr>
      <w:r>
        <w:rPr>
          <w:rFonts w:ascii="Times New Roman" w:eastAsia="Times New Roman" w:hAnsi="Times New Roman" w:cs="Times New Roman"/>
          <w:b/>
          <w:color w:val="000000"/>
          <w:kern w:val="2"/>
          <w:sz w:val="24"/>
          <w:szCs w:val="24"/>
          <w:lang w:eastAsia="pl-PL"/>
        </w:rPr>
        <w:lastRenderedPageBreak/>
        <w:t xml:space="preserve">7.  </w:t>
      </w:r>
      <w:r>
        <w:rPr>
          <w:rFonts w:ascii="Times New Roman" w:eastAsia="Times New Roman" w:hAnsi="Times New Roman" w:cs="Times New Roman"/>
          <w:b/>
          <w:color w:val="000000"/>
          <w:kern w:val="2"/>
          <w:sz w:val="24"/>
          <w:szCs w:val="24"/>
          <w:lang w:eastAsia="pl-PL"/>
        </w:rPr>
        <w:tab/>
      </w:r>
      <w:r w:rsidR="00DE0FBF" w:rsidRPr="00DE0FBF">
        <w:rPr>
          <w:rFonts w:ascii="Times New Roman" w:eastAsia="Times New Roman" w:hAnsi="Times New Roman" w:cs="Times New Roman"/>
          <w:b/>
          <w:color w:val="000000"/>
          <w:kern w:val="2"/>
          <w:sz w:val="24"/>
          <w:szCs w:val="24"/>
          <w:lang w:eastAsia="pl-PL"/>
        </w:rPr>
        <w:t>KRYTERIA MOŻLIWOŚCI</w:t>
      </w:r>
      <w:r w:rsidR="00DE0FBF" w:rsidRPr="00DE0FBF">
        <w:rPr>
          <w:rFonts w:ascii="Arial" w:eastAsia="Arial" w:hAnsi="Arial" w:cs="Arial"/>
          <w:b/>
          <w:i/>
          <w:color w:val="000000"/>
          <w:kern w:val="2"/>
          <w:szCs w:val="24"/>
          <w:lang w:eastAsia="pl-PL"/>
        </w:rPr>
        <w:t xml:space="preserve"> </w:t>
      </w:r>
      <w:r w:rsidR="00DE0FBF" w:rsidRPr="00DE0FBF">
        <w:rPr>
          <w:rFonts w:ascii="Times New Roman" w:eastAsia="Times New Roman" w:hAnsi="Times New Roman" w:cs="Times New Roman"/>
          <w:b/>
          <w:color w:val="000000"/>
          <w:kern w:val="2"/>
          <w:sz w:val="24"/>
          <w:szCs w:val="24"/>
          <w:lang w:eastAsia="pl-PL"/>
        </w:rPr>
        <w:t xml:space="preserve">PRZYŁĄCZENIA JEDNOSTEK WYTWÓRCZYCH DO SIECI SN i nN </w:t>
      </w:r>
    </w:p>
    <w:p w14:paraId="6719615A" w14:textId="376CEC14" w:rsidR="00DE0FBF" w:rsidRPr="00DE0FBF" w:rsidRDefault="00DE0FBF" w:rsidP="00443B72">
      <w:pPr>
        <w:spacing w:after="115" w:line="269" w:lineRule="auto"/>
        <w:ind w:left="1118" w:hanging="1061"/>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 </w:t>
      </w:r>
      <w:r w:rsidRPr="00DE0FBF">
        <w:rPr>
          <w:rFonts w:ascii="Times New Roman" w:eastAsia="Times New Roman" w:hAnsi="Times New Roman" w:cs="Times New Roman"/>
          <w:color w:val="000000"/>
          <w:kern w:val="2"/>
          <w:sz w:val="24"/>
          <w:szCs w:val="24"/>
          <w:lang w:eastAsia="pl-PL"/>
        </w:rPr>
        <w:tab/>
        <w:t xml:space="preserve">Industria Dystrybucja Sp. z o.o. na swojej stronie internetowej zamieszcza kryteria oceny przyłączania źródeł energii do sieci elektroenergetycznej SN i </w:t>
      </w:r>
      <w:proofErr w:type="spellStart"/>
      <w:r w:rsidRPr="00DE0FBF">
        <w:rPr>
          <w:rFonts w:ascii="Times New Roman" w:eastAsia="Times New Roman" w:hAnsi="Times New Roman" w:cs="Times New Roman"/>
          <w:color w:val="000000"/>
          <w:kern w:val="2"/>
          <w:sz w:val="24"/>
          <w:szCs w:val="24"/>
          <w:lang w:eastAsia="pl-PL"/>
        </w:rPr>
        <w:t>nN.</w:t>
      </w:r>
      <w:proofErr w:type="spellEnd"/>
      <w:r w:rsidRPr="00DE0FBF">
        <w:rPr>
          <w:rFonts w:ascii="Times New Roman" w:eastAsia="Times New Roman" w:hAnsi="Times New Roman" w:cs="Times New Roman"/>
          <w:color w:val="000000"/>
          <w:kern w:val="2"/>
          <w:sz w:val="24"/>
          <w:szCs w:val="24"/>
          <w:lang w:eastAsia="pl-PL"/>
        </w:rPr>
        <w:t xml:space="preserve">  </w:t>
      </w:r>
    </w:p>
    <w:p w14:paraId="53B89B07" w14:textId="630934D6" w:rsidR="00DE0FBF" w:rsidRPr="00C926A8" w:rsidRDefault="00DE0FBF">
      <w:pPr>
        <w:pStyle w:val="Akapitzlist"/>
        <w:keepNext/>
        <w:keepLines/>
        <w:numPr>
          <w:ilvl w:val="0"/>
          <w:numId w:val="220"/>
        </w:numPr>
        <w:spacing w:after="155" w:line="249" w:lineRule="auto"/>
        <w:ind w:hanging="1068"/>
        <w:jc w:val="left"/>
        <w:outlineLvl w:val="0"/>
        <w:rPr>
          <w:rFonts w:ascii="Times New Roman" w:eastAsia="Times New Roman" w:hAnsi="Times New Roman" w:cs="Times New Roman"/>
          <w:b/>
          <w:color w:val="000000"/>
          <w:kern w:val="2"/>
          <w:sz w:val="24"/>
          <w:szCs w:val="24"/>
          <w:lang w:eastAsia="pl-PL"/>
        </w:rPr>
      </w:pPr>
      <w:r w:rsidRPr="00C926A8">
        <w:rPr>
          <w:rFonts w:ascii="Times New Roman" w:eastAsia="Times New Roman" w:hAnsi="Times New Roman" w:cs="Times New Roman"/>
          <w:b/>
          <w:color w:val="000000"/>
          <w:kern w:val="2"/>
          <w:sz w:val="24"/>
          <w:szCs w:val="24"/>
          <w:lang w:eastAsia="pl-PL"/>
        </w:rPr>
        <w:t xml:space="preserve">DODATKOWE WYMAGANIA DLA FARM WIATROWYCH PRZYŁĄCZANYCH DO SIECI DYSTRYBUCYJNYCH </w:t>
      </w:r>
    </w:p>
    <w:p w14:paraId="6C203382" w14:textId="10A4D003" w:rsidR="00DE0FBF" w:rsidRPr="00DE0FBF" w:rsidRDefault="00C926A8" w:rsidP="00C926A8">
      <w:pPr>
        <w:keepNext/>
        <w:keepLines/>
        <w:numPr>
          <w:ilvl w:val="1"/>
          <w:numId w:val="0"/>
        </w:numPr>
        <w:spacing w:after="155" w:line="249" w:lineRule="auto"/>
        <w:ind w:left="1134" w:hanging="1134"/>
        <w:jc w:val="left"/>
        <w:outlineLvl w:val="1"/>
        <w:rPr>
          <w:rFonts w:ascii="Times New Roman" w:eastAsia="Times New Roman" w:hAnsi="Times New Roman" w:cs="Times New Roman"/>
          <w:b/>
          <w:color w:val="000000"/>
          <w:kern w:val="2"/>
          <w:sz w:val="24"/>
          <w:szCs w:val="24"/>
          <w:lang w:eastAsia="pl-PL"/>
        </w:rPr>
      </w:pPr>
      <w:r>
        <w:rPr>
          <w:rFonts w:ascii="Times New Roman" w:eastAsia="Times New Roman" w:hAnsi="Times New Roman" w:cs="Times New Roman"/>
          <w:b/>
          <w:color w:val="000000"/>
          <w:kern w:val="2"/>
          <w:sz w:val="24"/>
          <w:szCs w:val="24"/>
          <w:lang w:eastAsia="pl-PL"/>
        </w:rPr>
        <w:t xml:space="preserve">8.1 </w:t>
      </w:r>
      <w:r>
        <w:rPr>
          <w:rFonts w:ascii="Times New Roman" w:eastAsia="Times New Roman" w:hAnsi="Times New Roman" w:cs="Times New Roman"/>
          <w:b/>
          <w:color w:val="000000"/>
          <w:kern w:val="2"/>
          <w:sz w:val="24"/>
          <w:szCs w:val="24"/>
          <w:lang w:eastAsia="pl-PL"/>
        </w:rPr>
        <w:tab/>
      </w:r>
      <w:r w:rsidR="00DE0FBF" w:rsidRPr="00DE0FBF">
        <w:rPr>
          <w:rFonts w:ascii="Times New Roman" w:eastAsia="Times New Roman" w:hAnsi="Times New Roman" w:cs="Times New Roman"/>
          <w:b/>
          <w:color w:val="000000"/>
          <w:kern w:val="2"/>
          <w:sz w:val="24"/>
          <w:szCs w:val="24"/>
          <w:lang w:eastAsia="pl-PL"/>
        </w:rPr>
        <w:t xml:space="preserve">Postanowienia ogólne </w:t>
      </w:r>
    </w:p>
    <w:p w14:paraId="2A64E582" w14:textId="77777777" w:rsidR="00DE0FBF" w:rsidRPr="00DE0FBF" w:rsidRDefault="00DE0FBF" w:rsidP="00DE0FBF">
      <w:pPr>
        <w:spacing w:after="135" w:line="269" w:lineRule="auto"/>
        <w:ind w:left="1118" w:hanging="1061"/>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8.1.1. </w:t>
      </w:r>
      <w:r w:rsidRPr="00DE0FBF">
        <w:rPr>
          <w:rFonts w:ascii="Times New Roman" w:eastAsia="Times New Roman" w:hAnsi="Times New Roman" w:cs="Times New Roman"/>
          <w:color w:val="000000"/>
          <w:kern w:val="2"/>
          <w:sz w:val="24"/>
          <w:szCs w:val="24"/>
          <w:lang w:eastAsia="pl-PL"/>
        </w:rPr>
        <w:tab/>
        <w:t xml:space="preserve">Farmy wiatrowe przyłączane bezpośrednio do sieci dystrybucyjnej powinny spełniać ogólne wymagania i procedury przewidziane dla podmiotów przyłączanych do sieci dystrybucyjnej określone w pozostałych punktach niniejszej IRiESD. </w:t>
      </w:r>
    </w:p>
    <w:p w14:paraId="7BC579A0" w14:textId="77777777" w:rsidR="00DE0FBF" w:rsidRPr="00DE0FBF" w:rsidRDefault="00DE0FBF" w:rsidP="00DE0FBF">
      <w:pPr>
        <w:spacing w:after="135" w:line="269" w:lineRule="auto"/>
        <w:ind w:left="1118" w:hanging="1061"/>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8.1.2.</w:t>
      </w:r>
      <w:r w:rsidRPr="00DE0FBF">
        <w:rPr>
          <w:rFonts w:ascii="Times New Roman" w:eastAsia="Times New Roman" w:hAnsi="Times New Roman" w:cs="Times New Roman"/>
          <w:color w:val="000000"/>
          <w:kern w:val="2"/>
          <w:sz w:val="24"/>
          <w:szCs w:val="24"/>
          <w:lang w:eastAsia="pl-PL"/>
        </w:rPr>
        <w:tab/>
        <w:t xml:space="preserve">Wymagania techniczne i zalecenia zapisane w pkt. 8 niniejszego załącznika obowiązują farmy wiatrowe przyłączane do sieci dystrybucyjnej. </w:t>
      </w:r>
    </w:p>
    <w:p w14:paraId="61D7E150" w14:textId="08246B51" w:rsidR="00DE0FBF" w:rsidRPr="00DE0FBF" w:rsidRDefault="00DE0FBF" w:rsidP="00DE0FBF">
      <w:pPr>
        <w:spacing w:after="135" w:line="269" w:lineRule="auto"/>
        <w:ind w:left="1118" w:hanging="1061"/>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8.1.3. </w:t>
      </w:r>
      <w:r w:rsidRPr="00DE0FBF">
        <w:rPr>
          <w:rFonts w:ascii="Times New Roman" w:eastAsia="Times New Roman" w:hAnsi="Times New Roman" w:cs="Times New Roman"/>
          <w:color w:val="000000"/>
          <w:kern w:val="2"/>
          <w:sz w:val="24"/>
          <w:szCs w:val="24"/>
          <w:lang w:eastAsia="pl-PL"/>
        </w:rPr>
        <w:tab/>
        <w:t xml:space="preserve">Farmy wiatrowe, które w dniu wejścia w życie niniejszej IRiESD są przyłączone do sieci lub mają podpisane umowy o przyłączenie do sieci, obowiązane są wypełnić wymagania pkt. 8 niniejszego załącznika tylko w przypadku modernizacji farmy wiatrowej. Farmy wiatrowe posiadające ważne warunki przyłączenia do sieci uzgodnią z Industria Dystrybucja Sp. z o.o. zakres i harmonogram dostosowania się do wymagań określonych w IRiESD w terminie 6 miesięcy od daty wejścia w życie niniejszej IRiESD. </w:t>
      </w:r>
    </w:p>
    <w:p w14:paraId="31EBB35F" w14:textId="77777777" w:rsidR="00DE0FBF" w:rsidRPr="00DE0FBF" w:rsidRDefault="00DE0FBF" w:rsidP="00DE0FBF">
      <w:pPr>
        <w:tabs>
          <w:tab w:val="center" w:pos="4988"/>
        </w:tabs>
        <w:spacing w:after="100" w:line="269" w:lineRule="auto"/>
        <w:jc w:val="left"/>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8.1.4. </w:t>
      </w:r>
      <w:r w:rsidRPr="00DE0FBF">
        <w:rPr>
          <w:rFonts w:ascii="Times New Roman" w:eastAsia="Times New Roman" w:hAnsi="Times New Roman" w:cs="Times New Roman"/>
          <w:color w:val="000000"/>
          <w:kern w:val="2"/>
          <w:sz w:val="24"/>
          <w:szCs w:val="24"/>
          <w:lang w:eastAsia="pl-PL"/>
        </w:rPr>
        <w:tab/>
        <w:t xml:space="preserve">Wymagania techniczne dla farm wiatrowych obejmują następujące zagadnienia: </w:t>
      </w:r>
    </w:p>
    <w:p w14:paraId="3A4D2046" w14:textId="77777777" w:rsidR="00DE0FBF" w:rsidRPr="00DE0FBF" w:rsidRDefault="00DE0FBF">
      <w:pPr>
        <w:numPr>
          <w:ilvl w:val="0"/>
          <w:numId w:val="199"/>
        </w:numPr>
        <w:spacing w:after="0" w:line="269" w:lineRule="auto"/>
        <w:ind w:left="1701" w:right="4" w:hanging="283"/>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regulacja mocy czynnej, </w:t>
      </w:r>
    </w:p>
    <w:p w14:paraId="3BDBF253" w14:textId="77777777" w:rsidR="00DE0FBF" w:rsidRPr="00DE0FBF" w:rsidRDefault="00DE0FBF">
      <w:pPr>
        <w:numPr>
          <w:ilvl w:val="0"/>
          <w:numId w:val="199"/>
        </w:numPr>
        <w:spacing w:after="0" w:line="269" w:lineRule="auto"/>
        <w:ind w:left="1701" w:right="4" w:hanging="283"/>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praca w zależności od napięcia i częstotliwości, </w:t>
      </w:r>
    </w:p>
    <w:p w14:paraId="7FEC2C45" w14:textId="77777777" w:rsidR="00DE0FBF" w:rsidRPr="00DE0FBF" w:rsidRDefault="00DE0FBF">
      <w:pPr>
        <w:numPr>
          <w:ilvl w:val="0"/>
          <w:numId w:val="199"/>
        </w:numPr>
        <w:spacing w:after="0" w:line="269" w:lineRule="auto"/>
        <w:ind w:left="1701" w:right="4" w:hanging="283"/>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załączanie do pracy i wyłączanie z sieci, </w:t>
      </w:r>
    </w:p>
    <w:p w14:paraId="226B5645" w14:textId="77777777" w:rsidR="00DE0FBF" w:rsidRPr="00DE0FBF" w:rsidRDefault="00DE0FBF">
      <w:pPr>
        <w:numPr>
          <w:ilvl w:val="0"/>
          <w:numId w:val="199"/>
        </w:numPr>
        <w:spacing w:after="0" w:line="269" w:lineRule="auto"/>
        <w:ind w:left="1701" w:right="4" w:hanging="283"/>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regulacja napięcia i mocy biernej, </w:t>
      </w:r>
    </w:p>
    <w:p w14:paraId="0AD94AA5" w14:textId="77777777" w:rsidR="00DE0FBF" w:rsidRPr="00DE0FBF" w:rsidRDefault="00DE0FBF">
      <w:pPr>
        <w:numPr>
          <w:ilvl w:val="0"/>
          <w:numId w:val="199"/>
        </w:numPr>
        <w:spacing w:after="0" w:line="269" w:lineRule="auto"/>
        <w:ind w:left="1701" w:right="4" w:hanging="283"/>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wymagania dla pracy przy zakłóceniach w sieci, </w:t>
      </w:r>
    </w:p>
    <w:p w14:paraId="4D114A8C" w14:textId="77777777" w:rsidR="00DE0FBF" w:rsidRPr="00DE0FBF" w:rsidRDefault="00DE0FBF">
      <w:pPr>
        <w:numPr>
          <w:ilvl w:val="0"/>
          <w:numId w:val="199"/>
        </w:numPr>
        <w:spacing w:after="0" w:line="269" w:lineRule="auto"/>
        <w:ind w:left="1701" w:right="4" w:hanging="283"/>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dotrzymywanie standardów jakości energii elektrycznej, </w:t>
      </w:r>
    </w:p>
    <w:p w14:paraId="2B65B5F3" w14:textId="77777777" w:rsidR="00DE0FBF" w:rsidRPr="00DE0FBF" w:rsidRDefault="00DE0FBF">
      <w:pPr>
        <w:numPr>
          <w:ilvl w:val="0"/>
          <w:numId w:val="199"/>
        </w:numPr>
        <w:spacing w:after="0" w:line="269" w:lineRule="auto"/>
        <w:ind w:left="1701" w:right="4" w:hanging="283"/>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elektroenergetyczna automatyka zabezpieczeniowa, </w:t>
      </w:r>
    </w:p>
    <w:p w14:paraId="780203FD" w14:textId="77777777" w:rsidR="00DE0FBF" w:rsidRPr="00DE0FBF" w:rsidRDefault="00DE0FBF">
      <w:pPr>
        <w:numPr>
          <w:ilvl w:val="0"/>
          <w:numId w:val="199"/>
        </w:numPr>
        <w:spacing w:after="0" w:line="269" w:lineRule="auto"/>
        <w:ind w:left="1701" w:right="4" w:hanging="283"/>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systemy monitoringu i telekomunikacji, </w:t>
      </w:r>
    </w:p>
    <w:p w14:paraId="00600384" w14:textId="77777777" w:rsidR="00DE0FBF" w:rsidRPr="00DE0FBF" w:rsidRDefault="00DE0FBF">
      <w:pPr>
        <w:numPr>
          <w:ilvl w:val="0"/>
          <w:numId w:val="199"/>
        </w:numPr>
        <w:spacing w:after="135" w:line="269" w:lineRule="auto"/>
        <w:ind w:left="1701" w:right="4" w:hanging="283"/>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testy sprawdzające. </w:t>
      </w:r>
    </w:p>
    <w:p w14:paraId="7E738324" w14:textId="150EC9AE" w:rsidR="00DE0FBF" w:rsidRPr="00443B72" w:rsidRDefault="00DE0FBF">
      <w:pPr>
        <w:pStyle w:val="Akapitzlist"/>
        <w:numPr>
          <w:ilvl w:val="2"/>
          <w:numId w:val="220"/>
        </w:numPr>
        <w:spacing w:after="135" w:line="269" w:lineRule="auto"/>
        <w:ind w:left="1134" w:hanging="1134"/>
        <w:rPr>
          <w:rFonts w:ascii="Times New Roman" w:eastAsia="Times New Roman" w:hAnsi="Times New Roman" w:cs="Times New Roman"/>
          <w:color w:val="000000"/>
          <w:kern w:val="2"/>
          <w:sz w:val="24"/>
          <w:szCs w:val="24"/>
          <w:lang w:eastAsia="pl-PL"/>
        </w:rPr>
      </w:pPr>
      <w:r w:rsidRPr="00443B72">
        <w:rPr>
          <w:rFonts w:ascii="Times New Roman" w:eastAsia="Times New Roman" w:hAnsi="Times New Roman" w:cs="Times New Roman"/>
          <w:color w:val="000000"/>
          <w:kern w:val="2"/>
          <w:sz w:val="24"/>
          <w:szCs w:val="24"/>
          <w:lang w:eastAsia="pl-PL"/>
        </w:rPr>
        <w:t xml:space="preserve">Industria Dystrybucja Sp. z o.o. ma prawo do kontroli realizacji warunków przyłączenia i może zażądać udostępnienia przez wytwórcę dokumentacji stwierdzającej, że farma wiatrowa wypełnia wymagania określone w IRiESD oraz w warunkach przyłączenia do sieci. W szczególności dokumentacja ta powinna zawierać wyniki pomiarów konieczne dla oceny wpływu farmy wiatrowej na jakość energii elektrycznej oraz – dla farm przyłączanych do sieci 110 </w:t>
      </w:r>
      <w:proofErr w:type="spellStart"/>
      <w:r w:rsidRPr="00443B72">
        <w:rPr>
          <w:rFonts w:ascii="Times New Roman" w:eastAsia="Times New Roman" w:hAnsi="Times New Roman" w:cs="Times New Roman"/>
          <w:color w:val="000000"/>
          <w:kern w:val="2"/>
          <w:sz w:val="24"/>
          <w:szCs w:val="24"/>
          <w:lang w:eastAsia="pl-PL"/>
        </w:rPr>
        <w:t>kV</w:t>
      </w:r>
      <w:proofErr w:type="spellEnd"/>
      <w:r w:rsidRPr="00443B72">
        <w:rPr>
          <w:rFonts w:ascii="Times New Roman" w:eastAsia="Times New Roman" w:hAnsi="Times New Roman" w:cs="Times New Roman"/>
          <w:color w:val="000000"/>
          <w:kern w:val="2"/>
          <w:sz w:val="24"/>
          <w:szCs w:val="24"/>
          <w:lang w:eastAsia="pl-PL"/>
        </w:rPr>
        <w:t xml:space="preserve"> – symulacje komputerowe, na modelu systemu akceptowanym przez odpowiedniego Operatora sieci, pokazujące reakcję farmy wiatrowej na zakłócenia sieciowe. </w:t>
      </w:r>
      <w:r w:rsidR="00443B72" w:rsidRPr="00443B72">
        <w:rPr>
          <w:rFonts w:ascii="Times New Roman" w:eastAsia="Times New Roman" w:hAnsi="Times New Roman" w:cs="Times New Roman"/>
          <w:color w:val="000000"/>
          <w:kern w:val="2"/>
          <w:sz w:val="24"/>
          <w:szCs w:val="24"/>
          <w:lang w:eastAsia="pl-PL"/>
        </w:rPr>
        <w:tab/>
      </w:r>
    </w:p>
    <w:p w14:paraId="6F832426" w14:textId="77777777" w:rsidR="00443B72" w:rsidRPr="00443B72" w:rsidRDefault="00443B72" w:rsidP="00443B72">
      <w:pPr>
        <w:pStyle w:val="Akapitzlist"/>
        <w:spacing w:after="135" w:line="269" w:lineRule="auto"/>
        <w:ind w:left="1768"/>
        <w:rPr>
          <w:rFonts w:ascii="Times New Roman" w:eastAsia="Times New Roman" w:hAnsi="Times New Roman" w:cs="Times New Roman"/>
          <w:color w:val="000000"/>
          <w:kern w:val="2"/>
          <w:sz w:val="24"/>
          <w:szCs w:val="24"/>
          <w:lang w:eastAsia="pl-PL"/>
        </w:rPr>
      </w:pPr>
    </w:p>
    <w:p w14:paraId="307AF205" w14:textId="77777777" w:rsidR="00DE0FBF" w:rsidRPr="00DE0FBF" w:rsidRDefault="00DE0FBF" w:rsidP="00DE0FBF">
      <w:pPr>
        <w:spacing w:after="135" w:line="269" w:lineRule="auto"/>
        <w:ind w:left="1118" w:hanging="1061"/>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lastRenderedPageBreak/>
        <w:t xml:space="preserve">8.1.6. </w:t>
      </w:r>
      <w:r w:rsidRPr="00DE0FBF">
        <w:rPr>
          <w:rFonts w:ascii="Times New Roman" w:eastAsia="Times New Roman" w:hAnsi="Times New Roman" w:cs="Times New Roman"/>
          <w:color w:val="000000"/>
          <w:kern w:val="2"/>
          <w:sz w:val="24"/>
          <w:szCs w:val="24"/>
          <w:lang w:eastAsia="pl-PL"/>
        </w:rPr>
        <w:tab/>
        <w:t xml:space="preserve">W przypadku, gdy dwie lub więcej farm wiatrowych przyłączanych jest do szyn zbiorczych tej samej rozdzielni 110 </w:t>
      </w:r>
      <w:proofErr w:type="spellStart"/>
      <w:r w:rsidRPr="00DE0FBF">
        <w:rPr>
          <w:rFonts w:ascii="Times New Roman" w:eastAsia="Times New Roman" w:hAnsi="Times New Roman" w:cs="Times New Roman"/>
          <w:color w:val="000000"/>
          <w:kern w:val="2"/>
          <w:sz w:val="24"/>
          <w:szCs w:val="24"/>
          <w:lang w:eastAsia="pl-PL"/>
        </w:rPr>
        <w:t>kV</w:t>
      </w:r>
      <w:proofErr w:type="spellEnd"/>
      <w:r w:rsidRPr="00DE0FBF">
        <w:rPr>
          <w:rFonts w:ascii="Times New Roman" w:eastAsia="Times New Roman" w:hAnsi="Times New Roman" w:cs="Times New Roman"/>
          <w:color w:val="000000"/>
          <w:kern w:val="2"/>
          <w:sz w:val="24"/>
          <w:szCs w:val="24"/>
          <w:lang w:eastAsia="pl-PL"/>
        </w:rPr>
        <w:t xml:space="preserve"> przez wydzielone transformatory 110 </w:t>
      </w:r>
      <w:proofErr w:type="spellStart"/>
      <w:r w:rsidRPr="00DE0FBF">
        <w:rPr>
          <w:rFonts w:ascii="Times New Roman" w:eastAsia="Times New Roman" w:hAnsi="Times New Roman" w:cs="Times New Roman"/>
          <w:color w:val="000000"/>
          <w:kern w:val="2"/>
          <w:sz w:val="24"/>
          <w:szCs w:val="24"/>
          <w:lang w:eastAsia="pl-PL"/>
        </w:rPr>
        <w:t>kV</w:t>
      </w:r>
      <w:proofErr w:type="spellEnd"/>
      <w:r w:rsidRPr="00DE0FBF">
        <w:rPr>
          <w:rFonts w:ascii="Times New Roman" w:eastAsia="Times New Roman" w:hAnsi="Times New Roman" w:cs="Times New Roman"/>
          <w:color w:val="000000"/>
          <w:kern w:val="2"/>
          <w:sz w:val="24"/>
          <w:szCs w:val="24"/>
          <w:lang w:eastAsia="pl-PL"/>
        </w:rPr>
        <w:t xml:space="preserve">/SN, należy traktować te farmy jako pojedynczą farmę wiatrową </w:t>
      </w:r>
      <w:r w:rsidRPr="00DE0FBF">
        <w:rPr>
          <w:rFonts w:ascii="Times New Roman" w:eastAsia="Times New Roman" w:hAnsi="Times New Roman" w:cs="Times New Roman"/>
          <w:color w:val="000000"/>
          <w:kern w:val="2"/>
          <w:sz w:val="23"/>
          <w:szCs w:val="24"/>
          <w:lang w:eastAsia="pl-PL"/>
        </w:rPr>
        <w:t>z miejscem</w:t>
      </w:r>
      <w:r w:rsidRPr="00DE0FBF">
        <w:rPr>
          <w:rFonts w:ascii="Times New Roman" w:eastAsia="Times New Roman" w:hAnsi="Times New Roman" w:cs="Times New Roman"/>
          <w:color w:val="000000"/>
          <w:kern w:val="2"/>
          <w:sz w:val="24"/>
          <w:szCs w:val="24"/>
          <w:lang w:eastAsia="pl-PL"/>
        </w:rPr>
        <w:t xml:space="preserve"> przyłączenia na napięciu 110 </w:t>
      </w:r>
      <w:proofErr w:type="spellStart"/>
      <w:r w:rsidRPr="00DE0FBF">
        <w:rPr>
          <w:rFonts w:ascii="Times New Roman" w:eastAsia="Times New Roman" w:hAnsi="Times New Roman" w:cs="Times New Roman"/>
          <w:color w:val="000000"/>
          <w:kern w:val="2"/>
          <w:sz w:val="24"/>
          <w:szCs w:val="24"/>
          <w:lang w:eastAsia="pl-PL"/>
        </w:rPr>
        <w:t>kV</w:t>
      </w:r>
      <w:proofErr w:type="spellEnd"/>
      <w:r w:rsidRPr="00DE0FBF">
        <w:rPr>
          <w:rFonts w:ascii="Times New Roman" w:eastAsia="Times New Roman" w:hAnsi="Times New Roman" w:cs="Times New Roman"/>
          <w:color w:val="000000"/>
          <w:kern w:val="2"/>
          <w:sz w:val="24"/>
          <w:szCs w:val="24"/>
          <w:lang w:eastAsia="pl-PL"/>
        </w:rPr>
        <w:t xml:space="preserve"> z punktu widzenia wymogów niniejszej IRiESD. </w:t>
      </w:r>
    </w:p>
    <w:p w14:paraId="77A367EE" w14:textId="77777777" w:rsidR="00DE0FBF" w:rsidRPr="00DE0FBF" w:rsidRDefault="00DE0FBF" w:rsidP="00DE0FBF">
      <w:pPr>
        <w:spacing w:after="135" w:line="269" w:lineRule="auto"/>
        <w:ind w:left="1118" w:hanging="1061"/>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8.1.7. </w:t>
      </w:r>
      <w:r w:rsidRPr="00DE0FBF">
        <w:rPr>
          <w:rFonts w:ascii="Times New Roman" w:eastAsia="Times New Roman" w:hAnsi="Times New Roman" w:cs="Times New Roman"/>
          <w:color w:val="000000"/>
          <w:kern w:val="2"/>
          <w:sz w:val="24"/>
          <w:szCs w:val="24"/>
          <w:lang w:eastAsia="pl-PL"/>
        </w:rPr>
        <w:tab/>
        <w:t xml:space="preserve">Farmy wiatrowe przyłączane do sieci dystrybucyjnej powinny być wyposażone w urządzenia umożliwiające bezpieczną współpracę z systemem elektroenergetycznym w różnych możliwych sytuacjach ruchowych. </w:t>
      </w:r>
    </w:p>
    <w:p w14:paraId="52D7058E" w14:textId="77777777" w:rsidR="00DE0FBF" w:rsidRPr="00DE0FBF" w:rsidRDefault="00DE0FBF" w:rsidP="00DE0FBF">
      <w:pPr>
        <w:tabs>
          <w:tab w:val="center" w:pos="1766"/>
          <w:tab w:val="center" w:pos="3208"/>
          <w:tab w:val="center" w:pos="4164"/>
          <w:tab w:val="center" w:pos="4880"/>
          <w:tab w:val="center" w:pos="5737"/>
          <w:tab w:val="center" w:pos="6757"/>
          <w:tab w:val="center" w:pos="7593"/>
          <w:tab w:val="center" w:pos="8408"/>
          <w:tab w:val="right" w:pos="9648"/>
        </w:tabs>
        <w:spacing w:after="20" w:line="269" w:lineRule="auto"/>
        <w:jc w:val="left"/>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8.1.8. </w:t>
      </w:r>
      <w:r w:rsidRPr="00DE0FBF">
        <w:rPr>
          <w:rFonts w:ascii="Times New Roman" w:eastAsia="Times New Roman" w:hAnsi="Times New Roman" w:cs="Times New Roman"/>
          <w:color w:val="000000"/>
          <w:kern w:val="2"/>
          <w:sz w:val="24"/>
          <w:szCs w:val="24"/>
          <w:lang w:eastAsia="pl-PL"/>
        </w:rPr>
        <w:tab/>
        <w:t xml:space="preserve">Szczegółowe </w:t>
      </w:r>
      <w:r w:rsidRPr="00DE0FBF">
        <w:rPr>
          <w:rFonts w:ascii="Times New Roman" w:eastAsia="Times New Roman" w:hAnsi="Times New Roman" w:cs="Times New Roman"/>
          <w:color w:val="000000"/>
          <w:kern w:val="2"/>
          <w:sz w:val="24"/>
          <w:szCs w:val="24"/>
          <w:lang w:eastAsia="pl-PL"/>
        </w:rPr>
        <w:tab/>
        <w:t xml:space="preserve">wymagania </w:t>
      </w:r>
      <w:r w:rsidRPr="00DE0FBF">
        <w:rPr>
          <w:rFonts w:ascii="Times New Roman" w:eastAsia="Times New Roman" w:hAnsi="Times New Roman" w:cs="Times New Roman"/>
          <w:color w:val="000000"/>
          <w:kern w:val="2"/>
          <w:sz w:val="24"/>
          <w:szCs w:val="24"/>
          <w:lang w:eastAsia="pl-PL"/>
        </w:rPr>
        <w:tab/>
        <w:t xml:space="preserve">dla </w:t>
      </w:r>
      <w:r w:rsidRPr="00DE0FBF">
        <w:rPr>
          <w:rFonts w:ascii="Times New Roman" w:eastAsia="Times New Roman" w:hAnsi="Times New Roman" w:cs="Times New Roman"/>
          <w:color w:val="000000"/>
          <w:kern w:val="2"/>
          <w:sz w:val="24"/>
          <w:szCs w:val="24"/>
          <w:lang w:eastAsia="pl-PL"/>
        </w:rPr>
        <w:tab/>
        <w:t xml:space="preserve">każdej </w:t>
      </w:r>
      <w:r w:rsidRPr="00DE0FBF">
        <w:rPr>
          <w:rFonts w:ascii="Times New Roman" w:eastAsia="Times New Roman" w:hAnsi="Times New Roman" w:cs="Times New Roman"/>
          <w:color w:val="000000"/>
          <w:kern w:val="2"/>
          <w:sz w:val="24"/>
          <w:szCs w:val="24"/>
          <w:lang w:eastAsia="pl-PL"/>
        </w:rPr>
        <w:tab/>
        <w:t xml:space="preserve">farmy </w:t>
      </w:r>
      <w:r w:rsidRPr="00DE0FBF">
        <w:rPr>
          <w:rFonts w:ascii="Times New Roman" w:eastAsia="Times New Roman" w:hAnsi="Times New Roman" w:cs="Times New Roman"/>
          <w:color w:val="000000"/>
          <w:kern w:val="2"/>
          <w:sz w:val="24"/>
          <w:szCs w:val="24"/>
          <w:lang w:eastAsia="pl-PL"/>
        </w:rPr>
        <w:tab/>
        <w:t xml:space="preserve">wiatrowej </w:t>
      </w:r>
      <w:r w:rsidRPr="00DE0FBF">
        <w:rPr>
          <w:rFonts w:ascii="Times New Roman" w:eastAsia="Times New Roman" w:hAnsi="Times New Roman" w:cs="Times New Roman"/>
          <w:color w:val="000000"/>
          <w:kern w:val="2"/>
          <w:sz w:val="24"/>
          <w:szCs w:val="24"/>
          <w:lang w:eastAsia="pl-PL"/>
        </w:rPr>
        <w:tab/>
        <w:t xml:space="preserve">są </w:t>
      </w:r>
      <w:r w:rsidRPr="00DE0FBF">
        <w:rPr>
          <w:rFonts w:ascii="Times New Roman" w:eastAsia="Times New Roman" w:hAnsi="Times New Roman" w:cs="Times New Roman"/>
          <w:color w:val="000000"/>
          <w:kern w:val="2"/>
          <w:sz w:val="24"/>
          <w:szCs w:val="24"/>
          <w:lang w:eastAsia="pl-PL"/>
        </w:rPr>
        <w:tab/>
        <w:t xml:space="preserve">określane </w:t>
      </w:r>
      <w:r w:rsidRPr="00DE0FBF">
        <w:rPr>
          <w:rFonts w:ascii="Times New Roman" w:eastAsia="Times New Roman" w:hAnsi="Times New Roman" w:cs="Times New Roman"/>
          <w:color w:val="000000"/>
          <w:kern w:val="2"/>
          <w:sz w:val="24"/>
          <w:szCs w:val="24"/>
          <w:lang w:eastAsia="pl-PL"/>
        </w:rPr>
        <w:tab/>
        <w:t xml:space="preserve">przez </w:t>
      </w:r>
    </w:p>
    <w:p w14:paraId="1DFCE83D" w14:textId="77777777" w:rsidR="00DE0FBF" w:rsidRPr="00DE0FBF" w:rsidRDefault="00DE0FBF" w:rsidP="00DE0FBF">
      <w:pPr>
        <w:spacing w:after="135" w:line="269" w:lineRule="auto"/>
        <w:ind w:left="1143" w:hanging="10"/>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Industria Dystrybucja Sp. z o.o. w warunkach przyłączenia do sieci, w zależności od mocy farmy wiatrowej, jej lokalizacji w sieci, sytuacji w systemie elektroenergetycznym i wyników ekspertyzy wpływu przyłączanej farmy wiatrowej na system elektroenergetyczny. </w:t>
      </w:r>
    </w:p>
    <w:p w14:paraId="0A6622DD" w14:textId="77777777" w:rsidR="00DE0FBF" w:rsidRPr="00DE0FBF" w:rsidRDefault="00DE0FBF" w:rsidP="00DE0FBF">
      <w:pPr>
        <w:spacing w:after="135" w:line="269" w:lineRule="auto"/>
        <w:ind w:left="1118" w:hanging="1061"/>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8.1.9. </w:t>
      </w:r>
      <w:r w:rsidRPr="00DE0FBF">
        <w:rPr>
          <w:rFonts w:ascii="Times New Roman" w:eastAsia="Times New Roman" w:hAnsi="Times New Roman" w:cs="Times New Roman"/>
          <w:color w:val="000000"/>
          <w:kern w:val="2"/>
          <w:sz w:val="24"/>
          <w:szCs w:val="24"/>
          <w:lang w:eastAsia="pl-PL"/>
        </w:rPr>
        <w:tab/>
        <w:t xml:space="preserve">Industria Dystrybucja Sp. z o.o. może w warunkach przyłączenia określić dla farmy wiatrowej wymóg przystosowania farmy do automatycznej regulacji mocy i zażądać, aby regulacja mocy farmy wiatrowej była dostosowana do automatycznej regulacji zdalnej. </w:t>
      </w:r>
    </w:p>
    <w:p w14:paraId="34CF8427" w14:textId="4E5C8467" w:rsidR="00DE0FBF" w:rsidRPr="00DE0FBF" w:rsidRDefault="00DE0FBF" w:rsidP="00443B72">
      <w:pPr>
        <w:spacing w:after="115" w:line="269" w:lineRule="auto"/>
        <w:ind w:left="1118" w:hanging="1061"/>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8.1.10. </w:t>
      </w:r>
      <w:r w:rsidRPr="00DE0FBF">
        <w:rPr>
          <w:rFonts w:ascii="Times New Roman" w:eastAsia="Times New Roman" w:hAnsi="Times New Roman" w:cs="Times New Roman"/>
          <w:color w:val="000000"/>
          <w:kern w:val="2"/>
          <w:sz w:val="24"/>
          <w:szCs w:val="24"/>
          <w:lang w:eastAsia="pl-PL"/>
        </w:rPr>
        <w:tab/>
        <w:t xml:space="preserve">Farma wiatrowa w przypadku niedotrzymania standardów jakości energii określonych w niniejszym załączniku, może zostać wyłączona na polecenie Operatora systemu, do czasu usunięcia nieprawidłowości. </w:t>
      </w:r>
    </w:p>
    <w:p w14:paraId="180DAA81" w14:textId="2057F0F5" w:rsidR="00DE0FBF" w:rsidRPr="00DE0FBF" w:rsidRDefault="00C926A8" w:rsidP="00443B72">
      <w:pPr>
        <w:keepNext/>
        <w:keepLines/>
        <w:numPr>
          <w:ilvl w:val="1"/>
          <w:numId w:val="0"/>
        </w:numPr>
        <w:spacing w:before="240" w:after="155" w:line="249" w:lineRule="auto"/>
        <w:ind w:left="1118" w:hanging="1061"/>
        <w:jc w:val="left"/>
        <w:outlineLvl w:val="1"/>
        <w:rPr>
          <w:rFonts w:ascii="Times New Roman" w:eastAsia="Times New Roman" w:hAnsi="Times New Roman" w:cs="Times New Roman"/>
          <w:b/>
          <w:color w:val="000000"/>
          <w:kern w:val="2"/>
          <w:sz w:val="24"/>
          <w:szCs w:val="24"/>
          <w:lang w:eastAsia="pl-PL"/>
        </w:rPr>
      </w:pPr>
      <w:r>
        <w:rPr>
          <w:rFonts w:ascii="Times New Roman" w:eastAsia="Times New Roman" w:hAnsi="Times New Roman" w:cs="Times New Roman"/>
          <w:b/>
          <w:color w:val="000000"/>
          <w:kern w:val="2"/>
          <w:sz w:val="24"/>
          <w:szCs w:val="24"/>
          <w:lang w:eastAsia="pl-PL"/>
        </w:rPr>
        <w:t>8.2</w:t>
      </w:r>
      <w:r w:rsidR="00443B72">
        <w:rPr>
          <w:rFonts w:ascii="Times New Roman" w:eastAsia="Times New Roman" w:hAnsi="Times New Roman" w:cs="Times New Roman"/>
          <w:b/>
          <w:color w:val="000000"/>
          <w:kern w:val="2"/>
          <w:sz w:val="24"/>
          <w:szCs w:val="24"/>
          <w:lang w:eastAsia="pl-PL"/>
        </w:rPr>
        <w:t>.</w:t>
      </w:r>
      <w:r>
        <w:rPr>
          <w:rFonts w:ascii="Times New Roman" w:eastAsia="Times New Roman" w:hAnsi="Times New Roman" w:cs="Times New Roman"/>
          <w:b/>
          <w:color w:val="000000"/>
          <w:kern w:val="2"/>
          <w:sz w:val="24"/>
          <w:szCs w:val="24"/>
          <w:lang w:eastAsia="pl-PL"/>
        </w:rPr>
        <w:t xml:space="preserve"> </w:t>
      </w:r>
      <w:r>
        <w:rPr>
          <w:rFonts w:ascii="Times New Roman" w:eastAsia="Times New Roman" w:hAnsi="Times New Roman" w:cs="Times New Roman"/>
          <w:b/>
          <w:color w:val="000000"/>
          <w:kern w:val="2"/>
          <w:sz w:val="24"/>
          <w:szCs w:val="24"/>
          <w:lang w:eastAsia="pl-PL"/>
        </w:rPr>
        <w:tab/>
      </w:r>
      <w:r w:rsidR="00DE0FBF" w:rsidRPr="00DE0FBF">
        <w:rPr>
          <w:rFonts w:ascii="Times New Roman" w:eastAsia="Times New Roman" w:hAnsi="Times New Roman" w:cs="Times New Roman"/>
          <w:b/>
          <w:color w:val="000000"/>
          <w:kern w:val="2"/>
          <w:sz w:val="24"/>
          <w:szCs w:val="24"/>
          <w:lang w:eastAsia="pl-PL"/>
        </w:rPr>
        <w:t>Regulacja mocy czynnej farmy wiatrowej</w:t>
      </w:r>
      <w:r w:rsidR="00DE0FBF" w:rsidRPr="00DE0FBF">
        <w:rPr>
          <w:rFonts w:ascii="Times New Roman" w:eastAsia="Times New Roman" w:hAnsi="Times New Roman" w:cs="Times New Roman"/>
          <w:color w:val="000000"/>
          <w:kern w:val="2"/>
          <w:sz w:val="24"/>
          <w:szCs w:val="24"/>
          <w:lang w:eastAsia="pl-PL"/>
        </w:rPr>
        <w:t xml:space="preserve"> </w:t>
      </w:r>
    </w:p>
    <w:p w14:paraId="5F52E4A3" w14:textId="77777777" w:rsidR="00DE0FBF" w:rsidRPr="00DE0FBF" w:rsidRDefault="00DE0FBF" w:rsidP="00DE0FBF">
      <w:pPr>
        <w:spacing w:after="72" w:line="269" w:lineRule="auto"/>
        <w:ind w:left="1118" w:hanging="1061"/>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8.2.1. </w:t>
      </w:r>
      <w:r w:rsidRPr="00DE0FBF">
        <w:rPr>
          <w:rFonts w:ascii="Times New Roman" w:eastAsia="Times New Roman" w:hAnsi="Times New Roman" w:cs="Times New Roman"/>
          <w:color w:val="000000"/>
          <w:kern w:val="2"/>
          <w:sz w:val="24"/>
          <w:szCs w:val="24"/>
          <w:lang w:eastAsia="pl-PL"/>
        </w:rPr>
        <w:tab/>
        <w:t xml:space="preserve">Farma wiatrowa przyłączona do sieci 110 </w:t>
      </w:r>
      <w:proofErr w:type="spellStart"/>
      <w:r w:rsidRPr="00DE0FBF">
        <w:rPr>
          <w:rFonts w:ascii="Times New Roman" w:eastAsia="Times New Roman" w:hAnsi="Times New Roman" w:cs="Times New Roman"/>
          <w:color w:val="000000"/>
          <w:kern w:val="2"/>
          <w:sz w:val="24"/>
          <w:szCs w:val="24"/>
          <w:lang w:eastAsia="pl-PL"/>
        </w:rPr>
        <w:t>kV</w:t>
      </w:r>
      <w:proofErr w:type="spellEnd"/>
      <w:r w:rsidRPr="00DE0FBF">
        <w:rPr>
          <w:rFonts w:ascii="Times New Roman" w:eastAsia="Times New Roman" w:hAnsi="Times New Roman" w:cs="Times New Roman"/>
          <w:color w:val="000000"/>
          <w:kern w:val="2"/>
          <w:sz w:val="24"/>
          <w:szCs w:val="24"/>
          <w:lang w:eastAsia="pl-PL"/>
        </w:rPr>
        <w:t xml:space="preserve">, powinna być wyposażona w system sterowania i regulacji mocy, umożliwiający pracę w następujących reżimach: </w:t>
      </w:r>
    </w:p>
    <w:p w14:paraId="0A1A2FE3" w14:textId="77777777" w:rsidR="00DE0FBF" w:rsidRPr="00DE0FBF" w:rsidRDefault="00DE0FBF">
      <w:pPr>
        <w:numPr>
          <w:ilvl w:val="0"/>
          <w:numId w:val="200"/>
        </w:numPr>
        <w:spacing w:after="0" w:line="269" w:lineRule="auto"/>
        <w:ind w:left="1560" w:right="4" w:hanging="284"/>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praca bez ograniczeń, odpowiednio do warunków wiatrowych, </w:t>
      </w:r>
    </w:p>
    <w:p w14:paraId="29ABD5CF" w14:textId="77777777" w:rsidR="00DE0FBF" w:rsidRPr="00DE0FBF" w:rsidRDefault="00DE0FBF">
      <w:pPr>
        <w:numPr>
          <w:ilvl w:val="0"/>
          <w:numId w:val="200"/>
        </w:numPr>
        <w:spacing w:after="0" w:line="269" w:lineRule="auto"/>
        <w:ind w:left="1560" w:right="4" w:hanging="284"/>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praca interwencyjna według wymagań odpowiedniego Operatora systemu, w sytuacjach zakłóceń i zagrożeń w pracy systemu elektroenergetycznego, </w:t>
      </w:r>
    </w:p>
    <w:p w14:paraId="40361E78" w14:textId="77777777" w:rsidR="00DE0FBF" w:rsidRPr="00DE0FBF" w:rsidRDefault="00DE0FBF">
      <w:pPr>
        <w:numPr>
          <w:ilvl w:val="0"/>
          <w:numId w:val="200"/>
        </w:numPr>
        <w:spacing w:after="0" w:line="259" w:lineRule="auto"/>
        <w:ind w:left="1560" w:right="4" w:hanging="284"/>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udział w regulacji częstotliwości (dotyczy farm wiatrowych o mocy znamionowej </w:t>
      </w:r>
    </w:p>
    <w:p w14:paraId="773BCB3D" w14:textId="77777777" w:rsidR="00DE0FBF" w:rsidRPr="00DE0FBF" w:rsidRDefault="00DE0FBF" w:rsidP="00443B72">
      <w:pPr>
        <w:spacing w:after="0" w:line="269" w:lineRule="auto"/>
        <w:ind w:left="1560"/>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50 MW i większej), </w:t>
      </w:r>
    </w:p>
    <w:p w14:paraId="4BF0E7B5" w14:textId="77777777" w:rsidR="00DE0FBF" w:rsidRPr="00DE0FBF" w:rsidRDefault="00DE0FBF">
      <w:pPr>
        <w:numPr>
          <w:ilvl w:val="0"/>
          <w:numId w:val="200"/>
        </w:numPr>
        <w:spacing w:after="135" w:line="269" w:lineRule="auto"/>
        <w:ind w:left="1560" w:right="4" w:hanging="284"/>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z ograniczeniami mocy generowanej do wielkości określonej w ekspertyzie lub umowie. </w:t>
      </w:r>
    </w:p>
    <w:p w14:paraId="73F5F107" w14:textId="77777777" w:rsidR="00DE0FBF" w:rsidRPr="00DE0FBF" w:rsidRDefault="00DE0FBF" w:rsidP="00DE0FBF">
      <w:pPr>
        <w:spacing w:after="128" w:line="272" w:lineRule="auto"/>
        <w:ind w:left="1128" w:hanging="1071"/>
        <w:jc w:val="left"/>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8.2.2. </w:t>
      </w:r>
      <w:r w:rsidRPr="00DE0FBF">
        <w:rPr>
          <w:rFonts w:ascii="Times New Roman" w:eastAsia="Times New Roman" w:hAnsi="Times New Roman" w:cs="Times New Roman"/>
          <w:color w:val="000000"/>
          <w:kern w:val="2"/>
          <w:sz w:val="24"/>
          <w:szCs w:val="24"/>
          <w:lang w:eastAsia="pl-PL"/>
        </w:rPr>
        <w:tab/>
        <w:t xml:space="preserve">W normalnych warunkach pracy systemu i farmy wiatrowej, moc czynna wprowadzana do sieci przez farmę wiatrową nie może przekraczać limitu mocy (z dokładnością ± 5%) przydzielonego operatywnie przez odpowiedniego Operatora systemu i mocy przyłączeniowej określonej w umowie o przyłączenie. </w:t>
      </w:r>
    </w:p>
    <w:p w14:paraId="3D2C976C" w14:textId="77777777" w:rsidR="00DE0FBF" w:rsidRPr="00DE0FBF" w:rsidRDefault="00DE0FBF" w:rsidP="00DE0FBF">
      <w:pPr>
        <w:spacing w:after="135" w:line="269" w:lineRule="auto"/>
        <w:ind w:left="1118" w:hanging="1061"/>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8.2.3. </w:t>
      </w:r>
      <w:r w:rsidRPr="00DE0FBF">
        <w:rPr>
          <w:rFonts w:ascii="Times New Roman" w:eastAsia="Times New Roman" w:hAnsi="Times New Roman" w:cs="Times New Roman"/>
          <w:color w:val="000000"/>
          <w:kern w:val="2"/>
          <w:sz w:val="24"/>
          <w:szCs w:val="24"/>
          <w:lang w:eastAsia="pl-PL"/>
        </w:rPr>
        <w:tab/>
        <w:t xml:space="preserve">W normalnych warunkach pracy farmy wiatrowej przyłączanej do sieci 110 </w:t>
      </w:r>
      <w:proofErr w:type="spellStart"/>
      <w:r w:rsidRPr="00DE0FBF">
        <w:rPr>
          <w:rFonts w:ascii="Times New Roman" w:eastAsia="Times New Roman" w:hAnsi="Times New Roman" w:cs="Times New Roman"/>
          <w:color w:val="000000"/>
          <w:kern w:val="2"/>
          <w:sz w:val="24"/>
          <w:szCs w:val="24"/>
          <w:lang w:eastAsia="pl-PL"/>
        </w:rPr>
        <w:t>kV</w:t>
      </w:r>
      <w:proofErr w:type="spellEnd"/>
      <w:r w:rsidRPr="00DE0FBF">
        <w:rPr>
          <w:rFonts w:ascii="Times New Roman" w:eastAsia="Times New Roman" w:hAnsi="Times New Roman" w:cs="Times New Roman"/>
          <w:color w:val="000000"/>
          <w:kern w:val="2"/>
          <w:sz w:val="24"/>
          <w:szCs w:val="24"/>
          <w:lang w:eastAsia="pl-PL"/>
        </w:rPr>
        <w:t xml:space="preserve"> i SN, w tym również podczas normalnych uruchomień i </w:t>
      </w:r>
      <w:proofErr w:type="spellStart"/>
      <w:r w:rsidRPr="00DE0FBF">
        <w:rPr>
          <w:rFonts w:ascii="Times New Roman" w:eastAsia="Times New Roman" w:hAnsi="Times New Roman" w:cs="Times New Roman"/>
          <w:color w:val="000000"/>
          <w:kern w:val="2"/>
          <w:sz w:val="24"/>
          <w:szCs w:val="24"/>
          <w:lang w:eastAsia="pl-PL"/>
        </w:rPr>
        <w:t>odstawień</w:t>
      </w:r>
      <w:proofErr w:type="spellEnd"/>
      <w:r w:rsidRPr="00DE0FBF">
        <w:rPr>
          <w:rFonts w:ascii="Times New Roman" w:eastAsia="Times New Roman" w:hAnsi="Times New Roman" w:cs="Times New Roman"/>
          <w:color w:val="000000"/>
          <w:kern w:val="2"/>
          <w:sz w:val="24"/>
          <w:szCs w:val="24"/>
          <w:lang w:eastAsia="pl-PL"/>
        </w:rPr>
        <w:t xml:space="preserve">, gradient średni zmiany mocy czynnej farmy wiatrowej za okres 15 minut nie może przekraczać 10% mocy znamionowej farmy wiatrowej na minutę. Gradient średni w okresie 1 minuty nie powinien przekraczać 30% mocy znamionowej na minutę. </w:t>
      </w:r>
    </w:p>
    <w:p w14:paraId="72B9EA11" w14:textId="77777777" w:rsidR="00DE0FBF" w:rsidRPr="00DE0FBF" w:rsidRDefault="00DE0FBF" w:rsidP="00DE0FBF">
      <w:pPr>
        <w:spacing w:after="135" w:line="269" w:lineRule="auto"/>
        <w:ind w:left="1118" w:hanging="1061"/>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lastRenderedPageBreak/>
        <w:t xml:space="preserve">8.2.4. </w:t>
      </w:r>
      <w:r w:rsidRPr="00DE0FBF">
        <w:rPr>
          <w:rFonts w:ascii="Times New Roman" w:eastAsia="Times New Roman" w:hAnsi="Times New Roman" w:cs="Times New Roman"/>
          <w:color w:val="000000"/>
          <w:kern w:val="2"/>
          <w:sz w:val="24"/>
          <w:szCs w:val="24"/>
          <w:lang w:eastAsia="pl-PL"/>
        </w:rPr>
        <w:tab/>
        <w:t xml:space="preserve">W sytuacjach zakłóceniowych w systemie elektroenergetycznym, wyżej określony gradient zmian obciążenia może być przekroczony przez farmy wiatrowe uczestniczące w regulacji częstotliwości lub w sytuacji, gdy Industria Dystrybucja Sp. z o.o. poleci szybkie odciążenie lub, jeśli jest to technicznie możliwe, dociążenie farmy wiatrowej. </w:t>
      </w:r>
    </w:p>
    <w:p w14:paraId="6155743A" w14:textId="77777777" w:rsidR="00DE0FBF" w:rsidRPr="00DE0FBF" w:rsidRDefault="00DE0FBF" w:rsidP="00DE0FBF">
      <w:pPr>
        <w:spacing w:after="135" w:line="269" w:lineRule="auto"/>
        <w:ind w:left="1118" w:hanging="1061"/>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8.2.5. </w:t>
      </w:r>
      <w:r w:rsidRPr="00DE0FBF">
        <w:rPr>
          <w:rFonts w:ascii="Times New Roman" w:eastAsia="Times New Roman" w:hAnsi="Times New Roman" w:cs="Times New Roman"/>
          <w:color w:val="000000"/>
          <w:kern w:val="2"/>
          <w:sz w:val="24"/>
          <w:szCs w:val="24"/>
          <w:lang w:eastAsia="pl-PL"/>
        </w:rPr>
        <w:tab/>
        <w:t xml:space="preserve">Układ regulacji mocy poszczególnych jednostek wytwórczych, powinien zapewnić zmniejszenie mocy do co najmniej 20% mocy znamionowej w czasie mniejszym od 2 s. </w:t>
      </w:r>
    </w:p>
    <w:p w14:paraId="2658BE32" w14:textId="77777777" w:rsidR="00DE0FBF" w:rsidRPr="00DE0FBF" w:rsidRDefault="00DE0FBF" w:rsidP="00DE0FBF">
      <w:pPr>
        <w:spacing w:after="0" w:line="269" w:lineRule="auto"/>
        <w:ind w:left="1118" w:hanging="1061"/>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8.2.6. </w:t>
      </w:r>
      <w:r w:rsidRPr="00DE0FBF">
        <w:rPr>
          <w:rFonts w:ascii="Times New Roman" w:eastAsia="Times New Roman" w:hAnsi="Times New Roman" w:cs="Times New Roman"/>
          <w:color w:val="000000"/>
          <w:kern w:val="2"/>
          <w:sz w:val="24"/>
          <w:szCs w:val="24"/>
          <w:lang w:eastAsia="pl-PL"/>
        </w:rPr>
        <w:tab/>
        <w:t xml:space="preserve">Operator systemu ma prawo ograniczyć czasowo moc farmy wiatrowej przyłączonej do sieci 110 </w:t>
      </w:r>
      <w:proofErr w:type="spellStart"/>
      <w:r w:rsidRPr="00DE0FBF">
        <w:rPr>
          <w:rFonts w:ascii="Times New Roman" w:eastAsia="Times New Roman" w:hAnsi="Times New Roman" w:cs="Times New Roman"/>
          <w:color w:val="000000"/>
          <w:kern w:val="2"/>
          <w:sz w:val="24"/>
          <w:szCs w:val="24"/>
          <w:lang w:eastAsia="pl-PL"/>
        </w:rPr>
        <w:t>kV</w:t>
      </w:r>
      <w:proofErr w:type="spellEnd"/>
      <w:r w:rsidRPr="00DE0FBF">
        <w:rPr>
          <w:rFonts w:ascii="Times New Roman" w:eastAsia="Times New Roman" w:hAnsi="Times New Roman" w:cs="Times New Roman"/>
          <w:color w:val="000000"/>
          <w:kern w:val="2"/>
          <w:sz w:val="24"/>
          <w:szCs w:val="24"/>
          <w:lang w:eastAsia="pl-PL"/>
        </w:rPr>
        <w:t xml:space="preserve">, do wartości nie mniejszej niż 5% mocy znamionowej farmy wiatrowej. Ograniczenie mocy może być zadawane przez sygnał zewnętrzny w MW lub % aktualnej mocy farmy wiatrowej, lub też w postaci zależności od częstotliwości i/lub napięcia sieci. Algorytm regulacji mocy czynnej farmy wiatrowej musi być dostosowany do realizacji tego wymagania. Szybkość zmniejszania mocy w celu osiągnięcia zadanej wartości powinna wynosić co najmniej 10% mocy znamionowej farmy wiatrowej na </w:t>
      </w:r>
      <w:r w:rsidRPr="00DE0FBF">
        <w:rPr>
          <w:rFonts w:ascii="Times New Roman" w:eastAsia="Times New Roman" w:hAnsi="Times New Roman" w:cs="Times New Roman"/>
          <w:color w:val="000000"/>
          <w:kern w:val="2"/>
          <w:sz w:val="23"/>
          <w:szCs w:val="24"/>
          <w:lang w:eastAsia="pl-PL"/>
        </w:rPr>
        <w:t>minutę.</w:t>
      </w:r>
      <w:r w:rsidRPr="00DE0FBF">
        <w:rPr>
          <w:rFonts w:ascii="Times New Roman" w:eastAsia="Times New Roman" w:hAnsi="Times New Roman" w:cs="Times New Roman"/>
          <w:color w:val="000000"/>
          <w:kern w:val="2"/>
          <w:sz w:val="24"/>
          <w:szCs w:val="24"/>
          <w:lang w:eastAsia="pl-PL"/>
        </w:rPr>
        <w:t xml:space="preserve"> </w:t>
      </w:r>
    </w:p>
    <w:p w14:paraId="358557EF" w14:textId="77777777" w:rsidR="00DE0FBF" w:rsidRPr="00DE0FBF" w:rsidRDefault="00DE0FBF" w:rsidP="00DE0FBF">
      <w:pPr>
        <w:spacing w:before="240" w:after="135" w:line="269" w:lineRule="auto"/>
        <w:ind w:left="1118" w:hanging="1061"/>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8.2.7. </w:t>
      </w:r>
      <w:r w:rsidRPr="00DE0FBF">
        <w:rPr>
          <w:rFonts w:ascii="Times New Roman" w:eastAsia="Times New Roman" w:hAnsi="Times New Roman" w:cs="Times New Roman"/>
          <w:color w:val="000000"/>
          <w:kern w:val="2"/>
          <w:sz w:val="24"/>
          <w:szCs w:val="24"/>
          <w:lang w:eastAsia="pl-PL"/>
        </w:rPr>
        <w:tab/>
        <w:t xml:space="preserve">Industria Dystrybucja Sp. z o.o. z co najmniej pięciodniowym wyprzedzeniem, powiadamia właściciela farmy wiatrowej o konieczności jej wyłączenia, w celu dokonania określonych planowych prac modernizacyjnych lub naprawczych w sieci elektroenergetycznej. </w:t>
      </w:r>
    </w:p>
    <w:p w14:paraId="15699785" w14:textId="634D73B7" w:rsidR="00DE0FBF" w:rsidRPr="00DE0FBF" w:rsidRDefault="00DE0FBF" w:rsidP="00443B72">
      <w:pPr>
        <w:spacing w:after="72" w:line="272" w:lineRule="auto"/>
        <w:ind w:left="1128" w:hanging="1071"/>
        <w:jc w:val="left"/>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8.2.8. </w:t>
      </w:r>
      <w:r w:rsidRPr="00DE0FBF">
        <w:rPr>
          <w:rFonts w:ascii="Times New Roman" w:eastAsia="Times New Roman" w:hAnsi="Times New Roman" w:cs="Times New Roman"/>
          <w:color w:val="000000"/>
          <w:kern w:val="2"/>
          <w:sz w:val="24"/>
          <w:szCs w:val="24"/>
          <w:lang w:eastAsia="pl-PL"/>
        </w:rPr>
        <w:tab/>
        <w:t xml:space="preserve">W sytuacjach zagrożenia bezpieczeństwa pracy systemu elektroenergetycznego odpowiedni operator systemu, może polecić całkowite wyłączenie farmy wiatrowej. Industria Dystrybucja Sp. z o.o. określa w warunkach przyłączenia do sieci wymagania w zakresie przystosowania farmy wiatrowej do zdalnego wyłączania, monitorowania i transmisji danych. </w:t>
      </w:r>
    </w:p>
    <w:p w14:paraId="0EE67933" w14:textId="032AE9CC" w:rsidR="00DE0FBF" w:rsidRPr="00DE0FBF" w:rsidRDefault="00C926A8" w:rsidP="00443B72">
      <w:pPr>
        <w:keepNext/>
        <w:keepLines/>
        <w:numPr>
          <w:ilvl w:val="1"/>
          <w:numId w:val="0"/>
        </w:numPr>
        <w:spacing w:before="240" w:after="155" w:line="249" w:lineRule="auto"/>
        <w:ind w:left="1118" w:hanging="1061"/>
        <w:jc w:val="left"/>
        <w:outlineLvl w:val="1"/>
        <w:rPr>
          <w:rFonts w:ascii="Times New Roman" w:eastAsia="Times New Roman" w:hAnsi="Times New Roman" w:cs="Times New Roman"/>
          <w:b/>
          <w:color w:val="000000"/>
          <w:kern w:val="2"/>
          <w:sz w:val="24"/>
          <w:szCs w:val="24"/>
          <w:lang w:eastAsia="pl-PL"/>
        </w:rPr>
      </w:pPr>
      <w:r>
        <w:rPr>
          <w:rFonts w:ascii="Times New Roman" w:eastAsia="Times New Roman" w:hAnsi="Times New Roman" w:cs="Times New Roman"/>
          <w:b/>
          <w:color w:val="000000"/>
          <w:kern w:val="2"/>
          <w:sz w:val="24"/>
          <w:szCs w:val="24"/>
          <w:lang w:eastAsia="pl-PL"/>
        </w:rPr>
        <w:t>8.3</w:t>
      </w:r>
      <w:r w:rsidR="00443B72">
        <w:rPr>
          <w:rFonts w:ascii="Times New Roman" w:eastAsia="Times New Roman" w:hAnsi="Times New Roman" w:cs="Times New Roman"/>
          <w:b/>
          <w:color w:val="000000"/>
          <w:kern w:val="2"/>
          <w:sz w:val="24"/>
          <w:szCs w:val="24"/>
          <w:lang w:eastAsia="pl-PL"/>
        </w:rPr>
        <w:t>.</w:t>
      </w:r>
      <w:r>
        <w:rPr>
          <w:rFonts w:ascii="Times New Roman" w:eastAsia="Times New Roman" w:hAnsi="Times New Roman" w:cs="Times New Roman"/>
          <w:b/>
          <w:color w:val="000000"/>
          <w:kern w:val="2"/>
          <w:sz w:val="24"/>
          <w:szCs w:val="24"/>
          <w:lang w:eastAsia="pl-PL"/>
        </w:rPr>
        <w:t xml:space="preserve"> </w:t>
      </w:r>
      <w:r>
        <w:rPr>
          <w:rFonts w:ascii="Times New Roman" w:eastAsia="Times New Roman" w:hAnsi="Times New Roman" w:cs="Times New Roman"/>
          <w:b/>
          <w:color w:val="000000"/>
          <w:kern w:val="2"/>
          <w:sz w:val="24"/>
          <w:szCs w:val="24"/>
          <w:lang w:eastAsia="pl-PL"/>
        </w:rPr>
        <w:tab/>
      </w:r>
      <w:r w:rsidR="00DE0FBF" w:rsidRPr="00DE0FBF">
        <w:rPr>
          <w:rFonts w:ascii="Times New Roman" w:eastAsia="Times New Roman" w:hAnsi="Times New Roman" w:cs="Times New Roman"/>
          <w:b/>
          <w:color w:val="000000"/>
          <w:kern w:val="2"/>
          <w:sz w:val="24"/>
          <w:szCs w:val="24"/>
          <w:lang w:eastAsia="pl-PL"/>
        </w:rPr>
        <w:t>Praca farmy wiatrowej w zależności od częstotliwości i napięcia</w:t>
      </w:r>
      <w:r w:rsidR="00DE0FBF" w:rsidRPr="00DE0FBF">
        <w:rPr>
          <w:rFonts w:ascii="Times New Roman" w:eastAsia="Times New Roman" w:hAnsi="Times New Roman" w:cs="Times New Roman"/>
          <w:color w:val="000000"/>
          <w:kern w:val="2"/>
          <w:sz w:val="24"/>
          <w:szCs w:val="24"/>
          <w:lang w:eastAsia="pl-PL"/>
        </w:rPr>
        <w:t xml:space="preserve"> </w:t>
      </w:r>
    </w:p>
    <w:p w14:paraId="3AC44FA0" w14:textId="77777777" w:rsidR="00DE0FBF" w:rsidRPr="00DE0FBF" w:rsidRDefault="00DE0FBF" w:rsidP="00DE0FBF">
      <w:pPr>
        <w:tabs>
          <w:tab w:val="right" w:pos="9648"/>
        </w:tabs>
        <w:spacing w:after="135" w:line="269" w:lineRule="auto"/>
        <w:ind w:left="1134" w:hanging="1134"/>
        <w:jc w:val="left"/>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8.3.1. </w:t>
      </w:r>
      <w:r w:rsidRPr="00DE0FBF">
        <w:rPr>
          <w:rFonts w:ascii="Times New Roman" w:eastAsia="Times New Roman" w:hAnsi="Times New Roman" w:cs="Times New Roman"/>
          <w:color w:val="000000"/>
          <w:kern w:val="2"/>
          <w:sz w:val="24"/>
          <w:szCs w:val="24"/>
          <w:lang w:eastAsia="pl-PL"/>
        </w:rPr>
        <w:tab/>
        <w:t xml:space="preserve">Farma wiatrowa powinna mieć możliwość pracy w następującym zakresie częstotliwości: </w:t>
      </w:r>
    </w:p>
    <w:p w14:paraId="182F8C83" w14:textId="77777777" w:rsidR="00DE0FBF" w:rsidRPr="00DE0FBF" w:rsidRDefault="00DE0FBF">
      <w:pPr>
        <w:numPr>
          <w:ilvl w:val="0"/>
          <w:numId w:val="201"/>
        </w:numPr>
        <w:spacing w:after="0" w:line="269" w:lineRule="auto"/>
        <w:ind w:left="1560" w:right="4" w:hanging="567"/>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przy 49,5 ≤ f ≤ 50,5 </w:t>
      </w:r>
      <w:proofErr w:type="spellStart"/>
      <w:r w:rsidRPr="00DE0FBF">
        <w:rPr>
          <w:rFonts w:ascii="Times New Roman" w:eastAsia="Times New Roman" w:hAnsi="Times New Roman" w:cs="Times New Roman"/>
          <w:color w:val="000000"/>
          <w:kern w:val="2"/>
          <w:sz w:val="24"/>
          <w:szCs w:val="24"/>
          <w:lang w:eastAsia="pl-PL"/>
        </w:rPr>
        <w:t>Hz</w:t>
      </w:r>
      <w:proofErr w:type="spellEnd"/>
      <w:r w:rsidRPr="00DE0FBF">
        <w:rPr>
          <w:rFonts w:ascii="Times New Roman" w:eastAsia="Times New Roman" w:hAnsi="Times New Roman" w:cs="Times New Roman"/>
          <w:color w:val="000000"/>
          <w:kern w:val="2"/>
          <w:sz w:val="24"/>
          <w:szCs w:val="24"/>
          <w:lang w:eastAsia="pl-PL"/>
        </w:rPr>
        <w:t xml:space="preserve"> farma wiatrowa musi mieć możliwość pracy trwałej z mocą znamionową,</w:t>
      </w:r>
      <w:r w:rsidRPr="00DE0FBF">
        <w:rPr>
          <w:rFonts w:ascii="Times New Roman" w:eastAsia="Times New Roman" w:hAnsi="Times New Roman" w:cs="Times New Roman"/>
          <w:color w:val="000000"/>
          <w:kern w:val="2"/>
          <w:sz w:val="16"/>
          <w:szCs w:val="24"/>
          <w:lang w:eastAsia="pl-PL"/>
        </w:rPr>
        <w:t xml:space="preserve"> </w:t>
      </w:r>
    </w:p>
    <w:p w14:paraId="732E39D4" w14:textId="77777777" w:rsidR="00DE0FBF" w:rsidRPr="00DE0FBF" w:rsidRDefault="00DE0FBF">
      <w:pPr>
        <w:numPr>
          <w:ilvl w:val="0"/>
          <w:numId w:val="201"/>
        </w:numPr>
        <w:spacing w:after="0" w:line="269" w:lineRule="auto"/>
        <w:ind w:left="1560" w:right="4" w:hanging="567"/>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przy 48,5 ≤ f &lt; 49,5 </w:t>
      </w:r>
      <w:proofErr w:type="spellStart"/>
      <w:r w:rsidRPr="00DE0FBF">
        <w:rPr>
          <w:rFonts w:ascii="Times New Roman" w:eastAsia="Times New Roman" w:hAnsi="Times New Roman" w:cs="Times New Roman"/>
          <w:color w:val="000000"/>
          <w:kern w:val="2"/>
          <w:sz w:val="24"/>
          <w:szCs w:val="24"/>
          <w:lang w:eastAsia="pl-PL"/>
        </w:rPr>
        <w:t>Hz</w:t>
      </w:r>
      <w:proofErr w:type="spellEnd"/>
      <w:r w:rsidRPr="00DE0FBF">
        <w:rPr>
          <w:rFonts w:ascii="Times New Roman" w:eastAsia="Times New Roman" w:hAnsi="Times New Roman" w:cs="Times New Roman"/>
          <w:color w:val="000000"/>
          <w:kern w:val="2"/>
          <w:sz w:val="24"/>
          <w:szCs w:val="24"/>
          <w:lang w:eastAsia="pl-PL"/>
        </w:rPr>
        <w:t xml:space="preserve"> farma wiatrowa musi mieć możliwość pracy z mocą większą niż 90% mocy wynikającej z aktualnej prędkości wiatru, przez co najmniej 30 min., </w:t>
      </w:r>
    </w:p>
    <w:p w14:paraId="4F6D7BB7" w14:textId="77777777" w:rsidR="00DE0FBF" w:rsidRPr="00DE0FBF" w:rsidRDefault="00DE0FBF">
      <w:pPr>
        <w:numPr>
          <w:ilvl w:val="0"/>
          <w:numId w:val="201"/>
        </w:numPr>
        <w:spacing w:after="0" w:line="269" w:lineRule="auto"/>
        <w:ind w:left="1560" w:right="4" w:hanging="567"/>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przy 48,0 ≤ f &lt; 48,5 </w:t>
      </w:r>
      <w:proofErr w:type="spellStart"/>
      <w:r w:rsidRPr="00DE0FBF">
        <w:rPr>
          <w:rFonts w:ascii="Times New Roman" w:eastAsia="Times New Roman" w:hAnsi="Times New Roman" w:cs="Times New Roman"/>
          <w:color w:val="000000"/>
          <w:kern w:val="2"/>
          <w:sz w:val="24"/>
          <w:szCs w:val="24"/>
          <w:lang w:eastAsia="pl-PL"/>
        </w:rPr>
        <w:t>Hz</w:t>
      </w:r>
      <w:proofErr w:type="spellEnd"/>
      <w:r w:rsidRPr="00DE0FBF">
        <w:rPr>
          <w:rFonts w:ascii="Times New Roman" w:eastAsia="Times New Roman" w:hAnsi="Times New Roman" w:cs="Times New Roman"/>
          <w:color w:val="000000"/>
          <w:kern w:val="2"/>
          <w:sz w:val="24"/>
          <w:szCs w:val="24"/>
          <w:lang w:eastAsia="pl-PL"/>
        </w:rPr>
        <w:t xml:space="preserve"> farma wiatrowa musi mieć możliwość pracy z mocą większą niż 85% mocy wynikającej z aktualnej prędkości wiatru, przez co najmniej 20 min., </w:t>
      </w:r>
    </w:p>
    <w:p w14:paraId="36300581" w14:textId="77777777" w:rsidR="00DE0FBF" w:rsidRPr="00DE0FBF" w:rsidRDefault="00DE0FBF">
      <w:pPr>
        <w:numPr>
          <w:ilvl w:val="0"/>
          <w:numId w:val="201"/>
        </w:numPr>
        <w:spacing w:after="0" w:line="269" w:lineRule="auto"/>
        <w:ind w:left="1560" w:right="4" w:hanging="567"/>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przy 47,5 ≤ f &lt; 48,0 </w:t>
      </w:r>
      <w:proofErr w:type="spellStart"/>
      <w:r w:rsidRPr="00DE0FBF">
        <w:rPr>
          <w:rFonts w:ascii="Times New Roman" w:eastAsia="Times New Roman" w:hAnsi="Times New Roman" w:cs="Times New Roman"/>
          <w:color w:val="000000"/>
          <w:kern w:val="2"/>
          <w:sz w:val="24"/>
          <w:szCs w:val="24"/>
          <w:lang w:eastAsia="pl-PL"/>
        </w:rPr>
        <w:t>Hz</w:t>
      </w:r>
      <w:proofErr w:type="spellEnd"/>
      <w:r w:rsidRPr="00DE0FBF">
        <w:rPr>
          <w:rFonts w:ascii="Times New Roman" w:eastAsia="Times New Roman" w:hAnsi="Times New Roman" w:cs="Times New Roman"/>
          <w:color w:val="000000"/>
          <w:kern w:val="2"/>
          <w:sz w:val="24"/>
          <w:szCs w:val="24"/>
          <w:lang w:eastAsia="pl-PL"/>
        </w:rPr>
        <w:t xml:space="preserve"> farma wiatrowa musi mieć możliwość pracy z mocą większą niż 80% mocy wynikającej z aktualnej prędkości wiatru, przez co najmniej 10 min., </w:t>
      </w:r>
    </w:p>
    <w:p w14:paraId="6B500086" w14:textId="77777777" w:rsidR="00DE0FBF" w:rsidRPr="00DE0FBF" w:rsidRDefault="00DE0FBF">
      <w:pPr>
        <w:numPr>
          <w:ilvl w:val="0"/>
          <w:numId w:val="201"/>
        </w:numPr>
        <w:spacing w:after="0" w:line="269" w:lineRule="auto"/>
        <w:ind w:left="1560" w:right="4" w:hanging="567"/>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przy f &lt; 47,5 </w:t>
      </w:r>
      <w:proofErr w:type="spellStart"/>
      <w:r w:rsidRPr="00DE0FBF">
        <w:rPr>
          <w:rFonts w:ascii="Times New Roman" w:eastAsia="Times New Roman" w:hAnsi="Times New Roman" w:cs="Times New Roman"/>
          <w:color w:val="000000"/>
          <w:kern w:val="2"/>
          <w:sz w:val="24"/>
          <w:szCs w:val="24"/>
          <w:lang w:eastAsia="pl-PL"/>
        </w:rPr>
        <w:t>Hz</w:t>
      </w:r>
      <w:proofErr w:type="spellEnd"/>
      <w:r w:rsidRPr="00DE0FBF">
        <w:rPr>
          <w:rFonts w:ascii="Times New Roman" w:eastAsia="Times New Roman" w:hAnsi="Times New Roman" w:cs="Times New Roman"/>
          <w:color w:val="000000"/>
          <w:kern w:val="2"/>
          <w:sz w:val="24"/>
          <w:szCs w:val="24"/>
          <w:lang w:eastAsia="pl-PL"/>
        </w:rPr>
        <w:t xml:space="preserve"> farmę wiatrową można odłączyć od sieci ze zwłoką czasową uzgodnioną z operatorem systemu, </w:t>
      </w:r>
    </w:p>
    <w:p w14:paraId="77310CA3" w14:textId="77777777" w:rsidR="00DE0FBF" w:rsidRPr="00DE0FBF" w:rsidRDefault="00DE0FBF">
      <w:pPr>
        <w:numPr>
          <w:ilvl w:val="0"/>
          <w:numId w:val="201"/>
        </w:numPr>
        <w:spacing w:after="0" w:line="269" w:lineRule="auto"/>
        <w:ind w:left="1560" w:right="4" w:hanging="567"/>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lastRenderedPageBreak/>
        <w:t xml:space="preserve">przy 50,5 &lt; f ≤ 51,5 </w:t>
      </w:r>
      <w:proofErr w:type="spellStart"/>
      <w:r w:rsidRPr="00DE0FBF">
        <w:rPr>
          <w:rFonts w:ascii="Times New Roman" w:eastAsia="Times New Roman" w:hAnsi="Times New Roman" w:cs="Times New Roman"/>
          <w:color w:val="000000"/>
          <w:kern w:val="2"/>
          <w:sz w:val="24"/>
          <w:szCs w:val="24"/>
          <w:lang w:eastAsia="pl-PL"/>
        </w:rPr>
        <w:t>Hz</w:t>
      </w:r>
      <w:proofErr w:type="spellEnd"/>
      <w:r w:rsidRPr="00DE0FBF">
        <w:rPr>
          <w:rFonts w:ascii="Times New Roman" w:eastAsia="Times New Roman" w:hAnsi="Times New Roman" w:cs="Times New Roman"/>
          <w:color w:val="000000"/>
          <w:kern w:val="2"/>
          <w:sz w:val="24"/>
          <w:szCs w:val="24"/>
          <w:lang w:eastAsia="pl-PL"/>
        </w:rPr>
        <w:t xml:space="preserve"> farma wiatrowa musi mieć możliwość trwałej pracy z mocą ograniczaną wraz ze wzrostem częstotliwości, do zera przy </w:t>
      </w:r>
      <w:r w:rsidRPr="00DE0FBF">
        <w:rPr>
          <w:rFonts w:ascii="Times New Roman" w:eastAsia="Times New Roman" w:hAnsi="Times New Roman" w:cs="Times New Roman"/>
          <w:color w:val="000000"/>
          <w:kern w:val="2"/>
          <w:sz w:val="23"/>
          <w:szCs w:val="24"/>
          <w:lang w:eastAsia="pl-PL"/>
        </w:rPr>
        <w:t xml:space="preserve">częstotliwości </w:t>
      </w:r>
      <w:r w:rsidRPr="00DE0FBF">
        <w:rPr>
          <w:rFonts w:ascii="Times New Roman" w:eastAsia="Times New Roman" w:hAnsi="Times New Roman" w:cs="Times New Roman"/>
          <w:color w:val="000000"/>
          <w:kern w:val="2"/>
          <w:sz w:val="24"/>
          <w:szCs w:val="24"/>
          <w:lang w:eastAsia="pl-PL"/>
        </w:rPr>
        <w:t xml:space="preserve">51,5 </w:t>
      </w:r>
      <w:proofErr w:type="spellStart"/>
      <w:r w:rsidRPr="00DE0FBF">
        <w:rPr>
          <w:rFonts w:ascii="Times New Roman" w:eastAsia="Times New Roman" w:hAnsi="Times New Roman" w:cs="Times New Roman"/>
          <w:color w:val="000000"/>
          <w:kern w:val="2"/>
          <w:sz w:val="24"/>
          <w:szCs w:val="24"/>
          <w:lang w:eastAsia="pl-PL"/>
        </w:rPr>
        <w:t>Hz</w:t>
      </w:r>
      <w:proofErr w:type="spellEnd"/>
      <w:r w:rsidRPr="00DE0FBF">
        <w:rPr>
          <w:rFonts w:ascii="Times New Roman" w:eastAsia="Times New Roman" w:hAnsi="Times New Roman" w:cs="Times New Roman"/>
          <w:color w:val="000000"/>
          <w:kern w:val="2"/>
          <w:sz w:val="24"/>
          <w:szCs w:val="24"/>
          <w:lang w:eastAsia="pl-PL"/>
        </w:rPr>
        <w:t>,</w:t>
      </w:r>
    </w:p>
    <w:p w14:paraId="2FBEC213" w14:textId="77777777" w:rsidR="00DE0FBF" w:rsidRPr="00DE0FBF" w:rsidRDefault="00DE0FBF">
      <w:pPr>
        <w:numPr>
          <w:ilvl w:val="0"/>
          <w:numId w:val="201"/>
        </w:numPr>
        <w:spacing w:after="135" w:line="269" w:lineRule="auto"/>
        <w:ind w:left="1560" w:right="4" w:hanging="567"/>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przy f &gt; 51,5 </w:t>
      </w:r>
      <w:proofErr w:type="spellStart"/>
      <w:r w:rsidRPr="00DE0FBF">
        <w:rPr>
          <w:rFonts w:ascii="Times New Roman" w:eastAsia="Times New Roman" w:hAnsi="Times New Roman" w:cs="Times New Roman"/>
          <w:color w:val="000000"/>
          <w:kern w:val="2"/>
          <w:sz w:val="24"/>
          <w:szCs w:val="24"/>
          <w:lang w:eastAsia="pl-PL"/>
        </w:rPr>
        <w:t>Hz</w:t>
      </w:r>
      <w:proofErr w:type="spellEnd"/>
      <w:r w:rsidRPr="00DE0FBF">
        <w:rPr>
          <w:rFonts w:ascii="Times New Roman" w:eastAsia="Times New Roman" w:hAnsi="Times New Roman" w:cs="Times New Roman"/>
          <w:color w:val="000000"/>
          <w:kern w:val="2"/>
          <w:sz w:val="24"/>
          <w:szCs w:val="24"/>
          <w:lang w:eastAsia="pl-PL"/>
        </w:rPr>
        <w:t xml:space="preserve"> farmę wiatrową należy odłączyć od sieci w ciągu maks. 0,3 s, o ile operator systemu nie określi inaczej w warunkach przyłączenia do sieci. </w:t>
      </w:r>
    </w:p>
    <w:p w14:paraId="44282C4B" w14:textId="77777777" w:rsidR="00DE0FBF" w:rsidRPr="00DE0FBF" w:rsidRDefault="00DE0FBF" w:rsidP="00DE0FBF">
      <w:pPr>
        <w:spacing w:after="31" w:line="269" w:lineRule="auto"/>
        <w:ind w:left="1118" w:hanging="1061"/>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8.3.2. </w:t>
      </w:r>
      <w:r w:rsidRPr="00DE0FBF">
        <w:rPr>
          <w:rFonts w:ascii="Times New Roman" w:eastAsia="Times New Roman" w:hAnsi="Times New Roman" w:cs="Times New Roman"/>
          <w:color w:val="000000"/>
          <w:kern w:val="2"/>
          <w:sz w:val="24"/>
          <w:szCs w:val="24"/>
          <w:lang w:eastAsia="pl-PL"/>
        </w:rPr>
        <w:tab/>
        <w:t xml:space="preserve">Farma wiatrowa powinna spełniać warunki wymienione w pkt. 8.3.1.a) i pkt.8.3.1.b) przy zmianach napięcia w miejscu przyłączenia do sieci w następującym zakresie: </w:t>
      </w:r>
    </w:p>
    <w:p w14:paraId="54380778" w14:textId="77777777" w:rsidR="00DE0FBF" w:rsidRPr="00DE0FBF" w:rsidRDefault="00DE0FBF">
      <w:pPr>
        <w:numPr>
          <w:ilvl w:val="0"/>
          <w:numId w:val="202"/>
        </w:numPr>
        <w:spacing w:after="0" w:line="269" w:lineRule="auto"/>
        <w:ind w:right="4" w:hanging="358"/>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105 </w:t>
      </w:r>
      <w:proofErr w:type="spellStart"/>
      <w:r w:rsidRPr="00DE0FBF">
        <w:rPr>
          <w:rFonts w:ascii="Times New Roman" w:eastAsia="Times New Roman" w:hAnsi="Times New Roman" w:cs="Times New Roman"/>
          <w:color w:val="000000"/>
          <w:kern w:val="2"/>
          <w:sz w:val="24"/>
          <w:szCs w:val="24"/>
          <w:lang w:eastAsia="pl-PL"/>
        </w:rPr>
        <w:t>kV</w:t>
      </w:r>
      <w:proofErr w:type="spellEnd"/>
      <w:r w:rsidRPr="00DE0FBF">
        <w:rPr>
          <w:rFonts w:ascii="Times New Roman" w:eastAsia="Times New Roman" w:hAnsi="Times New Roman" w:cs="Times New Roman"/>
          <w:color w:val="000000"/>
          <w:kern w:val="2"/>
          <w:sz w:val="24"/>
          <w:szCs w:val="24"/>
          <w:lang w:eastAsia="pl-PL"/>
        </w:rPr>
        <w:t xml:space="preserve"> ÷ 123 </w:t>
      </w:r>
      <w:proofErr w:type="spellStart"/>
      <w:r w:rsidRPr="00DE0FBF">
        <w:rPr>
          <w:rFonts w:ascii="Times New Roman" w:eastAsia="Times New Roman" w:hAnsi="Times New Roman" w:cs="Times New Roman"/>
          <w:color w:val="000000"/>
          <w:kern w:val="2"/>
          <w:sz w:val="24"/>
          <w:szCs w:val="24"/>
          <w:lang w:eastAsia="pl-PL"/>
        </w:rPr>
        <w:t>kV</w:t>
      </w:r>
      <w:proofErr w:type="spellEnd"/>
      <w:r w:rsidRPr="00DE0FBF">
        <w:rPr>
          <w:rFonts w:ascii="Times New Roman" w:eastAsia="Times New Roman" w:hAnsi="Times New Roman" w:cs="Times New Roman"/>
          <w:color w:val="000000"/>
          <w:kern w:val="2"/>
          <w:sz w:val="24"/>
          <w:szCs w:val="24"/>
          <w:lang w:eastAsia="pl-PL"/>
        </w:rPr>
        <w:t xml:space="preserve"> – dla sieci 110 </w:t>
      </w:r>
      <w:proofErr w:type="spellStart"/>
      <w:r w:rsidRPr="00DE0FBF">
        <w:rPr>
          <w:rFonts w:ascii="Times New Roman" w:eastAsia="Times New Roman" w:hAnsi="Times New Roman" w:cs="Times New Roman"/>
          <w:color w:val="000000"/>
          <w:kern w:val="2"/>
          <w:sz w:val="24"/>
          <w:szCs w:val="24"/>
          <w:lang w:eastAsia="pl-PL"/>
        </w:rPr>
        <w:t>kV</w:t>
      </w:r>
      <w:proofErr w:type="spellEnd"/>
      <w:r w:rsidRPr="00DE0FBF">
        <w:rPr>
          <w:rFonts w:ascii="Times New Roman" w:eastAsia="Times New Roman" w:hAnsi="Times New Roman" w:cs="Times New Roman"/>
          <w:color w:val="000000"/>
          <w:kern w:val="2"/>
          <w:sz w:val="24"/>
          <w:szCs w:val="24"/>
          <w:lang w:eastAsia="pl-PL"/>
        </w:rPr>
        <w:t xml:space="preserve">, </w:t>
      </w:r>
    </w:p>
    <w:p w14:paraId="048378B7" w14:textId="77777777" w:rsidR="00DE0FBF" w:rsidRPr="00DE0FBF" w:rsidRDefault="00DE0FBF">
      <w:pPr>
        <w:numPr>
          <w:ilvl w:val="0"/>
          <w:numId w:val="202"/>
        </w:numPr>
        <w:spacing w:after="135" w:line="269" w:lineRule="auto"/>
        <w:ind w:right="4" w:hanging="358"/>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±10% </w:t>
      </w:r>
      <w:proofErr w:type="spellStart"/>
      <w:r w:rsidRPr="00DE0FBF">
        <w:rPr>
          <w:rFonts w:ascii="Times New Roman" w:eastAsia="Times New Roman" w:hAnsi="Times New Roman" w:cs="Times New Roman"/>
          <w:color w:val="000000"/>
          <w:kern w:val="2"/>
          <w:sz w:val="24"/>
          <w:szCs w:val="24"/>
          <w:lang w:eastAsia="pl-PL"/>
        </w:rPr>
        <w:t>U</w:t>
      </w:r>
      <w:r w:rsidRPr="00DE0FBF">
        <w:rPr>
          <w:rFonts w:ascii="Times New Roman" w:eastAsia="Times New Roman" w:hAnsi="Times New Roman" w:cs="Times New Roman"/>
          <w:color w:val="000000"/>
          <w:kern w:val="2"/>
          <w:sz w:val="24"/>
          <w:szCs w:val="24"/>
          <w:vertAlign w:val="subscript"/>
          <w:lang w:eastAsia="pl-PL"/>
        </w:rPr>
        <w:t>n</w:t>
      </w:r>
      <w:proofErr w:type="spellEnd"/>
      <w:r w:rsidRPr="00DE0FBF">
        <w:rPr>
          <w:rFonts w:ascii="Times New Roman" w:eastAsia="Times New Roman" w:hAnsi="Times New Roman" w:cs="Times New Roman"/>
          <w:color w:val="000000"/>
          <w:kern w:val="2"/>
          <w:sz w:val="24"/>
          <w:szCs w:val="24"/>
          <w:lang w:eastAsia="pl-PL"/>
        </w:rPr>
        <w:t xml:space="preserve"> – dla sieci SN. </w:t>
      </w:r>
    </w:p>
    <w:p w14:paraId="42BAAA18" w14:textId="77777777" w:rsidR="00DE0FBF" w:rsidRPr="00DE0FBF" w:rsidRDefault="00DE0FBF" w:rsidP="00DE0FBF">
      <w:pPr>
        <w:spacing w:after="128" w:line="272" w:lineRule="auto"/>
        <w:ind w:left="1128" w:hanging="1071"/>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8.3.3. </w:t>
      </w:r>
      <w:r w:rsidRPr="00DE0FBF">
        <w:rPr>
          <w:rFonts w:ascii="Times New Roman" w:eastAsia="Times New Roman" w:hAnsi="Times New Roman" w:cs="Times New Roman"/>
          <w:color w:val="000000"/>
          <w:kern w:val="2"/>
          <w:sz w:val="24"/>
          <w:szCs w:val="24"/>
          <w:lang w:eastAsia="pl-PL"/>
        </w:rPr>
        <w:tab/>
        <w:t xml:space="preserve">Wartości napięcia i częstotliwości podane w powyższych punktach są quasi-stacjonarnymi, z gradientem zmian dla częstotliwości mniejszym niż 0,5% na minutę, a dla napięcia mniejszym niż 5% na minutę. </w:t>
      </w:r>
    </w:p>
    <w:p w14:paraId="0E1C3B9B" w14:textId="77777777" w:rsidR="00DE0FBF" w:rsidRPr="00DE0FBF" w:rsidRDefault="00DE0FBF" w:rsidP="00DE0FBF">
      <w:pPr>
        <w:spacing w:after="135" w:line="269" w:lineRule="auto"/>
        <w:ind w:left="1118" w:hanging="1061"/>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8.3.4. </w:t>
      </w:r>
      <w:r w:rsidRPr="00DE0FBF">
        <w:rPr>
          <w:rFonts w:ascii="Times New Roman" w:eastAsia="Times New Roman" w:hAnsi="Times New Roman" w:cs="Times New Roman"/>
          <w:color w:val="000000"/>
          <w:kern w:val="2"/>
          <w:sz w:val="24"/>
          <w:szCs w:val="24"/>
          <w:lang w:eastAsia="pl-PL"/>
        </w:rPr>
        <w:tab/>
        <w:t xml:space="preserve">Zmniejszanie mocy wymagane przy zwyżce częstotliwości ponad 50,5 </w:t>
      </w:r>
      <w:proofErr w:type="spellStart"/>
      <w:r w:rsidRPr="00DE0FBF">
        <w:rPr>
          <w:rFonts w:ascii="Times New Roman" w:eastAsia="Times New Roman" w:hAnsi="Times New Roman" w:cs="Times New Roman"/>
          <w:color w:val="000000"/>
          <w:kern w:val="2"/>
          <w:sz w:val="24"/>
          <w:szCs w:val="24"/>
          <w:lang w:eastAsia="pl-PL"/>
        </w:rPr>
        <w:t>Hz</w:t>
      </w:r>
      <w:proofErr w:type="spellEnd"/>
      <w:r w:rsidRPr="00DE0FBF">
        <w:rPr>
          <w:rFonts w:ascii="Times New Roman" w:eastAsia="Times New Roman" w:hAnsi="Times New Roman" w:cs="Times New Roman"/>
          <w:color w:val="000000"/>
          <w:kern w:val="2"/>
          <w:sz w:val="24"/>
          <w:szCs w:val="24"/>
          <w:lang w:eastAsia="pl-PL"/>
        </w:rPr>
        <w:t xml:space="preserve"> może być realizowane poprzez kolejne wyłączanie jednostek pracujących w farmy wiatrowej. </w:t>
      </w:r>
    </w:p>
    <w:p w14:paraId="6C275776" w14:textId="77777777" w:rsidR="00DE0FBF" w:rsidRPr="00DE0FBF" w:rsidRDefault="00DE0FBF" w:rsidP="00DE0FBF">
      <w:pPr>
        <w:spacing w:after="135" w:line="269" w:lineRule="auto"/>
        <w:ind w:left="1118" w:hanging="1061"/>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8.3.5. </w:t>
      </w:r>
      <w:r w:rsidRPr="00DE0FBF">
        <w:rPr>
          <w:rFonts w:ascii="Times New Roman" w:eastAsia="Times New Roman" w:hAnsi="Times New Roman" w:cs="Times New Roman"/>
          <w:color w:val="000000"/>
          <w:kern w:val="2"/>
          <w:sz w:val="24"/>
          <w:szCs w:val="24"/>
          <w:lang w:eastAsia="pl-PL"/>
        </w:rPr>
        <w:tab/>
        <w:t xml:space="preserve">Industria Dystrybucja Sp. z o.o. może określić w warunkach przyłączenia farm wiatrowych przystosowanie do udziału w regulacji częstotliwości w systemie elektroenergetycznym, poprzez zmianę mocy po zmianie częstotliwości. Wymaganie to dotyczy pełnego zakresu obciążenia farmy wiatrowej. </w:t>
      </w:r>
    </w:p>
    <w:p w14:paraId="61AC6D87" w14:textId="0715ABF6" w:rsidR="00DE0FBF" w:rsidRPr="00DE0FBF" w:rsidRDefault="00DE0FBF" w:rsidP="00443B72">
      <w:pPr>
        <w:spacing w:after="74" w:line="269" w:lineRule="auto"/>
        <w:ind w:left="1118" w:hanging="1061"/>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8.3.6. </w:t>
      </w:r>
      <w:r w:rsidRPr="00DE0FBF">
        <w:rPr>
          <w:rFonts w:ascii="Times New Roman" w:eastAsia="Times New Roman" w:hAnsi="Times New Roman" w:cs="Times New Roman"/>
          <w:color w:val="000000"/>
          <w:kern w:val="2"/>
          <w:sz w:val="24"/>
          <w:szCs w:val="24"/>
          <w:lang w:eastAsia="pl-PL"/>
        </w:rPr>
        <w:tab/>
        <w:t xml:space="preserve">Industria Dystrybucja Sp. z o.o. w uzgodnieniu z operatorem systemu przesyłowego, określa w warunkach przyłączenia do sieci farmy wiatrowej, warunki udziału tej farmy w regulacji częstotliwości i wymagane parametry regulacji. </w:t>
      </w:r>
    </w:p>
    <w:p w14:paraId="2EF2B500" w14:textId="5FC77D9D" w:rsidR="00DE0FBF" w:rsidRPr="00DE0FBF" w:rsidRDefault="00C926A8" w:rsidP="00443B72">
      <w:pPr>
        <w:keepNext/>
        <w:keepLines/>
        <w:numPr>
          <w:ilvl w:val="1"/>
          <w:numId w:val="0"/>
        </w:numPr>
        <w:spacing w:before="240" w:after="155" w:line="249" w:lineRule="auto"/>
        <w:ind w:left="1118" w:hanging="1061"/>
        <w:jc w:val="left"/>
        <w:outlineLvl w:val="1"/>
        <w:rPr>
          <w:rFonts w:ascii="Times New Roman" w:eastAsia="Times New Roman" w:hAnsi="Times New Roman" w:cs="Times New Roman"/>
          <w:b/>
          <w:color w:val="000000"/>
          <w:kern w:val="2"/>
          <w:sz w:val="24"/>
          <w:szCs w:val="24"/>
          <w:lang w:eastAsia="pl-PL"/>
        </w:rPr>
      </w:pPr>
      <w:r>
        <w:rPr>
          <w:rFonts w:ascii="Times New Roman" w:eastAsia="Times New Roman" w:hAnsi="Times New Roman" w:cs="Times New Roman"/>
          <w:b/>
          <w:color w:val="000000"/>
          <w:kern w:val="2"/>
          <w:sz w:val="24"/>
          <w:szCs w:val="24"/>
          <w:lang w:eastAsia="pl-PL"/>
        </w:rPr>
        <w:t>8.4</w:t>
      </w:r>
      <w:r w:rsidR="00443B72">
        <w:rPr>
          <w:rFonts w:ascii="Times New Roman" w:eastAsia="Times New Roman" w:hAnsi="Times New Roman" w:cs="Times New Roman"/>
          <w:b/>
          <w:color w:val="000000"/>
          <w:kern w:val="2"/>
          <w:sz w:val="24"/>
          <w:szCs w:val="24"/>
          <w:lang w:eastAsia="pl-PL"/>
        </w:rPr>
        <w:t>.</w:t>
      </w:r>
      <w:r>
        <w:rPr>
          <w:rFonts w:ascii="Times New Roman" w:eastAsia="Times New Roman" w:hAnsi="Times New Roman" w:cs="Times New Roman"/>
          <w:b/>
          <w:color w:val="000000"/>
          <w:kern w:val="2"/>
          <w:sz w:val="24"/>
          <w:szCs w:val="24"/>
          <w:lang w:eastAsia="pl-PL"/>
        </w:rPr>
        <w:t xml:space="preserve"> </w:t>
      </w:r>
      <w:r>
        <w:rPr>
          <w:rFonts w:ascii="Times New Roman" w:eastAsia="Times New Roman" w:hAnsi="Times New Roman" w:cs="Times New Roman"/>
          <w:b/>
          <w:color w:val="000000"/>
          <w:kern w:val="2"/>
          <w:sz w:val="24"/>
          <w:szCs w:val="24"/>
          <w:lang w:eastAsia="pl-PL"/>
        </w:rPr>
        <w:tab/>
      </w:r>
      <w:r w:rsidR="00DE0FBF" w:rsidRPr="00DE0FBF">
        <w:rPr>
          <w:rFonts w:ascii="Times New Roman" w:eastAsia="Times New Roman" w:hAnsi="Times New Roman" w:cs="Times New Roman"/>
          <w:b/>
          <w:color w:val="000000"/>
          <w:kern w:val="2"/>
          <w:sz w:val="24"/>
          <w:szCs w:val="24"/>
          <w:lang w:eastAsia="pl-PL"/>
        </w:rPr>
        <w:t>Załączanie i wyłączanie farm wiatrowych</w:t>
      </w:r>
      <w:r w:rsidR="00DE0FBF" w:rsidRPr="00DE0FBF">
        <w:rPr>
          <w:rFonts w:ascii="Times New Roman" w:eastAsia="Times New Roman" w:hAnsi="Times New Roman" w:cs="Times New Roman"/>
          <w:color w:val="000000"/>
          <w:kern w:val="2"/>
          <w:sz w:val="24"/>
          <w:szCs w:val="24"/>
          <w:lang w:eastAsia="pl-PL"/>
        </w:rPr>
        <w:t xml:space="preserve"> </w:t>
      </w:r>
    </w:p>
    <w:p w14:paraId="30169C7D" w14:textId="77777777" w:rsidR="00DE0FBF" w:rsidRPr="00DE0FBF" w:rsidRDefault="00DE0FBF" w:rsidP="00DE0FBF">
      <w:pPr>
        <w:spacing w:after="135" w:line="269" w:lineRule="auto"/>
        <w:ind w:left="1118" w:hanging="1061"/>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8.4.1. </w:t>
      </w:r>
      <w:r w:rsidRPr="00DE0FBF">
        <w:rPr>
          <w:rFonts w:ascii="Times New Roman" w:eastAsia="Times New Roman" w:hAnsi="Times New Roman" w:cs="Times New Roman"/>
          <w:color w:val="000000"/>
          <w:kern w:val="2"/>
          <w:sz w:val="24"/>
          <w:szCs w:val="24"/>
          <w:lang w:eastAsia="pl-PL"/>
        </w:rPr>
        <w:tab/>
        <w:t xml:space="preserve">Farma wiatrowa powinna przekazywać do odpowiedniego Operatora systemu sygnał informujący o aktualnym stanie jej jednostek wytwórczych. Sygnał ten powinien być generowany na podstawie identyfikacji stanu i przyczyn odstawienia jednostki. </w:t>
      </w:r>
    </w:p>
    <w:p w14:paraId="6E7E38EE" w14:textId="77777777" w:rsidR="00DE0FBF" w:rsidRPr="00DE0FBF" w:rsidRDefault="00DE0FBF" w:rsidP="00DE0FBF">
      <w:pPr>
        <w:spacing w:after="135" w:line="269" w:lineRule="auto"/>
        <w:ind w:left="1118" w:hanging="1061"/>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8.4.2. </w:t>
      </w:r>
      <w:r w:rsidRPr="00DE0FBF">
        <w:rPr>
          <w:rFonts w:ascii="Times New Roman" w:eastAsia="Times New Roman" w:hAnsi="Times New Roman" w:cs="Times New Roman"/>
          <w:color w:val="000000"/>
          <w:kern w:val="2"/>
          <w:sz w:val="24"/>
          <w:szCs w:val="24"/>
          <w:lang w:eastAsia="pl-PL"/>
        </w:rPr>
        <w:tab/>
        <w:t xml:space="preserve">Podczas każdego uruchamiania farmy wiatrowej gradient przyrostu mocy farmy wiatrowej nie może przekraczać wartości określonej w pkt. 8.2.3. niniejszego załącznika. </w:t>
      </w:r>
    </w:p>
    <w:p w14:paraId="7B5AF446" w14:textId="77777777" w:rsidR="00DE0FBF" w:rsidRPr="00DE0FBF" w:rsidRDefault="00DE0FBF" w:rsidP="00DE0FBF">
      <w:pPr>
        <w:spacing w:after="135" w:line="269" w:lineRule="auto"/>
        <w:ind w:left="1118" w:hanging="1061"/>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8.4.3. </w:t>
      </w:r>
      <w:r w:rsidRPr="00DE0FBF">
        <w:rPr>
          <w:rFonts w:ascii="Times New Roman" w:eastAsia="Times New Roman" w:hAnsi="Times New Roman" w:cs="Times New Roman"/>
          <w:color w:val="000000"/>
          <w:kern w:val="2"/>
          <w:sz w:val="24"/>
          <w:szCs w:val="24"/>
          <w:lang w:eastAsia="pl-PL"/>
        </w:rPr>
        <w:tab/>
        <w:t xml:space="preserve">Algorytm uruchamiania farmy wiatrowej musi zawierać kontrolę warunków napięciowych w miejscu przyłączenia do sieci. </w:t>
      </w:r>
    </w:p>
    <w:p w14:paraId="6B5A1E55" w14:textId="77777777" w:rsidR="00DE0FBF" w:rsidRPr="00DE0FBF" w:rsidRDefault="00DE0FBF" w:rsidP="00DE0FBF">
      <w:pPr>
        <w:spacing w:after="135" w:line="269" w:lineRule="auto"/>
        <w:ind w:left="1118" w:hanging="1061"/>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8.4.4. </w:t>
      </w:r>
      <w:r w:rsidRPr="00DE0FBF">
        <w:rPr>
          <w:rFonts w:ascii="Times New Roman" w:eastAsia="Times New Roman" w:hAnsi="Times New Roman" w:cs="Times New Roman"/>
          <w:color w:val="000000"/>
          <w:kern w:val="2"/>
          <w:sz w:val="24"/>
          <w:szCs w:val="24"/>
          <w:lang w:eastAsia="pl-PL"/>
        </w:rPr>
        <w:tab/>
        <w:t xml:space="preserve">W przypadku farmy wiatrowej przyłączanej do sieci 110 </w:t>
      </w:r>
      <w:proofErr w:type="spellStart"/>
      <w:r w:rsidRPr="00DE0FBF">
        <w:rPr>
          <w:rFonts w:ascii="Times New Roman" w:eastAsia="Times New Roman" w:hAnsi="Times New Roman" w:cs="Times New Roman"/>
          <w:color w:val="000000"/>
          <w:kern w:val="2"/>
          <w:sz w:val="24"/>
          <w:szCs w:val="24"/>
          <w:lang w:eastAsia="pl-PL"/>
        </w:rPr>
        <w:t>kV</w:t>
      </w:r>
      <w:proofErr w:type="spellEnd"/>
      <w:r w:rsidRPr="00DE0FBF">
        <w:rPr>
          <w:rFonts w:ascii="Times New Roman" w:eastAsia="Times New Roman" w:hAnsi="Times New Roman" w:cs="Times New Roman"/>
          <w:color w:val="000000"/>
          <w:kern w:val="2"/>
          <w:sz w:val="24"/>
          <w:szCs w:val="24"/>
          <w:lang w:eastAsia="pl-PL"/>
        </w:rPr>
        <w:t xml:space="preserve">, Industria Dystrybucja Sp. z o.o. musi być poinformowany z 15 minutowym wyprzedzeniem o planowanym uruchomieniu farmy wiatrowej, po postoju dłuższym niż 15 minut spowodowanym wyłączeniem awaryjnym lub przekroczeniem granicznej prędkości wiatru. Powiadomienie nie jest konieczne, jeżeli uruchomienie następuje wskutek wzrostu prędkości wiatru ponad wartość minimalną, niezbędną dla wytwarzania mocy i prognozowane na najbliższą godzinę obciążenie farmy wiatrowej nie przekroczy 10% jej mocy znamionowej. </w:t>
      </w:r>
    </w:p>
    <w:p w14:paraId="78343BD3" w14:textId="13F6B446" w:rsidR="00DE0FBF" w:rsidRPr="00DE0FBF" w:rsidRDefault="00DE0FBF" w:rsidP="00443B72">
      <w:pPr>
        <w:spacing w:after="74" w:line="269" w:lineRule="auto"/>
        <w:ind w:left="1118" w:hanging="1061"/>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lastRenderedPageBreak/>
        <w:t xml:space="preserve">8.4.5. </w:t>
      </w:r>
      <w:r w:rsidRPr="00DE0FBF">
        <w:rPr>
          <w:rFonts w:ascii="Times New Roman" w:eastAsia="Times New Roman" w:hAnsi="Times New Roman" w:cs="Times New Roman"/>
          <w:color w:val="000000"/>
          <w:kern w:val="2"/>
          <w:sz w:val="24"/>
          <w:szCs w:val="24"/>
          <w:lang w:eastAsia="pl-PL"/>
        </w:rPr>
        <w:tab/>
        <w:t xml:space="preserve">Z wyjątkiem przypadków zakłóceń w sieci i awarii farmy wiatrowej, redukcja mocy farmy wiatrowej powinna być realizowana zgodnie ze zdefiniowanym w pkt. 8.2.3. niniejszego załącznika gradientem zmiany mocy czynnej. </w:t>
      </w:r>
    </w:p>
    <w:p w14:paraId="06E7F4AF" w14:textId="73B340F1" w:rsidR="00DE0FBF" w:rsidRPr="00DE0FBF" w:rsidRDefault="00C926A8" w:rsidP="00443B72">
      <w:pPr>
        <w:keepNext/>
        <w:keepLines/>
        <w:numPr>
          <w:ilvl w:val="1"/>
          <w:numId w:val="0"/>
        </w:numPr>
        <w:spacing w:before="240" w:after="155" w:line="249" w:lineRule="auto"/>
        <w:ind w:left="1118" w:hanging="1061"/>
        <w:jc w:val="left"/>
        <w:outlineLvl w:val="1"/>
        <w:rPr>
          <w:rFonts w:ascii="Times New Roman" w:eastAsia="Times New Roman" w:hAnsi="Times New Roman" w:cs="Times New Roman"/>
          <w:b/>
          <w:color w:val="000000"/>
          <w:kern w:val="2"/>
          <w:sz w:val="24"/>
          <w:szCs w:val="24"/>
          <w:lang w:eastAsia="pl-PL"/>
        </w:rPr>
      </w:pPr>
      <w:r>
        <w:rPr>
          <w:rFonts w:ascii="Times New Roman" w:eastAsia="Times New Roman" w:hAnsi="Times New Roman" w:cs="Times New Roman"/>
          <w:b/>
          <w:color w:val="000000"/>
          <w:kern w:val="2"/>
          <w:sz w:val="24"/>
          <w:szCs w:val="24"/>
          <w:lang w:eastAsia="pl-PL"/>
        </w:rPr>
        <w:t xml:space="preserve">8.5. </w:t>
      </w:r>
      <w:r>
        <w:rPr>
          <w:rFonts w:ascii="Times New Roman" w:eastAsia="Times New Roman" w:hAnsi="Times New Roman" w:cs="Times New Roman"/>
          <w:b/>
          <w:color w:val="000000"/>
          <w:kern w:val="2"/>
          <w:sz w:val="24"/>
          <w:szCs w:val="24"/>
          <w:lang w:eastAsia="pl-PL"/>
        </w:rPr>
        <w:tab/>
      </w:r>
      <w:r w:rsidR="00DE0FBF" w:rsidRPr="00DE0FBF">
        <w:rPr>
          <w:rFonts w:ascii="Times New Roman" w:eastAsia="Times New Roman" w:hAnsi="Times New Roman" w:cs="Times New Roman"/>
          <w:b/>
          <w:color w:val="000000"/>
          <w:kern w:val="2"/>
          <w:sz w:val="24"/>
          <w:szCs w:val="24"/>
          <w:lang w:eastAsia="pl-PL"/>
        </w:rPr>
        <w:t>Regulacja napięcia i mocy biernej</w:t>
      </w:r>
      <w:r w:rsidR="00DE0FBF" w:rsidRPr="00DE0FBF">
        <w:rPr>
          <w:rFonts w:ascii="Times New Roman" w:eastAsia="Times New Roman" w:hAnsi="Times New Roman" w:cs="Times New Roman"/>
          <w:color w:val="000000"/>
          <w:kern w:val="2"/>
          <w:sz w:val="24"/>
          <w:szCs w:val="24"/>
          <w:lang w:eastAsia="pl-PL"/>
        </w:rPr>
        <w:t xml:space="preserve"> </w:t>
      </w:r>
    </w:p>
    <w:p w14:paraId="0BA287C3" w14:textId="77777777" w:rsidR="00DE0FBF" w:rsidRPr="00DE0FBF" w:rsidRDefault="00DE0FBF" w:rsidP="00DE0FBF">
      <w:pPr>
        <w:spacing w:after="128" w:line="272" w:lineRule="auto"/>
        <w:ind w:left="1128" w:hanging="1071"/>
        <w:jc w:val="left"/>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8.5.1. </w:t>
      </w:r>
      <w:r w:rsidRPr="00DE0FBF">
        <w:rPr>
          <w:rFonts w:ascii="Times New Roman" w:eastAsia="Times New Roman" w:hAnsi="Times New Roman" w:cs="Times New Roman"/>
          <w:color w:val="000000"/>
          <w:kern w:val="2"/>
          <w:sz w:val="24"/>
          <w:szCs w:val="24"/>
          <w:lang w:eastAsia="pl-PL"/>
        </w:rPr>
        <w:tab/>
        <w:t xml:space="preserve">Wyposażenie farmy wiatrowej musi być tak dobrane, aby zapewnić utrzymanie, określonych w warunkach przyłączenia, warunków napięciowych (w miejscu przyłączenia do sieci lub innym określonym w warunkach przyłączenia) oraz stabilność współpracy z systemem elektroenergetycznym. </w:t>
      </w:r>
    </w:p>
    <w:p w14:paraId="753F016E" w14:textId="77777777" w:rsidR="00DE0FBF" w:rsidRPr="00DE0FBF" w:rsidRDefault="00DE0FBF" w:rsidP="00DE0FBF">
      <w:pPr>
        <w:spacing w:after="135" w:line="269" w:lineRule="auto"/>
        <w:ind w:left="1118" w:hanging="1061"/>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8.5.2. </w:t>
      </w:r>
      <w:r w:rsidRPr="00DE0FBF">
        <w:rPr>
          <w:rFonts w:ascii="Times New Roman" w:eastAsia="Times New Roman" w:hAnsi="Times New Roman" w:cs="Times New Roman"/>
          <w:color w:val="000000"/>
          <w:kern w:val="2"/>
          <w:sz w:val="24"/>
          <w:szCs w:val="24"/>
          <w:lang w:eastAsia="pl-PL"/>
        </w:rPr>
        <w:tab/>
        <w:t xml:space="preserve">Farma wiatrowa musi mieć możliwość regulacji współczynnika mocy lub napięcia w miejscu przyłączenia do sieci lub innym określonym w warunkach przyłączenia. Industria Dystrybucja Sp. z o.o. w warunkach przyłączenia do sieci określa wymagania w tym zakresie, wraz z potrzebą zastosowania automatycznej regulacji zdalnej. </w:t>
      </w:r>
    </w:p>
    <w:p w14:paraId="0D26BEA4" w14:textId="77777777" w:rsidR="00DE0FBF" w:rsidRPr="00DE0FBF" w:rsidRDefault="00DE0FBF" w:rsidP="00DE0FBF">
      <w:pPr>
        <w:spacing w:after="135" w:line="269" w:lineRule="auto"/>
        <w:ind w:left="1118" w:hanging="1061"/>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8.5.3. </w:t>
      </w:r>
      <w:r w:rsidRPr="00DE0FBF">
        <w:rPr>
          <w:rFonts w:ascii="Times New Roman" w:eastAsia="Times New Roman" w:hAnsi="Times New Roman" w:cs="Times New Roman"/>
          <w:color w:val="000000"/>
          <w:kern w:val="2"/>
          <w:sz w:val="24"/>
          <w:szCs w:val="24"/>
          <w:lang w:eastAsia="pl-PL"/>
        </w:rPr>
        <w:tab/>
        <w:t xml:space="preserve">Podczas produkcji mocy czynnej, farma wiatrowa przyłączona do sieci 110 </w:t>
      </w:r>
      <w:proofErr w:type="spellStart"/>
      <w:r w:rsidRPr="00DE0FBF">
        <w:rPr>
          <w:rFonts w:ascii="Times New Roman" w:eastAsia="Times New Roman" w:hAnsi="Times New Roman" w:cs="Times New Roman"/>
          <w:color w:val="000000"/>
          <w:kern w:val="2"/>
          <w:sz w:val="24"/>
          <w:szCs w:val="24"/>
          <w:lang w:eastAsia="pl-PL"/>
        </w:rPr>
        <w:t>kV</w:t>
      </w:r>
      <w:proofErr w:type="spellEnd"/>
      <w:r w:rsidRPr="00DE0FBF">
        <w:rPr>
          <w:rFonts w:ascii="Times New Roman" w:eastAsia="Times New Roman" w:hAnsi="Times New Roman" w:cs="Times New Roman"/>
          <w:color w:val="000000"/>
          <w:kern w:val="2"/>
          <w:sz w:val="24"/>
          <w:szCs w:val="24"/>
          <w:lang w:eastAsia="pl-PL"/>
        </w:rPr>
        <w:t xml:space="preserve"> musi mieć możliwość pracy ze współczynnikiem mocy w miejscu przyłączenia do sieci w granicach od 0,975 (indukcyjny) do 0,975 (pojemnościowy), w pełnym zakresie obciążenia farmy. </w:t>
      </w:r>
    </w:p>
    <w:p w14:paraId="226C5FCA" w14:textId="77777777" w:rsidR="00DE0FBF" w:rsidRPr="00DE0FBF" w:rsidRDefault="00DE0FBF" w:rsidP="00DE0FBF">
      <w:pPr>
        <w:spacing w:after="128" w:line="272" w:lineRule="auto"/>
        <w:ind w:left="1128" w:hanging="1071"/>
        <w:jc w:val="left"/>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8.5.4. </w:t>
      </w:r>
      <w:r w:rsidRPr="00DE0FBF">
        <w:rPr>
          <w:rFonts w:ascii="Times New Roman" w:eastAsia="Times New Roman" w:hAnsi="Times New Roman" w:cs="Times New Roman"/>
          <w:color w:val="000000"/>
          <w:kern w:val="2"/>
          <w:sz w:val="24"/>
          <w:szCs w:val="24"/>
          <w:lang w:eastAsia="pl-PL"/>
        </w:rPr>
        <w:tab/>
        <w:t xml:space="preserve">W zależności od warunków napięciowych w miejscu przyłączenia farmy wiatrowej do sieci, odpowiedni operator systemu może w trybie operatywnym zmieniać ww. zakres regulacji współczynnika </w:t>
      </w:r>
      <w:r w:rsidRPr="00DE0FBF">
        <w:rPr>
          <w:rFonts w:ascii="Times New Roman" w:eastAsia="Times New Roman" w:hAnsi="Times New Roman" w:cs="Times New Roman"/>
          <w:color w:val="000000"/>
          <w:kern w:val="2"/>
          <w:sz w:val="24"/>
          <w:szCs w:val="24"/>
          <w:lang w:eastAsia="pl-PL"/>
        </w:rPr>
        <w:tab/>
        <w:t xml:space="preserve">mocy lub wymagać pracy z określonym stałym współczynnikiem mocy. Dla farm wiatrowych przyłączanych do sieci 110 </w:t>
      </w:r>
      <w:proofErr w:type="spellStart"/>
      <w:r w:rsidRPr="00DE0FBF">
        <w:rPr>
          <w:rFonts w:ascii="Times New Roman" w:eastAsia="Times New Roman" w:hAnsi="Times New Roman" w:cs="Times New Roman"/>
          <w:color w:val="000000"/>
          <w:kern w:val="2"/>
          <w:sz w:val="24"/>
          <w:szCs w:val="24"/>
          <w:lang w:eastAsia="pl-PL"/>
        </w:rPr>
        <w:t>kV</w:t>
      </w:r>
      <w:proofErr w:type="spellEnd"/>
      <w:r w:rsidRPr="00DE0FBF">
        <w:rPr>
          <w:rFonts w:ascii="Times New Roman" w:eastAsia="Times New Roman" w:hAnsi="Times New Roman" w:cs="Times New Roman"/>
          <w:color w:val="000000"/>
          <w:kern w:val="2"/>
          <w:sz w:val="24"/>
          <w:szCs w:val="24"/>
          <w:lang w:eastAsia="pl-PL"/>
        </w:rPr>
        <w:t xml:space="preserve"> zmiana zakresu regulacji powinna odbywać się w sposób zdalny. </w:t>
      </w:r>
    </w:p>
    <w:p w14:paraId="45F5CB88" w14:textId="67189A19" w:rsidR="00DE0FBF" w:rsidRPr="00DE0FBF" w:rsidRDefault="00DE0FBF" w:rsidP="00443B72">
      <w:pPr>
        <w:spacing w:after="74" w:line="269" w:lineRule="auto"/>
        <w:ind w:left="1118" w:hanging="1061"/>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8.5.5. </w:t>
      </w:r>
      <w:r w:rsidRPr="00DE0FBF">
        <w:rPr>
          <w:rFonts w:ascii="Times New Roman" w:eastAsia="Times New Roman" w:hAnsi="Times New Roman" w:cs="Times New Roman"/>
          <w:color w:val="000000"/>
          <w:kern w:val="2"/>
          <w:sz w:val="24"/>
          <w:szCs w:val="24"/>
          <w:lang w:eastAsia="pl-PL"/>
        </w:rPr>
        <w:tab/>
        <w:t xml:space="preserve">Dla farm wiatrowych o mocy znamionowej w miejscu przyłączenia, równej 50 MW i wyższej, należy zapewnić system zdalnego sterowania napięciem farmy i mocą bierną, z zachowaniem możliwości współpracy z nadrzędnymi układami regulacji napięcia i mocy biernej, w tym także z istniejącymi układami regulacji napięcia na stacji ARST. </w:t>
      </w:r>
    </w:p>
    <w:p w14:paraId="018DFF92" w14:textId="1D645BAC" w:rsidR="00DE0FBF" w:rsidRPr="00DE0FBF" w:rsidRDefault="00443B72" w:rsidP="00443B72">
      <w:pPr>
        <w:keepNext/>
        <w:keepLines/>
        <w:numPr>
          <w:ilvl w:val="1"/>
          <w:numId w:val="0"/>
        </w:numPr>
        <w:spacing w:before="240" w:after="155" w:line="249" w:lineRule="auto"/>
        <w:ind w:left="1118" w:hanging="1061"/>
        <w:jc w:val="left"/>
        <w:outlineLvl w:val="1"/>
        <w:rPr>
          <w:rFonts w:ascii="Times New Roman" w:eastAsia="Times New Roman" w:hAnsi="Times New Roman" w:cs="Times New Roman"/>
          <w:b/>
          <w:color w:val="000000"/>
          <w:kern w:val="2"/>
          <w:sz w:val="24"/>
          <w:szCs w:val="24"/>
          <w:lang w:eastAsia="pl-PL"/>
        </w:rPr>
      </w:pPr>
      <w:r>
        <w:rPr>
          <w:rFonts w:ascii="Times New Roman" w:eastAsia="Times New Roman" w:hAnsi="Times New Roman" w:cs="Times New Roman"/>
          <w:b/>
          <w:color w:val="000000"/>
          <w:kern w:val="2"/>
          <w:sz w:val="24"/>
          <w:szCs w:val="24"/>
          <w:lang w:eastAsia="pl-PL"/>
        </w:rPr>
        <w:t xml:space="preserve">8.6. </w:t>
      </w:r>
      <w:r>
        <w:rPr>
          <w:rFonts w:ascii="Times New Roman" w:eastAsia="Times New Roman" w:hAnsi="Times New Roman" w:cs="Times New Roman"/>
          <w:b/>
          <w:color w:val="000000"/>
          <w:kern w:val="2"/>
          <w:sz w:val="24"/>
          <w:szCs w:val="24"/>
          <w:lang w:eastAsia="pl-PL"/>
        </w:rPr>
        <w:tab/>
      </w:r>
      <w:r w:rsidR="00DE0FBF" w:rsidRPr="00DE0FBF">
        <w:rPr>
          <w:rFonts w:ascii="Times New Roman" w:eastAsia="Times New Roman" w:hAnsi="Times New Roman" w:cs="Times New Roman"/>
          <w:b/>
          <w:color w:val="000000"/>
          <w:kern w:val="2"/>
          <w:sz w:val="24"/>
          <w:szCs w:val="24"/>
          <w:lang w:eastAsia="pl-PL"/>
        </w:rPr>
        <w:t>Praca farm wiatrowych przy zakłóceniach w sieci</w:t>
      </w:r>
      <w:r w:rsidR="00DE0FBF" w:rsidRPr="00DE0FBF">
        <w:rPr>
          <w:rFonts w:ascii="Times New Roman" w:eastAsia="Times New Roman" w:hAnsi="Times New Roman" w:cs="Times New Roman"/>
          <w:color w:val="000000"/>
          <w:kern w:val="2"/>
          <w:sz w:val="24"/>
          <w:szCs w:val="24"/>
          <w:lang w:eastAsia="pl-PL"/>
        </w:rPr>
        <w:t xml:space="preserve"> </w:t>
      </w:r>
    </w:p>
    <w:p w14:paraId="3F922B60" w14:textId="77777777" w:rsidR="00DE0FBF" w:rsidRPr="00DE0FBF" w:rsidRDefault="00DE0FBF" w:rsidP="00DE0FBF">
      <w:pPr>
        <w:spacing w:after="28" w:line="269" w:lineRule="auto"/>
        <w:ind w:left="1118" w:hanging="1061"/>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8.6.1. </w:t>
      </w:r>
      <w:r w:rsidRPr="00DE0FBF">
        <w:rPr>
          <w:rFonts w:ascii="Times New Roman" w:eastAsia="Times New Roman" w:hAnsi="Times New Roman" w:cs="Times New Roman"/>
          <w:color w:val="000000"/>
          <w:kern w:val="2"/>
          <w:sz w:val="24"/>
          <w:szCs w:val="24"/>
          <w:lang w:eastAsia="pl-PL"/>
        </w:rPr>
        <w:tab/>
        <w:t xml:space="preserve">Farmy wiatrowe przyłączone do sieci 110 </w:t>
      </w:r>
      <w:proofErr w:type="spellStart"/>
      <w:r w:rsidRPr="00DE0FBF">
        <w:rPr>
          <w:rFonts w:ascii="Times New Roman" w:eastAsia="Times New Roman" w:hAnsi="Times New Roman" w:cs="Times New Roman"/>
          <w:color w:val="000000"/>
          <w:kern w:val="2"/>
          <w:sz w:val="24"/>
          <w:szCs w:val="24"/>
          <w:lang w:eastAsia="pl-PL"/>
        </w:rPr>
        <w:t>kV</w:t>
      </w:r>
      <w:proofErr w:type="spellEnd"/>
      <w:r w:rsidRPr="00DE0FBF">
        <w:rPr>
          <w:rFonts w:ascii="Times New Roman" w:eastAsia="Times New Roman" w:hAnsi="Times New Roman" w:cs="Times New Roman"/>
          <w:color w:val="000000"/>
          <w:kern w:val="2"/>
          <w:sz w:val="24"/>
          <w:szCs w:val="24"/>
          <w:lang w:eastAsia="pl-PL"/>
        </w:rPr>
        <w:t xml:space="preserve"> powinny być przystosowane do utrzymania się w pracy w przypadku wystąpienia zwarć w sieci skutkujących obniżką napięcia w miejscu przyłączenia do sieci. Krzywa przedstawiona na rysunku poniżej przedstawia obszar, powyżej którego jednostki wytwórcze farmy wiatrowej nie mogą być wyłączane. </w:t>
      </w:r>
    </w:p>
    <w:p w14:paraId="6596E993" w14:textId="77777777" w:rsidR="00DE0FBF" w:rsidRPr="00DE0FBF" w:rsidRDefault="00DE0FBF" w:rsidP="00DE0FBF">
      <w:pPr>
        <w:spacing w:after="38" w:line="259" w:lineRule="auto"/>
        <w:ind w:right="1351"/>
        <w:jc w:val="right"/>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noProof/>
          <w:color w:val="000000"/>
          <w:kern w:val="2"/>
          <w:sz w:val="24"/>
          <w:szCs w:val="24"/>
          <w:lang w:eastAsia="pl-PL"/>
        </w:rPr>
        <w:lastRenderedPageBreak/>
        <w:drawing>
          <wp:inline distT="0" distB="0" distL="0" distR="0" wp14:anchorId="2851C425" wp14:editId="63DE96A8">
            <wp:extent cx="3590544" cy="1933956"/>
            <wp:effectExtent l="0" t="0" r="0" b="0"/>
            <wp:docPr id="3388" name="Picture 3388"/>
            <wp:cNvGraphicFramePr/>
            <a:graphic xmlns:a="http://schemas.openxmlformats.org/drawingml/2006/main">
              <a:graphicData uri="http://schemas.openxmlformats.org/drawingml/2006/picture">
                <pic:pic xmlns:pic="http://schemas.openxmlformats.org/drawingml/2006/picture">
                  <pic:nvPicPr>
                    <pic:cNvPr id="3388" name="Picture 3388"/>
                    <pic:cNvPicPr/>
                  </pic:nvPicPr>
                  <pic:blipFill>
                    <a:blip r:embed="rId43"/>
                    <a:stretch>
                      <a:fillRect/>
                    </a:stretch>
                  </pic:blipFill>
                  <pic:spPr>
                    <a:xfrm>
                      <a:off x="0" y="0"/>
                      <a:ext cx="3590544" cy="1933956"/>
                    </a:xfrm>
                    <a:prstGeom prst="rect">
                      <a:avLst/>
                    </a:prstGeom>
                  </pic:spPr>
                </pic:pic>
              </a:graphicData>
            </a:graphic>
          </wp:inline>
        </w:drawing>
      </w:r>
      <w:r w:rsidRPr="00DE0FBF">
        <w:rPr>
          <w:rFonts w:ascii="Times New Roman" w:eastAsia="Times New Roman" w:hAnsi="Times New Roman" w:cs="Times New Roman"/>
          <w:color w:val="000000"/>
          <w:kern w:val="2"/>
          <w:sz w:val="24"/>
          <w:szCs w:val="24"/>
          <w:lang w:eastAsia="pl-PL"/>
        </w:rPr>
        <w:t xml:space="preserve"> </w:t>
      </w:r>
    </w:p>
    <w:p w14:paraId="698BA0B0" w14:textId="77777777" w:rsidR="00DE0FBF" w:rsidRPr="00DE0FBF" w:rsidRDefault="00DE0FBF" w:rsidP="00DE0FBF">
      <w:pPr>
        <w:spacing w:after="132" w:line="269" w:lineRule="auto"/>
        <w:ind w:left="2340" w:right="1087" w:hanging="10"/>
        <w:jc w:val="center"/>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i/>
          <w:color w:val="000000"/>
          <w:kern w:val="2"/>
          <w:sz w:val="24"/>
          <w:szCs w:val="24"/>
          <w:lang w:eastAsia="pl-PL"/>
        </w:rPr>
        <w:t xml:space="preserve">Charakterystyka wymaganego zakresu pracy farmy wiatrowej w przypadku wystąpienia zakłóceń w sieci </w:t>
      </w:r>
    </w:p>
    <w:p w14:paraId="2CA07C8B" w14:textId="77777777" w:rsidR="00DE0FBF" w:rsidRPr="00DE0FBF" w:rsidRDefault="00DE0FBF" w:rsidP="00DE0FBF">
      <w:pPr>
        <w:spacing w:after="115" w:line="269" w:lineRule="auto"/>
        <w:ind w:left="1118" w:hanging="1061"/>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8.6.2. </w:t>
      </w:r>
      <w:r w:rsidRPr="00DE0FBF">
        <w:rPr>
          <w:rFonts w:ascii="Times New Roman" w:eastAsia="Times New Roman" w:hAnsi="Times New Roman" w:cs="Times New Roman"/>
          <w:color w:val="000000"/>
          <w:kern w:val="2"/>
          <w:sz w:val="24"/>
          <w:szCs w:val="24"/>
          <w:lang w:eastAsia="pl-PL"/>
        </w:rPr>
        <w:tab/>
        <w:t xml:space="preserve">W niektórych lokalizacjach, Industria Dystrybucja Sp. z o.o. może wymagać, by farmy wiatrowe podczas zakłóceń w systemie produkowały z możliwie dużą, w ramach ograniczeń technicznych moc bierną. Wymaganie to określa Industria Dystrybucja Sp. z o.o. w warunkach przyłączenia do sieci lub umowie o przyłączenie. </w:t>
      </w:r>
    </w:p>
    <w:p w14:paraId="23D6BCF6" w14:textId="77777777" w:rsidR="00DE0FBF" w:rsidRPr="00DE0FBF" w:rsidRDefault="00DE0FBF" w:rsidP="00DE0FBF">
      <w:pPr>
        <w:spacing w:after="128" w:line="272" w:lineRule="auto"/>
        <w:ind w:left="1128" w:hanging="1071"/>
        <w:jc w:val="left"/>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8.6.3. </w:t>
      </w:r>
      <w:r w:rsidRPr="00DE0FBF">
        <w:rPr>
          <w:rFonts w:ascii="Times New Roman" w:eastAsia="Times New Roman" w:hAnsi="Times New Roman" w:cs="Times New Roman"/>
          <w:color w:val="000000"/>
          <w:kern w:val="2"/>
          <w:sz w:val="24"/>
          <w:szCs w:val="24"/>
          <w:lang w:eastAsia="pl-PL"/>
        </w:rPr>
        <w:tab/>
        <w:t xml:space="preserve">Wymagania w zakresie pracy farmy wiatrowej przy zakłóceniach w sieci, Industria Dystrybucja Sp. z o.o. określa w warunkach przyłączenia do sieci, biorąc pod uwagę rodzaj zastosowanych generatorów, moc farmy wiatrowej, jej położenie w sieci, koncentrację generacji wiatrowej w systemie i wyniki ekspertyzy wpływu przyłączanej farmy wiatrowej na system. </w:t>
      </w:r>
    </w:p>
    <w:p w14:paraId="001BE264" w14:textId="6E6DBBA0" w:rsidR="00DE0FBF" w:rsidRPr="00DE0FBF" w:rsidRDefault="00DE0FBF" w:rsidP="00DE0FBF">
      <w:pPr>
        <w:spacing w:after="115" w:line="269" w:lineRule="auto"/>
        <w:ind w:left="1118" w:hanging="1118"/>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8.6.4. </w:t>
      </w:r>
      <w:r w:rsidRPr="00DE0FBF">
        <w:rPr>
          <w:rFonts w:ascii="Times New Roman" w:eastAsia="Times New Roman" w:hAnsi="Times New Roman" w:cs="Times New Roman"/>
          <w:color w:val="000000"/>
          <w:kern w:val="2"/>
          <w:sz w:val="24"/>
          <w:szCs w:val="24"/>
          <w:lang w:eastAsia="pl-PL"/>
        </w:rPr>
        <w:tab/>
        <w:t xml:space="preserve">Podczas zakłóceń skutkujących obniżeniem napięcia w miejscu przyłączenia do sieci, </w:t>
      </w:r>
      <w:r w:rsidR="00443B72" w:rsidRPr="00DE0FBF">
        <w:rPr>
          <w:rFonts w:ascii="Times New Roman" w:eastAsia="Times New Roman" w:hAnsi="Times New Roman" w:cs="Times New Roman"/>
          <w:color w:val="000000"/>
          <w:kern w:val="2"/>
          <w:sz w:val="24"/>
          <w:szCs w:val="24"/>
          <w:lang w:eastAsia="pl-PL"/>
        </w:rPr>
        <w:t>do wartości</w:t>
      </w:r>
      <w:r w:rsidRPr="00DE0FBF">
        <w:rPr>
          <w:rFonts w:ascii="Times New Roman" w:eastAsia="Times New Roman" w:hAnsi="Times New Roman" w:cs="Times New Roman"/>
          <w:color w:val="000000"/>
          <w:kern w:val="2"/>
          <w:sz w:val="24"/>
          <w:szCs w:val="24"/>
          <w:lang w:eastAsia="pl-PL"/>
        </w:rPr>
        <w:t xml:space="preserve"> zgodnych z wykresem w pkt. 8.6.1. niniejszego załącznika (obszar powyżej krzywej), farma wiatrowa przyłączana do sieci 110 </w:t>
      </w:r>
      <w:proofErr w:type="spellStart"/>
      <w:r w:rsidRPr="00DE0FBF">
        <w:rPr>
          <w:rFonts w:ascii="Times New Roman" w:eastAsia="Times New Roman" w:hAnsi="Times New Roman" w:cs="Times New Roman"/>
          <w:color w:val="000000"/>
          <w:kern w:val="2"/>
          <w:sz w:val="24"/>
          <w:szCs w:val="24"/>
          <w:lang w:eastAsia="pl-PL"/>
        </w:rPr>
        <w:t>kV</w:t>
      </w:r>
      <w:proofErr w:type="spellEnd"/>
      <w:r w:rsidRPr="00DE0FBF">
        <w:rPr>
          <w:rFonts w:ascii="Times New Roman" w:eastAsia="Times New Roman" w:hAnsi="Times New Roman" w:cs="Times New Roman"/>
          <w:color w:val="000000"/>
          <w:kern w:val="2"/>
          <w:sz w:val="24"/>
          <w:szCs w:val="24"/>
          <w:lang w:eastAsia="pl-PL"/>
        </w:rPr>
        <w:t xml:space="preserve"> nie może utracić zdolności regulacji mocy biernej i musi aktywnie oddziaływać w kierunku podtrzymania napięcia, w ramach ograniczeń technicznych farmy wiatrowej. </w:t>
      </w:r>
    </w:p>
    <w:p w14:paraId="48C8D292" w14:textId="77777777" w:rsidR="00DE0FBF" w:rsidRPr="00DE0FBF" w:rsidRDefault="00DE0FBF" w:rsidP="00DE0FBF">
      <w:pPr>
        <w:spacing w:after="135" w:line="269" w:lineRule="auto"/>
        <w:ind w:left="1118" w:hanging="1061"/>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ab/>
        <w:t xml:space="preserve"> </w:t>
      </w:r>
    </w:p>
    <w:p w14:paraId="5B430660" w14:textId="6B720CC3" w:rsidR="00DE0FBF" w:rsidRPr="00DE0FBF" w:rsidRDefault="00443B72" w:rsidP="00DE0FBF">
      <w:pPr>
        <w:keepNext/>
        <w:keepLines/>
        <w:numPr>
          <w:ilvl w:val="1"/>
          <w:numId w:val="0"/>
        </w:numPr>
        <w:spacing w:after="155" w:line="249" w:lineRule="auto"/>
        <w:ind w:left="1118" w:hanging="1061"/>
        <w:jc w:val="left"/>
        <w:outlineLvl w:val="1"/>
        <w:rPr>
          <w:rFonts w:ascii="Times New Roman" w:eastAsia="Times New Roman" w:hAnsi="Times New Roman" w:cs="Times New Roman"/>
          <w:b/>
          <w:color w:val="000000"/>
          <w:kern w:val="2"/>
          <w:sz w:val="24"/>
          <w:szCs w:val="24"/>
          <w:lang w:eastAsia="pl-PL"/>
        </w:rPr>
      </w:pPr>
      <w:r>
        <w:rPr>
          <w:rFonts w:ascii="Times New Roman" w:eastAsia="Times New Roman" w:hAnsi="Times New Roman" w:cs="Times New Roman"/>
          <w:b/>
          <w:color w:val="000000"/>
          <w:kern w:val="2"/>
          <w:sz w:val="24"/>
          <w:szCs w:val="24"/>
          <w:lang w:eastAsia="pl-PL"/>
        </w:rPr>
        <w:t xml:space="preserve">8.7. </w:t>
      </w:r>
      <w:r>
        <w:rPr>
          <w:rFonts w:ascii="Times New Roman" w:eastAsia="Times New Roman" w:hAnsi="Times New Roman" w:cs="Times New Roman"/>
          <w:b/>
          <w:color w:val="000000"/>
          <w:kern w:val="2"/>
          <w:sz w:val="24"/>
          <w:szCs w:val="24"/>
          <w:lang w:eastAsia="pl-PL"/>
        </w:rPr>
        <w:tab/>
      </w:r>
      <w:r w:rsidR="00DE0FBF" w:rsidRPr="00DE0FBF">
        <w:rPr>
          <w:rFonts w:ascii="Times New Roman" w:eastAsia="Times New Roman" w:hAnsi="Times New Roman" w:cs="Times New Roman"/>
          <w:b/>
          <w:color w:val="000000"/>
          <w:kern w:val="2"/>
          <w:sz w:val="24"/>
          <w:szCs w:val="24"/>
          <w:lang w:eastAsia="pl-PL"/>
        </w:rPr>
        <w:t>Dotrzymanie standardów jakości energii</w:t>
      </w:r>
      <w:r w:rsidR="00DE0FBF" w:rsidRPr="00DE0FBF">
        <w:rPr>
          <w:rFonts w:ascii="Times New Roman" w:eastAsia="Times New Roman" w:hAnsi="Times New Roman" w:cs="Times New Roman"/>
          <w:color w:val="000000"/>
          <w:kern w:val="2"/>
          <w:sz w:val="24"/>
          <w:szCs w:val="24"/>
          <w:lang w:eastAsia="pl-PL"/>
        </w:rPr>
        <w:t xml:space="preserve"> </w:t>
      </w:r>
    </w:p>
    <w:p w14:paraId="35588936" w14:textId="77777777" w:rsidR="00DE0FBF" w:rsidRPr="00DE0FBF" w:rsidRDefault="00DE0FBF" w:rsidP="00DE0FBF">
      <w:pPr>
        <w:spacing w:after="135" w:line="269" w:lineRule="auto"/>
        <w:ind w:left="1118" w:hanging="1061"/>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8.7.1. </w:t>
      </w:r>
      <w:r w:rsidRPr="00DE0FBF">
        <w:rPr>
          <w:rFonts w:ascii="Times New Roman" w:eastAsia="Times New Roman" w:hAnsi="Times New Roman" w:cs="Times New Roman"/>
          <w:color w:val="000000"/>
          <w:kern w:val="2"/>
          <w:sz w:val="24"/>
          <w:szCs w:val="24"/>
          <w:lang w:eastAsia="pl-PL"/>
        </w:rPr>
        <w:tab/>
        <w:t xml:space="preserve">Farma wiatrowa nie powinna powodować nagłych zmian i skoków napięcia przekraczających 3 %. W przypadku, gdy zakłócenia napięcia spowodowane pracą farmy wiatrowej mają charakter powtarzający się, zakres jednorazowej szybkiej zmiany wartości skutecznej napięcia nie może przekraczać 2,5% dla częstości do 10 zakłóceń/godz. i 1,5% dla częstości do 100 zakłóceń/godz. Wymagania powyższe dotyczą również przypadków rozruchu i wyłączeń jednostek wytwórczych. </w:t>
      </w:r>
    </w:p>
    <w:p w14:paraId="2094AB85" w14:textId="77777777" w:rsidR="00DE0FBF" w:rsidRPr="00DE0FBF" w:rsidRDefault="00DE0FBF" w:rsidP="00DE0FBF">
      <w:pPr>
        <w:spacing w:after="135" w:line="269" w:lineRule="auto"/>
        <w:ind w:left="1118" w:hanging="1061"/>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8.7.2. </w:t>
      </w:r>
      <w:r w:rsidRPr="00DE0FBF">
        <w:rPr>
          <w:rFonts w:ascii="Times New Roman" w:eastAsia="Times New Roman" w:hAnsi="Times New Roman" w:cs="Times New Roman"/>
          <w:color w:val="000000"/>
          <w:kern w:val="2"/>
          <w:sz w:val="24"/>
          <w:szCs w:val="24"/>
          <w:lang w:eastAsia="pl-PL"/>
        </w:rPr>
        <w:tab/>
        <w:t xml:space="preserve">Szybkie zmiany napięcia spowodowane pulsacją mocy farmy wiatrowej o częstotliwości rzędu 1 </w:t>
      </w:r>
      <w:proofErr w:type="spellStart"/>
      <w:r w:rsidRPr="00DE0FBF">
        <w:rPr>
          <w:rFonts w:ascii="Times New Roman" w:eastAsia="Times New Roman" w:hAnsi="Times New Roman" w:cs="Times New Roman"/>
          <w:color w:val="000000"/>
          <w:kern w:val="2"/>
          <w:sz w:val="24"/>
          <w:szCs w:val="24"/>
          <w:lang w:eastAsia="pl-PL"/>
        </w:rPr>
        <w:t>Hz</w:t>
      </w:r>
      <w:proofErr w:type="spellEnd"/>
      <w:r w:rsidRPr="00DE0FBF">
        <w:rPr>
          <w:rFonts w:ascii="Times New Roman" w:eastAsia="Times New Roman" w:hAnsi="Times New Roman" w:cs="Times New Roman"/>
          <w:color w:val="000000"/>
          <w:kern w:val="2"/>
          <w:sz w:val="24"/>
          <w:szCs w:val="24"/>
          <w:lang w:eastAsia="pl-PL"/>
        </w:rPr>
        <w:t xml:space="preserve"> powinny mieć amplitudę nie większą niż 0,7%. </w:t>
      </w:r>
    </w:p>
    <w:p w14:paraId="0284CB10" w14:textId="77777777" w:rsidR="00DE0FBF" w:rsidRPr="00DE0FBF" w:rsidRDefault="00DE0FBF" w:rsidP="00DE0FBF">
      <w:pPr>
        <w:spacing w:after="53" w:line="269" w:lineRule="auto"/>
        <w:ind w:left="1118" w:hanging="1061"/>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8.7.3. </w:t>
      </w:r>
      <w:r w:rsidRPr="00DE0FBF">
        <w:rPr>
          <w:rFonts w:ascii="Times New Roman" w:eastAsia="Times New Roman" w:hAnsi="Times New Roman" w:cs="Times New Roman"/>
          <w:color w:val="000000"/>
          <w:kern w:val="2"/>
          <w:sz w:val="24"/>
          <w:szCs w:val="24"/>
          <w:lang w:eastAsia="pl-PL"/>
        </w:rPr>
        <w:tab/>
        <w:t>Wskaźniki krótkookresowego (P</w:t>
      </w:r>
      <w:r w:rsidRPr="00DE0FBF">
        <w:rPr>
          <w:rFonts w:ascii="Times New Roman" w:eastAsia="Times New Roman" w:hAnsi="Times New Roman" w:cs="Times New Roman"/>
          <w:color w:val="000000"/>
          <w:kern w:val="2"/>
          <w:sz w:val="16"/>
          <w:szCs w:val="24"/>
          <w:lang w:eastAsia="pl-PL"/>
        </w:rPr>
        <w:t>st</w:t>
      </w:r>
      <w:r w:rsidRPr="00DE0FBF">
        <w:rPr>
          <w:rFonts w:ascii="Times New Roman" w:eastAsia="Times New Roman" w:hAnsi="Times New Roman" w:cs="Times New Roman"/>
          <w:color w:val="000000"/>
          <w:kern w:val="2"/>
          <w:sz w:val="24"/>
          <w:szCs w:val="24"/>
          <w:lang w:eastAsia="pl-PL"/>
        </w:rPr>
        <w:t>) i długookresowego (</w:t>
      </w:r>
      <w:proofErr w:type="spellStart"/>
      <w:r w:rsidRPr="00DE0FBF">
        <w:rPr>
          <w:rFonts w:ascii="Times New Roman" w:eastAsia="Times New Roman" w:hAnsi="Times New Roman" w:cs="Times New Roman"/>
          <w:color w:val="000000"/>
          <w:kern w:val="2"/>
          <w:sz w:val="24"/>
          <w:szCs w:val="24"/>
          <w:lang w:eastAsia="pl-PL"/>
        </w:rPr>
        <w:t>P</w:t>
      </w:r>
      <w:r w:rsidRPr="00DE0FBF">
        <w:rPr>
          <w:rFonts w:ascii="Times New Roman" w:eastAsia="Times New Roman" w:hAnsi="Times New Roman" w:cs="Times New Roman"/>
          <w:color w:val="000000"/>
          <w:kern w:val="2"/>
          <w:sz w:val="16"/>
          <w:szCs w:val="24"/>
          <w:lang w:eastAsia="pl-PL"/>
        </w:rPr>
        <w:t>lt</w:t>
      </w:r>
      <w:proofErr w:type="spellEnd"/>
      <w:r w:rsidRPr="00DE0FBF">
        <w:rPr>
          <w:rFonts w:ascii="Times New Roman" w:eastAsia="Times New Roman" w:hAnsi="Times New Roman" w:cs="Times New Roman"/>
          <w:color w:val="000000"/>
          <w:kern w:val="2"/>
          <w:sz w:val="24"/>
          <w:szCs w:val="24"/>
          <w:lang w:eastAsia="pl-PL"/>
        </w:rPr>
        <w:t xml:space="preserve">) migotania napięcia farm wiatrowych przyłączonych do sieci 110 </w:t>
      </w:r>
      <w:proofErr w:type="spellStart"/>
      <w:r w:rsidRPr="00DE0FBF">
        <w:rPr>
          <w:rFonts w:ascii="Times New Roman" w:eastAsia="Times New Roman" w:hAnsi="Times New Roman" w:cs="Times New Roman"/>
          <w:color w:val="000000"/>
          <w:kern w:val="2"/>
          <w:sz w:val="24"/>
          <w:szCs w:val="24"/>
          <w:lang w:eastAsia="pl-PL"/>
        </w:rPr>
        <w:t>kV</w:t>
      </w:r>
      <w:proofErr w:type="spellEnd"/>
      <w:r w:rsidRPr="00DE0FBF">
        <w:rPr>
          <w:rFonts w:ascii="Times New Roman" w:eastAsia="Times New Roman" w:hAnsi="Times New Roman" w:cs="Times New Roman"/>
          <w:color w:val="000000"/>
          <w:kern w:val="2"/>
          <w:sz w:val="24"/>
          <w:szCs w:val="24"/>
          <w:lang w:eastAsia="pl-PL"/>
        </w:rPr>
        <w:t xml:space="preserve"> oraz SN nie powinny przekraczać odpowiednio wartości: </w:t>
      </w:r>
    </w:p>
    <w:p w14:paraId="3B6ECBB3" w14:textId="77777777" w:rsidR="00DE0FBF" w:rsidRPr="00DE0FBF" w:rsidRDefault="00DE0FBF">
      <w:pPr>
        <w:numPr>
          <w:ilvl w:val="0"/>
          <w:numId w:val="203"/>
        </w:numPr>
        <w:spacing w:after="60" w:line="269" w:lineRule="auto"/>
        <w:ind w:right="4" w:hanging="358"/>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lastRenderedPageBreak/>
        <w:t xml:space="preserve">P </w:t>
      </w:r>
      <w:proofErr w:type="spellStart"/>
      <w:r w:rsidRPr="00DE0FBF">
        <w:rPr>
          <w:rFonts w:ascii="Times New Roman" w:eastAsia="Times New Roman" w:hAnsi="Times New Roman" w:cs="Times New Roman"/>
          <w:color w:val="000000"/>
          <w:kern w:val="2"/>
          <w:sz w:val="16"/>
          <w:szCs w:val="24"/>
          <w:lang w:eastAsia="pl-PL"/>
        </w:rPr>
        <w:t>st</w:t>
      </w:r>
      <w:proofErr w:type="spellEnd"/>
      <w:r w:rsidRPr="00DE0FBF">
        <w:rPr>
          <w:rFonts w:ascii="Times New Roman" w:eastAsia="Times New Roman" w:hAnsi="Times New Roman" w:cs="Times New Roman"/>
          <w:color w:val="000000"/>
          <w:kern w:val="2"/>
          <w:sz w:val="16"/>
          <w:szCs w:val="24"/>
          <w:lang w:eastAsia="pl-PL"/>
        </w:rPr>
        <w:t xml:space="preserve"> </w:t>
      </w:r>
      <w:r w:rsidRPr="00DE0FBF">
        <w:rPr>
          <w:rFonts w:ascii="Times New Roman" w:eastAsia="Times New Roman" w:hAnsi="Times New Roman" w:cs="Times New Roman"/>
          <w:color w:val="000000"/>
          <w:kern w:val="2"/>
          <w:sz w:val="24"/>
          <w:szCs w:val="24"/>
          <w:lang w:eastAsia="pl-PL"/>
        </w:rPr>
        <w:t xml:space="preserve">&lt; 0,35 dla sieci 110 </w:t>
      </w:r>
      <w:proofErr w:type="spellStart"/>
      <w:r w:rsidRPr="00DE0FBF">
        <w:rPr>
          <w:rFonts w:ascii="Times New Roman" w:eastAsia="Times New Roman" w:hAnsi="Times New Roman" w:cs="Times New Roman"/>
          <w:color w:val="000000"/>
          <w:kern w:val="2"/>
          <w:sz w:val="24"/>
          <w:szCs w:val="24"/>
          <w:lang w:eastAsia="pl-PL"/>
        </w:rPr>
        <w:t>kV</w:t>
      </w:r>
      <w:proofErr w:type="spellEnd"/>
      <w:r w:rsidRPr="00DE0FBF">
        <w:rPr>
          <w:rFonts w:ascii="Times New Roman" w:eastAsia="Times New Roman" w:hAnsi="Times New Roman" w:cs="Times New Roman"/>
          <w:color w:val="000000"/>
          <w:kern w:val="2"/>
          <w:sz w:val="24"/>
          <w:szCs w:val="24"/>
          <w:lang w:eastAsia="pl-PL"/>
        </w:rPr>
        <w:t xml:space="preserve"> i P </w:t>
      </w:r>
      <w:proofErr w:type="spellStart"/>
      <w:r w:rsidRPr="00DE0FBF">
        <w:rPr>
          <w:rFonts w:ascii="Times New Roman" w:eastAsia="Times New Roman" w:hAnsi="Times New Roman" w:cs="Times New Roman"/>
          <w:color w:val="000000"/>
          <w:kern w:val="2"/>
          <w:sz w:val="16"/>
          <w:szCs w:val="24"/>
          <w:lang w:eastAsia="pl-PL"/>
        </w:rPr>
        <w:t>st</w:t>
      </w:r>
      <w:proofErr w:type="spellEnd"/>
      <w:r w:rsidRPr="00DE0FBF">
        <w:rPr>
          <w:rFonts w:ascii="Times New Roman" w:eastAsia="Times New Roman" w:hAnsi="Times New Roman" w:cs="Times New Roman"/>
          <w:color w:val="000000"/>
          <w:kern w:val="2"/>
          <w:sz w:val="16"/>
          <w:szCs w:val="24"/>
          <w:lang w:eastAsia="pl-PL"/>
        </w:rPr>
        <w:t xml:space="preserve"> </w:t>
      </w:r>
      <w:r w:rsidRPr="00DE0FBF">
        <w:rPr>
          <w:rFonts w:ascii="Times New Roman" w:eastAsia="Times New Roman" w:hAnsi="Times New Roman" w:cs="Times New Roman"/>
          <w:color w:val="000000"/>
          <w:kern w:val="2"/>
          <w:sz w:val="24"/>
          <w:szCs w:val="24"/>
          <w:lang w:eastAsia="pl-PL"/>
        </w:rPr>
        <w:t xml:space="preserve">&lt; 0,45 dla sieci SN, </w:t>
      </w:r>
    </w:p>
    <w:p w14:paraId="24897649" w14:textId="77777777" w:rsidR="00DE0FBF" w:rsidRPr="00DE0FBF" w:rsidRDefault="00DE0FBF">
      <w:pPr>
        <w:numPr>
          <w:ilvl w:val="0"/>
          <w:numId w:val="203"/>
        </w:numPr>
        <w:spacing w:after="135" w:line="269" w:lineRule="auto"/>
        <w:ind w:right="4" w:hanging="358"/>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P </w:t>
      </w:r>
      <w:proofErr w:type="spellStart"/>
      <w:r w:rsidRPr="00DE0FBF">
        <w:rPr>
          <w:rFonts w:ascii="Times New Roman" w:eastAsia="Times New Roman" w:hAnsi="Times New Roman" w:cs="Times New Roman"/>
          <w:color w:val="000000"/>
          <w:kern w:val="2"/>
          <w:sz w:val="16"/>
          <w:szCs w:val="24"/>
          <w:lang w:eastAsia="pl-PL"/>
        </w:rPr>
        <w:t>lt</w:t>
      </w:r>
      <w:proofErr w:type="spellEnd"/>
      <w:r w:rsidRPr="00DE0FBF">
        <w:rPr>
          <w:rFonts w:ascii="Times New Roman" w:eastAsia="Times New Roman" w:hAnsi="Times New Roman" w:cs="Times New Roman"/>
          <w:color w:val="000000"/>
          <w:kern w:val="2"/>
          <w:sz w:val="16"/>
          <w:szCs w:val="24"/>
          <w:lang w:eastAsia="pl-PL"/>
        </w:rPr>
        <w:t xml:space="preserve"> </w:t>
      </w:r>
      <w:r w:rsidRPr="00DE0FBF">
        <w:rPr>
          <w:rFonts w:ascii="Times New Roman" w:eastAsia="Times New Roman" w:hAnsi="Times New Roman" w:cs="Times New Roman"/>
          <w:color w:val="000000"/>
          <w:kern w:val="2"/>
          <w:sz w:val="24"/>
          <w:szCs w:val="24"/>
          <w:lang w:eastAsia="pl-PL"/>
        </w:rPr>
        <w:t xml:space="preserve">&lt; 0,25 dla sieci 110 </w:t>
      </w:r>
      <w:proofErr w:type="spellStart"/>
      <w:r w:rsidRPr="00DE0FBF">
        <w:rPr>
          <w:rFonts w:ascii="Times New Roman" w:eastAsia="Times New Roman" w:hAnsi="Times New Roman" w:cs="Times New Roman"/>
          <w:color w:val="000000"/>
          <w:kern w:val="2"/>
          <w:sz w:val="24"/>
          <w:szCs w:val="24"/>
          <w:lang w:eastAsia="pl-PL"/>
        </w:rPr>
        <w:t>kV</w:t>
      </w:r>
      <w:proofErr w:type="spellEnd"/>
      <w:r w:rsidRPr="00DE0FBF">
        <w:rPr>
          <w:rFonts w:ascii="Times New Roman" w:eastAsia="Times New Roman" w:hAnsi="Times New Roman" w:cs="Times New Roman"/>
          <w:color w:val="000000"/>
          <w:kern w:val="2"/>
          <w:sz w:val="24"/>
          <w:szCs w:val="24"/>
          <w:lang w:eastAsia="pl-PL"/>
        </w:rPr>
        <w:t xml:space="preserve"> i P </w:t>
      </w:r>
      <w:proofErr w:type="spellStart"/>
      <w:r w:rsidRPr="00DE0FBF">
        <w:rPr>
          <w:rFonts w:ascii="Times New Roman" w:eastAsia="Times New Roman" w:hAnsi="Times New Roman" w:cs="Times New Roman"/>
          <w:color w:val="000000"/>
          <w:kern w:val="2"/>
          <w:sz w:val="16"/>
          <w:szCs w:val="24"/>
          <w:lang w:eastAsia="pl-PL"/>
        </w:rPr>
        <w:t>lt</w:t>
      </w:r>
      <w:proofErr w:type="spellEnd"/>
      <w:r w:rsidRPr="00DE0FBF">
        <w:rPr>
          <w:rFonts w:ascii="Times New Roman" w:eastAsia="Times New Roman" w:hAnsi="Times New Roman" w:cs="Times New Roman"/>
          <w:color w:val="000000"/>
          <w:kern w:val="2"/>
          <w:sz w:val="16"/>
          <w:szCs w:val="24"/>
          <w:lang w:eastAsia="pl-PL"/>
        </w:rPr>
        <w:t xml:space="preserve"> </w:t>
      </w:r>
      <w:r w:rsidRPr="00DE0FBF">
        <w:rPr>
          <w:rFonts w:ascii="Times New Roman" w:eastAsia="Times New Roman" w:hAnsi="Times New Roman" w:cs="Times New Roman"/>
          <w:color w:val="000000"/>
          <w:kern w:val="2"/>
          <w:sz w:val="24"/>
          <w:szCs w:val="24"/>
          <w:lang w:eastAsia="pl-PL"/>
        </w:rPr>
        <w:t xml:space="preserve">&lt; 0,35 dla sieci SN. </w:t>
      </w:r>
    </w:p>
    <w:p w14:paraId="488B9A59" w14:textId="77777777" w:rsidR="00DE0FBF" w:rsidRPr="00DE0FBF" w:rsidRDefault="00DE0FBF" w:rsidP="00DE0FBF">
      <w:pPr>
        <w:spacing w:after="135" w:line="269" w:lineRule="auto"/>
        <w:ind w:left="1118" w:hanging="1061"/>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8.7.4. </w:t>
      </w:r>
      <w:r w:rsidRPr="00DE0FBF">
        <w:rPr>
          <w:rFonts w:ascii="Times New Roman" w:eastAsia="Times New Roman" w:hAnsi="Times New Roman" w:cs="Times New Roman"/>
          <w:color w:val="000000"/>
          <w:kern w:val="2"/>
          <w:sz w:val="24"/>
          <w:szCs w:val="24"/>
          <w:lang w:eastAsia="pl-PL"/>
        </w:rPr>
        <w:tab/>
        <w:t xml:space="preserve">Farmy wiatrowe nie powinny powodować w miejscu przyłączenia emisji pojedynczych harmonicznych napięcia rzędu od 2 do 50 większych niż 0,7% dla sieci 110 </w:t>
      </w:r>
      <w:proofErr w:type="spellStart"/>
      <w:r w:rsidRPr="00DE0FBF">
        <w:rPr>
          <w:rFonts w:ascii="Times New Roman" w:eastAsia="Times New Roman" w:hAnsi="Times New Roman" w:cs="Times New Roman"/>
          <w:color w:val="000000"/>
          <w:kern w:val="2"/>
          <w:sz w:val="24"/>
          <w:szCs w:val="24"/>
          <w:lang w:eastAsia="pl-PL"/>
        </w:rPr>
        <w:t>kV</w:t>
      </w:r>
      <w:proofErr w:type="spellEnd"/>
      <w:r w:rsidRPr="00DE0FBF">
        <w:rPr>
          <w:rFonts w:ascii="Times New Roman" w:eastAsia="Times New Roman" w:hAnsi="Times New Roman" w:cs="Times New Roman"/>
          <w:color w:val="000000"/>
          <w:kern w:val="2"/>
          <w:sz w:val="24"/>
          <w:szCs w:val="24"/>
          <w:lang w:eastAsia="pl-PL"/>
        </w:rPr>
        <w:t xml:space="preserve"> oraz 1,5 dla sieci SN. Współczynnik dystorsji harmonicznych THD w miejscu przyłączenia do sieci powinien być mniejszy od 2,0% dla sieci 110 </w:t>
      </w:r>
      <w:proofErr w:type="spellStart"/>
      <w:r w:rsidRPr="00DE0FBF">
        <w:rPr>
          <w:rFonts w:ascii="Times New Roman" w:eastAsia="Times New Roman" w:hAnsi="Times New Roman" w:cs="Times New Roman"/>
          <w:color w:val="000000"/>
          <w:kern w:val="2"/>
          <w:sz w:val="24"/>
          <w:szCs w:val="24"/>
          <w:lang w:eastAsia="pl-PL"/>
        </w:rPr>
        <w:t>kV</w:t>
      </w:r>
      <w:proofErr w:type="spellEnd"/>
      <w:r w:rsidRPr="00DE0FBF">
        <w:rPr>
          <w:rFonts w:ascii="Times New Roman" w:eastAsia="Times New Roman" w:hAnsi="Times New Roman" w:cs="Times New Roman"/>
          <w:color w:val="000000"/>
          <w:kern w:val="2"/>
          <w:sz w:val="24"/>
          <w:szCs w:val="24"/>
          <w:lang w:eastAsia="pl-PL"/>
        </w:rPr>
        <w:t xml:space="preserve"> oraz 4% dla sieci SN. </w:t>
      </w:r>
    </w:p>
    <w:p w14:paraId="2EAD1B47" w14:textId="77777777" w:rsidR="00DE0FBF" w:rsidRPr="00DE0FBF" w:rsidRDefault="00DE0FBF" w:rsidP="00DE0FBF">
      <w:pPr>
        <w:spacing w:after="135" w:line="269" w:lineRule="auto"/>
        <w:ind w:left="1118" w:hanging="1061"/>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8.7.5. </w:t>
      </w:r>
      <w:r w:rsidRPr="00DE0FBF">
        <w:rPr>
          <w:rFonts w:ascii="Times New Roman" w:eastAsia="Times New Roman" w:hAnsi="Times New Roman" w:cs="Times New Roman"/>
          <w:color w:val="000000"/>
          <w:kern w:val="2"/>
          <w:sz w:val="24"/>
          <w:szCs w:val="24"/>
          <w:lang w:eastAsia="pl-PL"/>
        </w:rPr>
        <w:tab/>
        <w:t xml:space="preserve">W ciągu każdego tygodnia 99% ze zbioru 10-minutowych średnich wartości skutecznych podanych powyżej w pkt. od 8.7.1. do 8.7.3. współczynników jakości energii, powinno mieścić się w granicach określonych w tych punktach. </w:t>
      </w:r>
    </w:p>
    <w:p w14:paraId="41FC4F8E" w14:textId="77777777" w:rsidR="00DE0FBF" w:rsidRPr="00DE0FBF" w:rsidRDefault="00DE0FBF" w:rsidP="00DE0FBF">
      <w:pPr>
        <w:spacing w:after="135" w:line="269" w:lineRule="auto"/>
        <w:ind w:left="1118" w:hanging="1061"/>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8.7.6. </w:t>
      </w:r>
      <w:r w:rsidRPr="00DE0FBF">
        <w:rPr>
          <w:rFonts w:ascii="Times New Roman" w:eastAsia="Times New Roman" w:hAnsi="Times New Roman" w:cs="Times New Roman"/>
          <w:color w:val="000000"/>
          <w:kern w:val="2"/>
          <w:sz w:val="24"/>
          <w:szCs w:val="24"/>
          <w:lang w:eastAsia="pl-PL"/>
        </w:rPr>
        <w:tab/>
        <w:t xml:space="preserve">Farmy wiatrowe powinny być wyposażone w system pomiaru i rejestracji parametrów jakości energii (pomiar współczynnika migotania światła oraz harmonicznych napięcia i prądu). Farmy wiatrowe przyłączane do sieci 110 </w:t>
      </w:r>
      <w:proofErr w:type="spellStart"/>
      <w:r w:rsidRPr="00DE0FBF">
        <w:rPr>
          <w:rFonts w:ascii="Times New Roman" w:eastAsia="Times New Roman" w:hAnsi="Times New Roman" w:cs="Times New Roman"/>
          <w:color w:val="000000"/>
          <w:kern w:val="2"/>
          <w:sz w:val="24"/>
          <w:szCs w:val="24"/>
          <w:lang w:eastAsia="pl-PL"/>
        </w:rPr>
        <w:t>kV</w:t>
      </w:r>
      <w:proofErr w:type="spellEnd"/>
      <w:r w:rsidRPr="00DE0FBF">
        <w:rPr>
          <w:rFonts w:ascii="Times New Roman" w:eastAsia="Times New Roman" w:hAnsi="Times New Roman" w:cs="Times New Roman"/>
          <w:color w:val="000000"/>
          <w:kern w:val="2"/>
          <w:sz w:val="24"/>
          <w:szCs w:val="24"/>
          <w:lang w:eastAsia="pl-PL"/>
        </w:rPr>
        <w:t xml:space="preserve"> powinny być wyposażone w system teletransmisji danych do odpowiedniego operatora systemu. </w:t>
      </w:r>
    </w:p>
    <w:p w14:paraId="0784CF7C" w14:textId="77777777" w:rsidR="00DE0FBF" w:rsidRPr="00DE0FBF" w:rsidRDefault="00DE0FBF" w:rsidP="00DE0FBF">
      <w:pPr>
        <w:tabs>
          <w:tab w:val="center" w:pos="5102"/>
        </w:tabs>
        <w:spacing w:after="135" w:line="269" w:lineRule="auto"/>
        <w:jc w:val="left"/>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8.7.7. </w:t>
      </w:r>
      <w:r w:rsidRPr="00DE0FBF">
        <w:rPr>
          <w:rFonts w:ascii="Times New Roman" w:eastAsia="Times New Roman" w:hAnsi="Times New Roman" w:cs="Times New Roman"/>
          <w:color w:val="000000"/>
          <w:kern w:val="2"/>
          <w:sz w:val="24"/>
          <w:szCs w:val="24"/>
          <w:lang w:eastAsia="pl-PL"/>
        </w:rPr>
        <w:tab/>
        <w:t xml:space="preserve">Współczynnik zakłóceń harmonicznymi telefonii THFF powinien być poniżej 1%. </w:t>
      </w:r>
    </w:p>
    <w:p w14:paraId="7E1F82AB" w14:textId="189E68EB" w:rsidR="00DE0FBF" w:rsidRPr="00DE0FBF" w:rsidRDefault="00DE0FBF" w:rsidP="00443B72">
      <w:pPr>
        <w:spacing w:after="0" w:line="269" w:lineRule="auto"/>
        <w:ind w:left="1118" w:hanging="1118"/>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8.7.8. </w:t>
      </w:r>
      <w:r w:rsidRPr="00DE0FBF">
        <w:rPr>
          <w:rFonts w:ascii="Times New Roman" w:eastAsia="Times New Roman" w:hAnsi="Times New Roman" w:cs="Times New Roman"/>
          <w:color w:val="000000"/>
          <w:kern w:val="2"/>
          <w:sz w:val="24"/>
          <w:szCs w:val="24"/>
          <w:lang w:eastAsia="pl-PL"/>
        </w:rPr>
        <w:tab/>
        <w:t xml:space="preserve">Ze względu na ochronę urządzeń telekomunikacyjnych poziom zakłóceń powodowany przez farmę wiatrową w miejscu przyłączenia do sieci, powinien spełniać wymagania odpowiednich przepisów telekomunikacyjnych. </w:t>
      </w:r>
    </w:p>
    <w:p w14:paraId="19E4DC59" w14:textId="50B5CBA3" w:rsidR="00DE0FBF" w:rsidRPr="00DE0FBF" w:rsidRDefault="00443B72" w:rsidP="00443B72">
      <w:pPr>
        <w:keepNext/>
        <w:keepLines/>
        <w:numPr>
          <w:ilvl w:val="1"/>
          <w:numId w:val="0"/>
        </w:numPr>
        <w:spacing w:before="240" w:after="155" w:line="249" w:lineRule="auto"/>
        <w:ind w:left="1134" w:hanging="1134"/>
        <w:jc w:val="left"/>
        <w:outlineLvl w:val="1"/>
        <w:rPr>
          <w:rFonts w:ascii="Times New Roman" w:eastAsia="Times New Roman" w:hAnsi="Times New Roman" w:cs="Times New Roman"/>
          <w:b/>
          <w:color w:val="000000"/>
          <w:kern w:val="2"/>
          <w:sz w:val="24"/>
          <w:szCs w:val="24"/>
          <w:lang w:eastAsia="pl-PL"/>
        </w:rPr>
      </w:pPr>
      <w:r>
        <w:rPr>
          <w:rFonts w:ascii="Times New Roman" w:eastAsia="Times New Roman" w:hAnsi="Times New Roman" w:cs="Times New Roman"/>
          <w:b/>
          <w:color w:val="000000"/>
          <w:kern w:val="2"/>
          <w:sz w:val="24"/>
          <w:szCs w:val="24"/>
          <w:lang w:eastAsia="pl-PL"/>
        </w:rPr>
        <w:t xml:space="preserve">8.8. </w:t>
      </w:r>
      <w:r>
        <w:rPr>
          <w:rFonts w:ascii="Times New Roman" w:eastAsia="Times New Roman" w:hAnsi="Times New Roman" w:cs="Times New Roman"/>
          <w:b/>
          <w:color w:val="000000"/>
          <w:kern w:val="2"/>
          <w:sz w:val="24"/>
          <w:szCs w:val="24"/>
          <w:lang w:eastAsia="pl-PL"/>
        </w:rPr>
        <w:tab/>
      </w:r>
      <w:r w:rsidR="00DE0FBF" w:rsidRPr="00DE0FBF">
        <w:rPr>
          <w:rFonts w:ascii="Times New Roman" w:eastAsia="Times New Roman" w:hAnsi="Times New Roman" w:cs="Times New Roman"/>
          <w:b/>
          <w:color w:val="000000"/>
          <w:kern w:val="2"/>
          <w:sz w:val="24"/>
          <w:szCs w:val="24"/>
          <w:lang w:eastAsia="pl-PL"/>
        </w:rPr>
        <w:t>Elektroenergetyczna automatyka zabezpieczeniowa</w:t>
      </w:r>
      <w:r w:rsidR="00DE0FBF" w:rsidRPr="00DE0FBF">
        <w:rPr>
          <w:rFonts w:ascii="Times New Roman" w:eastAsia="Times New Roman" w:hAnsi="Times New Roman" w:cs="Times New Roman"/>
          <w:color w:val="000000"/>
          <w:kern w:val="2"/>
          <w:sz w:val="24"/>
          <w:szCs w:val="24"/>
          <w:lang w:eastAsia="pl-PL"/>
        </w:rPr>
        <w:t xml:space="preserve"> </w:t>
      </w:r>
    </w:p>
    <w:p w14:paraId="7BE6107B" w14:textId="77777777" w:rsidR="00DE0FBF" w:rsidRPr="00DE0FBF" w:rsidRDefault="00DE0FBF" w:rsidP="00443B72">
      <w:pPr>
        <w:spacing w:after="128" w:line="272" w:lineRule="auto"/>
        <w:ind w:left="1128" w:hanging="1128"/>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8.8.1. </w:t>
      </w:r>
      <w:r w:rsidRPr="00DE0FBF">
        <w:rPr>
          <w:rFonts w:ascii="Times New Roman" w:eastAsia="Times New Roman" w:hAnsi="Times New Roman" w:cs="Times New Roman"/>
          <w:color w:val="000000"/>
          <w:kern w:val="2"/>
          <w:sz w:val="24"/>
          <w:szCs w:val="24"/>
          <w:lang w:eastAsia="pl-PL"/>
        </w:rPr>
        <w:tab/>
        <w:t xml:space="preserve">Właściciel farmy wiatrowej ponosi odpowiedzialność za projekt i instalację zabezpieczeń chroniących farmę przed skutkami prądów zwarciowych, napięć powrotnych po wyłączeniu zwarć w systemie, pracy asynchronicznej farmy oraz innymi oddziaływaniami zakłóceń systemowych. </w:t>
      </w:r>
    </w:p>
    <w:p w14:paraId="441329D5" w14:textId="77777777" w:rsidR="00DE0FBF" w:rsidRPr="00DE0FBF" w:rsidRDefault="00DE0FBF" w:rsidP="00443B72">
      <w:pPr>
        <w:spacing w:after="135" w:line="269" w:lineRule="auto"/>
        <w:ind w:left="1118" w:hanging="1128"/>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8.8.2. </w:t>
      </w:r>
      <w:r w:rsidRPr="00DE0FBF">
        <w:rPr>
          <w:rFonts w:ascii="Times New Roman" w:eastAsia="Times New Roman" w:hAnsi="Times New Roman" w:cs="Times New Roman"/>
          <w:color w:val="000000"/>
          <w:kern w:val="2"/>
          <w:sz w:val="24"/>
          <w:szCs w:val="24"/>
          <w:lang w:eastAsia="pl-PL"/>
        </w:rPr>
        <w:tab/>
        <w:t xml:space="preserve">Nastawienia zabezpieczeń farmy wiatrowej powinny być skoordynowane z zabezpieczeniami zainstalowanymi w sieci elektroenergetycznej. </w:t>
      </w:r>
    </w:p>
    <w:p w14:paraId="2E38A0A1" w14:textId="77777777" w:rsidR="00DE0FBF" w:rsidRPr="00DE0FBF" w:rsidRDefault="00DE0FBF" w:rsidP="00443B72">
      <w:pPr>
        <w:spacing w:after="135" w:line="269" w:lineRule="auto"/>
        <w:ind w:left="1118" w:hanging="1128"/>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8.8.3. </w:t>
      </w:r>
      <w:r w:rsidRPr="00DE0FBF">
        <w:rPr>
          <w:rFonts w:ascii="Times New Roman" w:eastAsia="Times New Roman" w:hAnsi="Times New Roman" w:cs="Times New Roman"/>
          <w:color w:val="000000"/>
          <w:kern w:val="2"/>
          <w:sz w:val="24"/>
          <w:szCs w:val="24"/>
          <w:lang w:eastAsia="pl-PL"/>
        </w:rPr>
        <w:tab/>
        <w:t xml:space="preserve">Nastawy zabezpieczeń farmy wiatrowej muszą zapewniać selektywność współdziałania z zabezpieczeniami sieci dla zwarć w sieci i w tej farmy wiatrowej. </w:t>
      </w:r>
    </w:p>
    <w:p w14:paraId="4D770892" w14:textId="77777777" w:rsidR="00DE0FBF" w:rsidRPr="00DE0FBF" w:rsidRDefault="00DE0FBF" w:rsidP="00443B72">
      <w:pPr>
        <w:spacing w:after="135" w:line="269" w:lineRule="auto"/>
        <w:ind w:left="1118" w:hanging="1128"/>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8.8.4. </w:t>
      </w:r>
      <w:r w:rsidRPr="00DE0FBF">
        <w:rPr>
          <w:rFonts w:ascii="Times New Roman" w:eastAsia="Times New Roman" w:hAnsi="Times New Roman" w:cs="Times New Roman"/>
          <w:color w:val="000000"/>
          <w:kern w:val="2"/>
          <w:sz w:val="24"/>
          <w:szCs w:val="24"/>
          <w:lang w:eastAsia="pl-PL"/>
        </w:rPr>
        <w:tab/>
        <w:t xml:space="preserve">Zwarcia wewnątrz farmy wiatrowej powinny być likwidowane selektywnie i powodować możliwie jak najmniejszy ubytek mocy tej farmy. </w:t>
      </w:r>
    </w:p>
    <w:p w14:paraId="6A9098D6" w14:textId="77777777" w:rsidR="00DE0FBF" w:rsidRPr="00DE0FBF" w:rsidRDefault="00DE0FBF" w:rsidP="00443B72">
      <w:pPr>
        <w:spacing w:after="69" w:line="269" w:lineRule="auto"/>
        <w:ind w:left="1118" w:hanging="1128"/>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8.8.5. </w:t>
      </w:r>
      <w:r w:rsidRPr="00DE0FBF">
        <w:rPr>
          <w:rFonts w:ascii="Times New Roman" w:eastAsia="Times New Roman" w:hAnsi="Times New Roman" w:cs="Times New Roman"/>
          <w:color w:val="000000"/>
          <w:kern w:val="2"/>
          <w:sz w:val="24"/>
          <w:szCs w:val="24"/>
          <w:lang w:eastAsia="pl-PL"/>
        </w:rPr>
        <w:tab/>
        <w:t xml:space="preserve">Na etapie opracowywania dokumentacji projektowej farmy wiatrowej, właściciel farmy jest zobowiązany przeprowadzić i uzgodnić z odpowiednim operatorem systemu analizę zabezpieczeń obejmującą m.in. sprawdzenie: </w:t>
      </w:r>
    </w:p>
    <w:p w14:paraId="484434BD" w14:textId="77777777" w:rsidR="00DE0FBF" w:rsidRPr="00DE0FBF" w:rsidRDefault="00DE0FBF">
      <w:pPr>
        <w:numPr>
          <w:ilvl w:val="0"/>
          <w:numId w:val="204"/>
        </w:numPr>
        <w:spacing w:after="0" w:line="269" w:lineRule="auto"/>
        <w:ind w:right="4"/>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kompletności zabezpieczeń, </w:t>
      </w:r>
    </w:p>
    <w:p w14:paraId="7BA81F2F" w14:textId="77777777" w:rsidR="00DE0FBF" w:rsidRPr="00DE0FBF" w:rsidRDefault="00DE0FBF">
      <w:pPr>
        <w:numPr>
          <w:ilvl w:val="0"/>
          <w:numId w:val="204"/>
        </w:numPr>
        <w:spacing w:after="0" w:line="269" w:lineRule="auto"/>
        <w:ind w:right="4"/>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poprawności nastaw na poszczególnych jednostkach wytwórczych i w rozdzielni farmy wiatrowej, </w:t>
      </w:r>
    </w:p>
    <w:p w14:paraId="7BC136D2" w14:textId="77777777" w:rsidR="00DE0FBF" w:rsidRPr="00DE0FBF" w:rsidRDefault="00DE0FBF">
      <w:pPr>
        <w:numPr>
          <w:ilvl w:val="0"/>
          <w:numId w:val="204"/>
        </w:numPr>
        <w:spacing w:after="135" w:line="269" w:lineRule="auto"/>
        <w:ind w:right="4"/>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koordynacji z zabezpieczeniami systemu dystrybucyjnego i/lub przesyłowego.  </w:t>
      </w:r>
    </w:p>
    <w:p w14:paraId="3E611418" w14:textId="77777777" w:rsidR="00DE0FBF" w:rsidRPr="00DE0FBF" w:rsidRDefault="00DE0FBF" w:rsidP="00DE0FBF">
      <w:pPr>
        <w:spacing w:after="135" w:line="269" w:lineRule="auto"/>
        <w:ind w:left="1143" w:hanging="10"/>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Analizę zabezpieczeń należy przekazać Industria Dystrybucja Sp. z o.o. </w:t>
      </w:r>
    </w:p>
    <w:p w14:paraId="2D4CB5A9" w14:textId="7D156EEF" w:rsidR="00DE0FBF" w:rsidRPr="00DE0FBF" w:rsidRDefault="00443B72" w:rsidP="00DE0FBF">
      <w:pPr>
        <w:keepNext/>
        <w:keepLines/>
        <w:numPr>
          <w:ilvl w:val="1"/>
          <w:numId w:val="0"/>
        </w:numPr>
        <w:spacing w:after="155" w:line="249" w:lineRule="auto"/>
        <w:ind w:left="1118" w:hanging="1061"/>
        <w:jc w:val="left"/>
        <w:outlineLvl w:val="1"/>
        <w:rPr>
          <w:rFonts w:ascii="Times New Roman" w:eastAsia="Times New Roman" w:hAnsi="Times New Roman" w:cs="Times New Roman"/>
          <w:b/>
          <w:color w:val="000000"/>
          <w:kern w:val="2"/>
          <w:sz w:val="24"/>
          <w:szCs w:val="24"/>
          <w:lang w:eastAsia="pl-PL"/>
        </w:rPr>
      </w:pPr>
      <w:r>
        <w:rPr>
          <w:rFonts w:ascii="Times New Roman" w:eastAsia="Times New Roman" w:hAnsi="Times New Roman" w:cs="Times New Roman"/>
          <w:b/>
          <w:color w:val="000000"/>
          <w:kern w:val="2"/>
          <w:sz w:val="24"/>
          <w:szCs w:val="24"/>
          <w:lang w:eastAsia="pl-PL"/>
        </w:rPr>
        <w:lastRenderedPageBreak/>
        <w:t xml:space="preserve">8.9. </w:t>
      </w:r>
      <w:r>
        <w:rPr>
          <w:rFonts w:ascii="Times New Roman" w:eastAsia="Times New Roman" w:hAnsi="Times New Roman" w:cs="Times New Roman"/>
          <w:b/>
          <w:color w:val="000000"/>
          <w:kern w:val="2"/>
          <w:sz w:val="24"/>
          <w:szCs w:val="24"/>
          <w:lang w:eastAsia="pl-PL"/>
        </w:rPr>
        <w:tab/>
      </w:r>
      <w:r w:rsidR="00DE0FBF" w:rsidRPr="00DE0FBF">
        <w:rPr>
          <w:rFonts w:ascii="Times New Roman" w:eastAsia="Times New Roman" w:hAnsi="Times New Roman" w:cs="Times New Roman"/>
          <w:b/>
          <w:color w:val="000000"/>
          <w:kern w:val="2"/>
          <w:sz w:val="24"/>
          <w:szCs w:val="24"/>
          <w:lang w:eastAsia="pl-PL"/>
        </w:rPr>
        <w:t>Monitoring i komunikacja farmy wiatrowej z operatorem systemu</w:t>
      </w:r>
      <w:r w:rsidR="00DE0FBF" w:rsidRPr="00DE0FBF">
        <w:rPr>
          <w:rFonts w:ascii="Times New Roman" w:eastAsia="Times New Roman" w:hAnsi="Times New Roman" w:cs="Times New Roman"/>
          <w:color w:val="000000"/>
          <w:kern w:val="2"/>
          <w:sz w:val="24"/>
          <w:szCs w:val="24"/>
          <w:lang w:eastAsia="pl-PL"/>
        </w:rPr>
        <w:t xml:space="preserve"> </w:t>
      </w:r>
    </w:p>
    <w:p w14:paraId="72E1DF2C" w14:textId="77777777" w:rsidR="00DE0FBF" w:rsidRPr="00DE0FBF" w:rsidRDefault="00DE0FBF" w:rsidP="00DE0FBF">
      <w:pPr>
        <w:spacing w:after="89" w:line="269" w:lineRule="auto"/>
        <w:ind w:left="1118" w:hanging="1061"/>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8.9.1. </w:t>
      </w:r>
      <w:r w:rsidRPr="00DE0FBF">
        <w:rPr>
          <w:rFonts w:ascii="Times New Roman" w:eastAsia="Times New Roman" w:hAnsi="Times New Roman" w:cs="Times New Roman"/>
          <w:color w:val="000000"/>
          <w:kern w:val="2"/>
          <w:sz w:val="24"/>
          <w:szCs w:val="24"/>
          <w:lang w:eastAsia="pl-PL"/>
        </w:rPr>
        <w:tab/>
        <w:t xml:space="preserve">Operator systemu, do sieci którego przyłączana jest farma wiatrowa, musi otrzymywać sygnały pomiarowe i rejestrowane parametry farmy.  </w:t>
      </w:r>
    </w:p>
    <w:p w14:paraId="5E3B7F76" w14:textId="77777777" w:rsidR="00DE0FBF" w:rsidRPr="00DE0FBF" w:rsidRDefault="00DE0FBF" w:rsidP="00DE0FBF">
      <w:pPr>
        <w:spacing w:after="135" w:line="269" w:lineRule="auto"/>
        <w:ind w:left="1143" w:hanging="10"/>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Zakres danych przekazywanych do operatora systemu przesyłowego i dystrybucyjnego oraz miejsce ich dostarczania określa w warunkach przyłączenia Industria Dystrybucja Sp. z o.o. </w:t>
      </w:r>
    </w:p>
    <w:p w14:paraId="2B95C209" w14:textId="77777777" w:rsidR="00DE0FBF" w:rsidRPr="00DE0FBF" w:rsidRDefault="00DE0FBF" w:rsidP="00DE0FBF">
      <w:pPr>
        <w:spacing w:after="30" w:line="269" w:lineRule="auto"/>
        <w:ind w:left="1118" w:hanging="1061"/>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8.9.2. </w:t>
      </w:r>
      <w:r w:rsidRPr="00DE0FBF">
        <w:rPr>
          <w:rFonts w:ascii="Times New Roman" w:eastAsia="Times New Roman" w:hAnsi="Times New Roman" w:cs="Times New Roman"/>
          <w:color w:val="000000"/>
          <w:kern w:val="2"/>
          <w:sz w:val="24"/>
          <w:szCs w:val="24"/>
          <w:lang w:eastAsia="pl-PL"/>
        </w:rPr>
        <w:tab/>
        <w:t xml:space="preserve">Minimalny zakres przekazywanych operatorowi systemu pomiarów wielkości z farmy wiatrowej obejmuje wartości chwilowe: </w:t>
      </w:r>
    </w:p>
    <w:p w14:paraId="2B41A9E3" w14:textId="77777777" w:rsidR="00DE0FBF" w:rsidRPr="00DE0FBF" w:rsidRDefault="00DE0FBF">
      <w:pPr>
        <w:numPr>
          <w:ilvl w:val="0"/>
          <w:numId w:val="205"/>
        </w:numPr>
        <w:spacing w:after="0" w:line="269" w:lineRule="auto"/>
        <w:ind w:right="4"/>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mocy czynnej, </w:t>
      </w:r>
    </w:p>
    <w:p w14:paraId="111F4268" w14:textId="77777777" w:rsidR="00DE0FBF" w:rsidRPr="00DE0FBF" w:rsidRDefault="00DE0FBF">
      <w:pPr>
        <w:numPr>
          <w:ilvl w:val="0"/>
          <w:numId w:val="205"/>
        </w:numPr>
        <w:spacing w:after="0" w:line="269" w:lineRule="auto"/>
        <w:ind w:right="4"/>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mocy biernej, </w:t>
      </w:r>
    </w:p>
    <w:p w14:paraId="77435A8E" w14:textId="77777777" w:rsidR="00DE0FBF" w:rsidRPr="00DE0FBF" w:rsidRDefault="00DE0FBF">
      <w:pPr>
        <w:numPr>
          <w:ilvl w:val="0"/>
          <w:numId w:val="205"/>
        </w:numPr>
        <w:spacing w:after="0" w:line="269" w:lineRule="auto"/>
        <w:ind w:right="4"/>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napięcia i prądu w miejscu przyłączenia do sieci, </w:t>
      </w:r>
    </w:p>
    <w:p w14:paraId="6DF6046D" w14:textId="77777777" w:rsidR="00DE0FBF" w:rsidRPr="00DE0FBF" w:rsidRDefault="00DE0FBF">
      <w:pPr>
        <w:numPr>
          <w:ilvl w:val="0"/>
          <w:numId w:val="205"/>
        </w:numPr>
        <w:spacing w:after="0" w:line="269" w:lineRule="auto"/>
        <w:ind w:right="4"/>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współczynnika mocy cos </w:t>
      </w:r>
      <w:r w:rsidRPr="00DE0FBF">
        <w:rPr>
          <w:rFonts w:ascii="Segoe UI Symbol" w:eastAsia="Segoe UI Symbol" w:hAnsi="Segoe UI Symbol" w:cs="Segoe UI Symbol"/>
          <w:color w:val="000000"/>
          <w:kern w:val="2"/>
          <w:sz w:val="22"/>
          <w:szCs w:val="24"/>
          <w:lang w:eastAsia="pl-PL"/>
        </w:rPr>
        <w:t>ϕ</w:t>
      </w:r>
      <w:r w:rsidRPr="00DE0FBF">
        <w:rPr>
          <w:rFonts w:ascii="Times New Roman" w:eastAsia="Times New Roman" w:hAnsi="Times New Roman" w:cs="Times New Roman"/>
          <w:color w:val="000000"/>
          <w:kern w:val="2"/>
          <w:sz w:val="22"/>
          <w:szCs w:val="24"/>
          <w:lang w:eastAsia="pl-PL"/>
        </w:rPr>
        <w:t>,</w:t>
      </w:r>
      <w:r w:rsidRPr="00DE0FBF">
        <w:rPr>
          <w:rFonts w:ascii="Times New Roman" w:eastAsia="Times New Roman" w:hAnsi="Times New Roman" w:cs="Times New Roman"/>
          <w:color w:val="000000"/>
          <w:kern w:val="2"/>
          <w:sz w:val="24"/>
          <w:szCs w:val="24"/>
          <w:lang w:eastAsia="pl-PL"/>
        </w:rPr>
        <w:t xml:space="preserve"> </w:t>
      </w:r>
    </w:p>
    <w:p w14:paraId="1214B9C5" w14:textId="77777777" w:rsidR="00DE0FBF" w:rsidRPr="00DE0FBF" w:rsidRDefault="00DE0FBF">
      <w:pPr>
        <w:numPr>
          <w:ilvl w:val="0"/>
          <w:numId w:val="205"/>
        </w:numPr>
        <w:spacing w:after="135" w:line="269" w:lineRule="auto"/>
        <w:ind w:right="4"/>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średniej dla farmy prędkości wiatru. </w:t>
      </w:r>
    </w:p>
    <w:p w14:paraId="40276AE5" w14:textId="77777777" w:rsidR="00DE0FBF" w:rsidRPr="00DE0FBF" w:rsidRDefault="00DE0FBF" w:rsidP="00DE0FBF">
      <w:pPr>
        <w:spacing w:after="77" w:line="269" w:lineRule="auto"/>
        <w:ind w:left="1118" w:hanging="1061"/>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8.9.3. </w:t>
      </w:r>
      <w:r w:rsidRPr="00DE0FBF">
        <w:rPr>
          <w:rFonts w:ascii="Times New Roman" w:eastAsia="Times New Roman" w:hAnsi="Times New Roman" w:cs="Times New Roman"/>
          <w:color w:val="000000"/>
          <w:kern w:val="2"/>
          <w:sz w:val="24"/>
          <w:szCs w:val="24"/>
          <w:lang w:eastAsia="pl-PL"/>
        </w:rPr>
        <w:tab/>
        <w:t xml:space="preserve">Minimalny zakres przekazywanych operatorowi systemu danych dwustanowych obejmuje: </w:t>
      </w:r>
    </w:p>
    <w:p w14:paraId="433CB31A" w14:textId="77777777" w:rsidR="00DE0FBF" w:rsidRPr="00DE0FBF" w:rsidRDefault="00DE0FBF">
      <w:pPr>
        <w:numPr>
          <w:ilvl w:val="0"/>
          <w:numId w:val="206"/>
        </w:numPr>
        <w:spacing w:after="0" w:line="269" w:lineRule="auto"/>
        <w:ind w:left="1560" w:right="4" w:hanging="284"/>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aktualny stan jednostek wytwórczych farmy, w tym liczbę jednostek pracujących, gotowych do pracy i przyczyny postoju pozostałych, </w:t>
      </w:r>
    </w:p>
    <w:p w14:paraId="0AAFB31B" w14:textId="77777777" w:rsidR="00DE0FBF" w:rsidRPr="00DE0FBF" w:rsidRDefault="00DE0FBF">
      <w:pPr>
        <w:numPr>
          <w:ilvl w:val="0"/>
          <w:numId w:val="206"/>
        </w:numPr>
        <w:spacing w:after="0" w:line="269" w:lineRule="auto"/>
        <w:ind w:left="1560" w:right="4" w:hanging="284"/>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stan układu regulacji częstotliwości dla farm wiatrowych przyłączonych do sieci </w:t>
      </w:r>
    </w:p>
    <w:p w14:paraId="1176D14D" w14:textId="77777777" w:rsidR="00DE0FBF" w:rsidRPr="00DE0FBF" w:rsidRDefault="00DE0FBF" w:rsidP="00B41FB6">
      <w:pPr>
        <w:spacing w:after="0" w:line="269" w:lineRule="auto"/>
        <w:ind w:left="1560"/>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110 </w:t>
      </w:r>
      <w:proofErr w:type="spellStart"/>
      <w:r w:rsidRPr="00DE0FBF">
        <w:rPr>
          <w:rFonts w:ascii="Times New Roman" w:eastAsia="Times New Roman" w:hAnsi="Times New Roman" w:cs="Times New Roman"/>
          <w:color w:val="000000"/>
          <w:kern w:val="2"/>
          <w:sz w:val="24"/>
          <w:szCs w:val="24"/>
          <w:lang w:eastAsia="pl-PL"/>
        </w:rPr>
        <w:t>kV</w:t>
      </w:r>
      <w:proofErr w:type="spellEnd"/>
      <w:r w:rsidRPr="00DE0FBF">
        <w:rPr>
          <w:rFonts w:ascii="Times New Roman" w:eastAsia="Times New Roman" w:hAnsi="Times New Roman" w:cs="Times New Roman"/>
          <w:color w:val="000000"/>
          <w:kern w:val="2"/>
          <w:sz w:val="24"/>
          <w:szCs w:val="24"/>
          <w:lang w:eastAsia="pl-PL"/>
        </w:rPr>
        <w:t xml:space="preserve">, </w:t>
      </w:r>
    </w:p>
    <w:p w14:paraId="16483D2F" w14:textId="77777777" w:rsidR="00DE0FBF" w:rsidRPr="00DE0FBF" w:rsidRDefault="00DE0FBF">
      <w:pPr>
        <w:numPr>
          <w:ilvl w:val="0"/>
          <w:numId w:val="206"/>
        </w:numPr>
        <w:spacing w:after="135" w:line="269" w:lineRule="auto"/>
        <w:ind w:left="1560" w:right="4" w:hanging="284"/>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inne dane mogące skutkować wyłączeniem farmy wiatrowej, na warunkach uzgodnionych w umowie o przyłączenie. </w:t>
      </w:r>
    </w:p>
    <w:p w14:paraId="6C5FEF1E" w14:textId="77777777" w:rsidR="00DE0FBF" w:rsidRPr="00DE0FBF" w:rsidRDefault="00DE0FBF" w:rsidP="00DE0FBF">
      <w:pPr>
        <w:spacing w:after="135" w:line="269" w:lineRule="auto"/>
        <w:ind w:left="1118" w:hanging="1061"/>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8.9.4. </w:t>
      </w:r>
      <w:r w:rsidRPr="00DE0FBF">
        <w:rPr>
          <w:rFonts w:ascii="Times New Roman" w:eastAsia="Times New Roman" w:hAnsi="Times New Roman" w:cs="Times New Roman"/>
          <w:color w:val="000000"/>
          <w:kern w:val="2"/>
          <w:sz w:val="24"/>
          <w:szCs w:val="24"/>
          <w:lang w:eastAsia="pl-PL"/>
        </w:rPr>
        <w:tab/>
        <w:t xml:space="preserve">Jako standardowe wyposażenie farmy wiatrowej przyłączanej na napięcie 110 </w:t>
      </w:r>
      <w:proofErr w:type="spellStart"/>
      <w:r w:rsidRPr="00DE0FBF">
        <w:rPr>
          <w:rFonts w:ascii="Times New Roman" w:eastAsia="Times New Roman" w:hAnsi="Times New Roman" w:cs="Times New Roman"/>
          <w:color w:val="000000"/>
          <w:kern w:val="2"/>
          <w:sz w:val="24"/>
          <w:szCs w:val="24"/>
          <w:lang w:eastAsia="pl-PL"/>
        </w:rPr>
        <w:t>kV</w:t>
      </w:r>
      <w:proofErr w:type="spellEnd"/>
      <w:r w:rsidRPr="00DE0FBF">
        <w:rPr>
          <w:rFonts w:ascii="Times New Roman" w:eastAsia="Times New Roman" w:hAnsi="Times New Roman" w:cs="Times New Roman"/>
          <w:color w:val="000000"/>
          <w:kern w:val="2"/>
          <w:sz w:val="24"/>
          <w:szCs w:val="24"/>
          <w:lang w:eastAsia="pl-PL"/>
        </w:rPr>
        <w:t xml:space="preserve"> powinien być stosowany system monitorowania w czasie rzeczywistym stanu i parametrów pracy, z zapewnieniem przekazywania danych do operatora systemu. </w:t>
      </w:r>
    </w:p>
    <w:p w14:paraId="400F3A9D" w14:textId="12513406" w:rsidR="00DE0FBF" w:rsidRPr="00DE0FBF" w:rsidRDefault="00DE0FBF" w:rsidP="00C67EB0">
      <w:pPr>
        <w:spacing w:after="135" w:line="269" w:lineRule="auto"/>
        <w:ind w:left="1134" w:hanging="1134"/>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8.9.5. </w:t>
      </w:r>
      <w:r w:rsidRPr="00DE0FBF">
        <w:rPr>
          <w:rFonts w:ascii="Times New Roman" w:eastAsia="Times New Roman" w:hAnsi="Times New Roman" w:cs="Times New Roman"/>
          <w:color w:val="000000"/>
          <w:kern w:val="2"/>
          <w:sz w:val="24"/>
          <w:szCs w:val="24"/>
          <w:lang w:eastAsia="pl-PL"/>
        </w:rPr>
        <w:tab/>
      </w:r>
      <w:r w:rsidR="00B41FB6" w:rsidRPr="00B41FB6">
        <w:rPr>
          <w:rFonts w:ascii="Times New Roman" w:eastAsia="Times New Roman" w:hAnsi="Times New Roman" w:cs="Times New Roman"/>
          <w:color w:val="000000"/>
          <w:kern w:val="2"/>
          <w:sz w:val="24"/>
          <w:szCs w:val="24"/>
          <w:lang w:eastAsia="pl-PL"/>
        </w:rPr>
        <w:t xml:space="preserve">Właściciel farmy wiatrowej przyłączanej do sieci 110 </w:t>
      </w:r>
      <w:proofErr w:type="spellStart"/>
      <w:r w:rsidR="00B41FB6" w:rsidRPr="00B41FB6">
        <w:rPr>
          <w:rFonts w:ascii="Times New Roman" w:eastAsia="Times New Roman" w:hAnsi="Times New Roman" w:cs="Times New Roman"/>
          <w:color w:val="000000"/>
          <w:kern w:val="2"/>
          <w:sz w:val="24"/>
          <w:szCs w:val="24"/>
          <w:lang w:eastAsia="pl-PL"/>
        </w:rPr>
        <w:t>kV</w:t>
      </w:r>
      <w:proofErr w:type="spellEnd"/>
      <w:r w:rsidR="00B41FB6" w:rsidRPr="00B41FB6">
        <w:rPr>
          <w:rFonts w:ascii="Times New Roman" w:eastAsia="Times New Roman" w:hAnsi="Times New Roman" w:cs="Times New Roman"/>
          <w:color w:val="000000"/>
          <w:kern w:val="2"/>
          <w:sz w:val="24"/>
          <w:szCs w:val="24"/>
          <w:lang w:eastAsia="pl-PL"/>
        </w:rPr>
        <w:t xml:space="preserve"> zapewni dostarczanie operatorowi systemu prognozy średniej godzinowej mocy farmy wiatrowej z co najmniej</w:t>
      </w:r>
      <w:r w:rsidR="00C67EB0">
        <w:rPr>
          <w:rFonts w:ascii="Times New Roman" w:eastAsia="Times New Roman" w:hAnsi="Times New Roman" w:cs="Times New Roman"/>
          <w:color w:val="000000"/>
          <w:kern w:val="2"/>
          <w:sz w:val="24"/>
          <w:szCs w:val="24"/>
          <w:lang w:eastAsia="pl-PL"/>
        </w:rPr>
        <w:t xml:space="preserve"> </w:t>
      </w:r>
      <w:r w:rsidRPr="00DE0FBF">
        <w:rPr>
          <w:rFonts w:ascii="Times New Roman" w:eastAsia="Times New Roman" w:hAnsi="Times New Roman" w:cs="Times New Roman"/>
          <w:color w:val="000000"/>
          <w:kern w:val="2"/>
          <w:sz w:val="24"/>
          <w:szCs w:val="24"/>
          <w:lang w:eastAsia="pl-PL"/>
        </w:rPr>
        <w:t xml:space="preserve">24 godzinnym wyprzedzeniem i aktualizacją prognozy co 6 godzin. Sposób realizacji tego obowiązku definiuje się w warunkach przyłączenia i uzgadnia na etapie projektu. </w:t>
      </w:r>
    </w:p>
    <w:p w14:paraId="23486DB5" w14:textId="77777777" w:rsidR="00DE0FBF" w:rsidRPr="00DE0FBF" w:rsidRDefault="00DE0FBF" w:rsidP="00DE0FBF">
      <w:pPr>
        <w:spacing w:after="135" w:line="269" w:lineRule="auto"/>
        <w:ind w:left="1118" w:hanging="1061"/>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8.9.6. </w:t>
      </w:r>
      <w:r w:rsidRPr="00DE0FBF">
        <w:rPr>
          <w:rFonts w:ascii="Times New Roman" w:eastAsia="Times New Roman" w:hAnsi="Times New Roman" w:cs="Times New Roman"/>
          <w:color w:val="000000"/>
          <w:kern w:val="2"/>
          <w:sz w:val="24"/>
          <w:szCs w:val="24"/>
          <w:lang w:eastAsia="pl-PL"/>
        </w:rPr>
        <w:tab/>
        <w:t xml:space="preserve">Właściciel farmy wiatrowej dostarcza odpowiedniemu operatorowi systemu, aktualne parametry wyposażenia farmy wiatrowej (urządzeń podstawowych i układów regulacji), niezbędne dla przeprowadzania analiz systemowych. W fazie przed uruchomieniem farmy wiatrowej są to dane producentów urządzeń. </w:t>
      </w:r>
    </w:p>
    <w:p w14:paraId="2CA575F9" w14:textId="77777777" w:rsidR="00DE0FBF" w:rsidRPr="00DE0FBF" w:rsidRDefault="00DE0FBF" w:rsidP="00DE0FBF">
      <w:pPr>
        <w:spacing w:after="86" w:line="269" w:lineRule="auto"/>
        <w:ind w:left="1118" w:hanging="1061"/>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8.9.7. </w:t>
      </w:r>
      <w:r w:rsidRPr="00DE0FBF">
        <w:rPr>
          <w:rFonts w:ascii="Times New Roman" w:eastAsia="Times New Roman" w:hAnsi="Times New Roman" w:cs="Times New Roman"/>
          <w:color w:val="000000"/>
          <w:kern w:val="2"/>
          <w:sz w:val="24"/>
          <w:szCs w:val="24"/>
          <w:lang w:eastAsia="pl-PL"/>
        </w:rPr>
        <w:tab/>
        <w:t xml:space="preserve">Industria Dystrybucja Sp. z o.o. określa w warunkach przyłączenia do sieci zakres danych technicznych dla danej farmy wiatrowej, które są niezbędne do prowadzenia i planowania ruchu systemu. </w:t>
      </w:r>
    </w:p>
    <w:p w14:paraId="62AB944B" w14:textId="77777777" w:rsidR="00DE0FBF" w:rsidRPr="00DE0FBF" w:rsidRDefault="00DE0FBF" w:rsidP="00DE0FBF">
      <w:pPr>
        <w:spacing w:after="135" w:line="269" w:lineRule="auto"/>
        <w:ind w:left="1118" w:hanging="1061"/>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8.9.8.</w:t>
      </w:r>
      <w:r w:rsidRPr="00DE0FBF">
        <w:rPr>
          <w:rFonts w:ascii="Times New Roman" w:eastAsia="Times New Roman" w:hAnsi="Times New Roman" w:cs="Times New Roman"/>
          <w:color w:val="000000"/>
          <w:kern w:val="2"/>
          <w:sz w:val="24"/>
          <w:szCs w:val="24"/>
          <w:lang w:eastAsia="pl-PL"/>
        </w:rPr>
        <w:tab/>
        <w:t xml:space="preserve">Parametry techniczne systemu wymiany informacji, w tym protokoły komunikacji, pomiędzy farmą wiatrową i Industria Dystrybucja Sp. z o.o. określa Industria Dystrybucja Sp. z o.o. na etapie projektowania. </w:t>
      </w:r>
    </w:p>
    <w:p w14:paraId="6B64DBFB" w14:textId="77777777" w:rsidR="00DE0FBF" w:rsidRPr="00DE0FBF" w:rsidRDefault="00DE0FBF" w:rsidP="00DE0FBF">
      <w:pPr>
        <w:spacing w:after="73" w:line="269" w:lineRule="auto"/>
        <w:ind w:left="1118" w:hanging="1061"/>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lastRenderedPageBreak/>
        <w:t xml:space="preserve">8.9.9. </w:t>
      </w:r>
      <w:r w:rsidRPr="00DE0FBF">
        <w:rPr>
          <w:rFonts w:ascii="Times New Roman" w:eastAsia="Times New Roman" w:hAnsi="Times New Roman" w:cs="Times New Roman"/>
          <w:color w:val="000000"/>
          <w:kern w:val="2"/>
          <w:sz w:val="24"/>
          <w:szCs w:val="24"/>
          <w:lang w:eastAsia="pl-PL"/>
        </w:rPr>
        <w:tab/>
        <w:t xml:space="preserve">W farmie wiatrowej przyłączanej do sieci 110 </w:t>
      </w:r>
      <w:proofErr w:type="spellStart"/>
      <w:r w:rsidRPr="00DE0FBF">
        <w:rPr>
          <w:rFonts w:ascii="Times New Roman" w:eastAsia="Times New Roman" w:hAnsi="Times New Roman" w:cs="Times New Roman"/>
          <w:color w:val="000000"/>
          <w:kern w:val="2"/>
          <w:sz w:val="24"/>
          <w:szCs w:val="24"/>
          <w:lang w:eastAsia="pl-PL"/>
        </w:rPr>
        <w:t>kV</w:t>
      </w:r>
      <w:proofErr w:type="spellEnd"/>
      <w:r w:rsidRPr="00DE0FBF">
        <w:rPr>
          <w:rFonts w:ascii="Times New Roman" w:eastAsia="Times New Roman" w:hAnsi="Times New Roman" w:cs="Times New Roman"/>
          <w:color w:val="000000"/>
          <w:kern w:val="2"/>
          <w:sz w:val="24"/>
          <w:szCs w:val="24"/>
          <w:lang w:eastAsia="pl-PL"/>
        </w:rPr>
        <w:t xml:space="preserve"> powinny być zainstalowane rejestratory przebiegów zakłóceniowych. Rejestratory powinny zapewniać rejestrację przebiegów przez 10 s przed zakłóceniem i 60 s po zakłóceniu oraz: </w:t>
      </w:r>
    </w:p>
    <w:p w14:paraId="17582B1D" w14:textId="77777777" w:rsidR="00DE0FBF" w:rsidRPr="00DE0FBF" w:rsidRDefault="00DE0FBF">
      <w:pPr>
        <w:numPr>
          <w:ilvl w:val="0"/>
          <w:numId w:val="207"/>
        </w:numPr>
        <w:spacing w:after="0" w:line="269" w:lineRule="auto"/>
        <w:ind w:left="1560" w:right="4" w:hanging="284"/>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rejestrować w każdym polu sygnały analogowe – 3 napięcia i 3 prądy fazowe, napięcie 3</w:t>
      </w:r>
      <w:r w:rsidRPr="00DE0FBF">
        <w:rPr>
          <w:rFonts w:ascii="Times New Roman" w:eastAsia="Times New Roman" w:hAnsi="Times New Roman" w:cs="Times New Roman"/>
          <w:i/>
          <w:color w:val="000000"/>
          <w:kern w:val="2"/>
          <w:sz w:val="24"/>
          <w:szCs w:val="24"/>
          <w:lang w:eastAsia="pl-PL"/>
        </w:rPr>
        <w:t>U</w:t>
      </w:r>
      <w:r w:rsidRPr="00DE0FBF">
        <w:rPr>
          <w:rFonts w:ascii="Times New Roman" w:eastAsia="Times New Roman" w:hAnsi="Times New Roman" w:cs="Times New Roman"/>
          <w:i/>
          <w:color w:val="000000"/>
          <w:kern w:val="2"/>
          <w:sz w:val="24"/>
          <w:szCs w:val="24"/>
          <w:vertAlign w:val="subscript"/>
          <w:lang w:eastAsia="pl-PL"/>
        </w:rPr>
        <w:t>0</w:t>
      </w:r>
      <w:r w:rsidRPr="00DE0FBF">
        <w:rPr>
          <w:rFonts w:ascii="Times New Roman" w:eastAsia="Times New Roman" w:hAnsi="Times New Roman" w:cs="Times New Roman"/>
          <w:color w:val="000000"/>
          <w:kern w:val="2"/>
          <w:sz w:val="24"/>
          <w:szCs w:val="24"/>
          <w:lang w:eastAsia="pl-PL"/>
        </w:rPr>
        <w:t xml:space="preserve"> i prąd 3</w:t>
      </w:r>
      <w:r w:rsidRPr="00DE0FBF">
        <w:rPr>
          <w:rFonts w:ascii="Times New Roman" w:eastAsia="Times New Roman" w:hAnsi="Times New Roman" w:cs="Times New Roman"/>
          <w:i/>
          <w:color w:val="000000"/>
          <w:kern w:val="2"/>
          <w:sz w:val="24"/>
          <w:szCs w:val="24"/>
          <w:lang w:eastAsia="pl-PL"/>
        </w:rPr>
        <w:t>I</w:t>
      </w:r>
      <w:r w:rsidRPr="00DE0FBF">
        <w:rPr>
          <w:rFonts w:ascii="Times New Roman" w:eastAsia="Times New Roman" w:hAnsi="Times New Roman" w:cs="Times New Roman"/>
          <w:i/>
          <w:color w:val="000000"/>
          <w:kern w:val="2"/>
          <w:sz w:val="24"/>
          <w:szCs w:val="24"/>
          <w:vertAlign w:val="subscript"/>
          <w:lang w:eastAsia="pl-PL"/>
        </w:rPr>
        <w:t>0</w:t>
      </w:r>
      <w:r w:rsidRPr="00DE0FBF">
        <w:rPr>
          <w:rFonts w:ascii="Times New Roman" w:eastAsia="Times New Roman" w:hAnsi="Times New Roman" w:cs="Times New Roman"/>
          <w:color w:val="000000"/>
          <w:kern w:val="2"/>
          <w:sz w:val="24"/>
          <w:szCs w:val="24"/>
          <w:lang w:eastAsia="pl-PL"/>
        </w:rPr>
        <w:t xml:space="preserve"> oraz napięcia prądu stałego zasilającego aparaturę w polu, </w:t>
      </w:r>
    </w:p>
    <w:p w14:paraId="7D0A3533" w14:textId="399DD7E6" w:rsidR="00DE0FBF" w:rsidRPr="00B41FB6" w:rsidRDefault="00DE0FBF">
      <w:pPr>
        <w:numPr>
          <w:ilvl w:val="0"/>
          <w:numId w:val="207"/>
        </w:numPr>
        <w:spacing w:after="0" w:line="269" w:lineRule="auto"/>
        <w:ind w:left="1560" w:right="4" w:hanging="284"/>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rejestrować sygnały o pobudzeniu zabezpieczeń podstawowych, wszystkie sygnały o zadziałaniu zabezpieczeń lub automatyk na wyłączenie, wszystkie sygnały </w:t>
      </w:r>
      <w:proofErr w:type="spellStart"/>
      <w:r w:rsidRPr="00DE0FBF">
        <w:rPr>
          <w:rFonts w:ascii="Times New Roman" w:eastAsia="Times New Roman" w:hAnsi="Times New Roman" w:cs="Times New Roman"/>
          <w:color w:val="000000"/>
          <w:kern w:val="2"/>
          <w:sz w:val="24"/>
          <w:szCs w:val="24"/>
          <w:lang w:eastAsia="pl-PL"/>
        </w:rPr>
        <w:t>telezabezpieczeniowe</w:t>
      </w:r>
      <w:proofErr w:type="spellEnd"/>
      <w:r w:rsidRPr="00DE0FBF">
        <w:rPr>
          <w:rFonts w:ascii="Times New Roman" w:eastAsia="Times New Roman" w:hAnsi="Times New Roman" w:cs="Times New Roman"/>
          <w:color w:val="000000"/>
          <w:kern w:val="2"/>
          <w:sz w:val="24"/>
          <w:szCs w:val="24"/>
          <w:lang w:eastAsia="pl-PL"/>
        </w:rPr>
        <w:t xml:space="preserve"> (nadawanie i odbiór), sygnały załączające od układów SPZ oraz położenie biegunów aparatury łączeniowej. </w:t>
      </w:r>
      <w:r w:rsidRPr="00B41FB6">
        <w:rPr>
          <w:rFonts w:ascii="Times New Roman" w:eastAsia="Times New Roman" w:hAnsi="Times New Roman" w:cs="Times New Roman"/>
          <w:color w:val="000000"/>
          <w:kern w:val="2"/>
          <w:sz w:val="24"/>
          <w:szCs w:val="24"/>
          <w:lang w:eastAsia="pl-PL"/>
        </w:rPr>
        <w:t xml:space="preserve"> </w:t>
      </w:r>
      <w:r w:rsidRPr="00B41FB6">
        <w:rPr>
          <w:rFonts w:ascii="Times New Roman" w:eastAsia="Times New Roman" w:hAnsi="Times New Roman" w:cs="Times New Roman"/>
          <w:color w:val="000000"/>
          <w:kern w:val="2"/>
          <w:sz w:val="24"/>
          <w:szCs w:val="24"/>
          <w:lang w:eastAsia="pl-PL"/>
        </w:rPr>
        <w:tab/>
        <w:t xml:space="preserve"> </w:t>
      </w:r>
    </w:p>
    <w:p w14:paraId="0BA7F1DF" w14:textId="22029031" w:rsidR="00DE0FBF" w:rsidRPr="00DE0FBF" w:rsidRDefault="00B41FB6" w:rsidP="00B41FB6">
      <w:pPr>
        <w:keepNext/>
        <w:keepLines/>
        <w:numPr>
          <w:ilvl w:val="1"/>
          <w:numId w:val="0"/>
        </w:numPr>
        <w:spacing w:before="240" w:after="155" w:line="249" w:lineRule="auto"/>
        <w:ind w:left="1118" w:hanging="1061"/>
        <w:jc w:val="left"/>
        <w:outlineLvl w:val="1"/>
        <w:rPr>
          <w:rFonts w:ascii="Times New Roman" w:eastAsia="Times New Roman" w:hAnsi="Times New Roman" w:cs="Times New Roman"/>
          <w:b/>
          <w:color w:val="000000"/>
          <w:kern w:val="2"/>
          <w:sz w:val="24"/>
          <w:szCs w:val="24"/>
          <w:lang w:eastAsia="pl-PL"/>
        </w:rPr>
      </w:pPr>
      <w:r>
        <w:rPr>
          <w:rFonts w:ascii="Times New Roman" w:eastAsia="Times New Roman" w:hAnsi="Times New Roman" w:cs="Times New Roman"/>
          <w:b/>
          <w:color w:val="000000"/>
          <w:kern w:val="2"/>
          <w:sz w:val="24"/>
          <w:szCs w:val="24"/>
          <w:lang w:eastAsia="pl-PL"/>
        </w:rPr>
        <w:t xml:space="preserve">8.10. </w:t>
      </w:r>
      <w:r>
        <w:rPr>
          <w:rFonts w:ascii="Times New Roman" w:eastAsia="Times New Roman" w:hAnsi="Times New Roman" w:cs="Times New Roman"/>
          <w:b/>
          <w:color w:val="000000"/>
          <w:kern w:val="2"/>
          <w:sz w:val="24"/>
          <w:szCs w:val="24"/>
          <w:lang w:eastAsia="pl-PL"/>
        </w:rPr>
        <w:tab/>
      </w:r>
      <w:r w:rsidR="00DE0FBF" w:rsidRPr="00DE0FBF">
        <w:rPr>
          <w:rFonts w:ascii="Times New Roman" w:eastAsia="Times New Roman" w:hAnsi="Times New Roman" w:cs="Times New Roman"/>
          <w:b/>
          <w:color w:val="000000"/>
          <w:kern w:val="2"/>
          <w:sz w:val="24"/>
          <w:szCs w:val="24"/>
          <w:lang w:eastAsia="pl-PL"/>
        </w:rPr>
        <w:t>Testy sprawdzające</w:t>
      </w:r>
      <w:r w:rsidR="00DE0FBF" w:rsidRPr="00DE0FBF">
        <w:rPr>
          <w:rFonts w:ascii="Times New Roman" w:eastAsia="Times New Roman" w:hAnsi="Times New Roman" w:cs="Times New Roman"/>
          <w:color w:val="000000"/>
          <w:kern w:val="2"/>
          <w:sz w:val="24"/>
          <w:szCs w:val="24"/>
          <w:lang w:eastAsia="pl-PL"/>
        </w:rPr>
        <w:t xml:space="preserve"> </w:t>
      </w:r>
    </w:p>
    <w:p w14:paraId="44F6B3BB" w14:textId="77777777" w:rsidR="00DE0FBF" w:rsidRPr="00DE0FBF" w:rsidRDefault="00DE0FBF" w:rsidP="00DE0FBF">
      <w:pPr>
        <w:spacing w:after="135" w:line="269" w:lineRule="auto"/>
        <w:ind w:left="1118" w:hanging="1061"/>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8.10.1. </w:t>
      </w:r>
      <w:r w:rsidRPr="00DE0FBF">
        <w:rPr>
          <w:rFonts w:ascii="Times New Roman" w:eastAsia="Times New Roman" w:hAnsi="Times New Roman" w:cs="Times New Roman"/>
          <w:color w:val="000000"/>
          <w:kern w:val="2"/>
          <w:sz w:val="24"/>
          <w:szCs w:val="24"/>
          <w:lang w:eastAsia="pl-PL"/>
        </w:rPr>
        <w:tab/>
        <w:t xml:space="preserve">Właściciel farmy wiatrowej przyłączanej do sieci dystrybucyjnej jest zobowiązany do przeprowadzenia w okresie pierwszego roku pracy farmy, testów sprawdzających spełnienie wymagań IRiESD. Sposób i zakres przeprowadzenia testów farmy wiatrowej uzgadniany jest z właściwym operatorem systemu. Uzgodnienie to powinno nastąpić co najmniej na 6 miesięcy przed terminem uruchomienia farmy wiatrowej. </w:t>
      </w:r>
    </w:p>
    <w:p w14:paraId="4759DDDB" w14:textId="77777777" w:rsidR="00DE0FBF" w:rsidRPr="00DE0FBF" w:rsidRDefault="00DE0FBF" w:rsidP="00DE0FBF">
      <w:pPr>
        <w:spacing w:after="112" w:line="269" w:lineRule="auto"/>
        <w:ind w:left="1118" w:hanging="1061"/>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8.10.2. </w:t>
      </w:r>
      <w:r w:rsidRPr="00DE0FBF">
        <w:rPr>
          <w:rFonts w:ascii="Times New Roman" w:eastAsia="Times New Roman" w:hAnsi="Times New Roman" w:cs="Times New Roman"/>
          <w:color w:val="000000"/>
          <w:kern w:val="2"/>
          <w:sz w:val="24"/>
          <w:szCs w:val="24"/>
          <w:lang w:eastAsia="pl-PL"/>
        </w:rPr>
        <w:tab/>
        <w:t xml:space="preserve">Właściciel farmy wiatrowej na co najmniej 2 miesiące przed terminem przyłączenia farmy wiatrowej dostarcza odpowiedniemu operatorowi systemu zakres, program i harmonogram przeprowadzania testów, dostarczając równocześnie inne niezbędne dokumenty, jak instrukcje układów regulacji i instrukcję współpracy ruchowej. Powyższe dokumenty podlegają uzgodnieniu z właściwym operatorem systemu. Uzgodnienie to powinno być zakończone w terminie 30 dni roboczych przed rozpoczęciem testów sprawdzających. </w:t>
      </w:r>
    </w:p>
    <w:p w14:paraId="5DA0FAFD" w14:textId="77777777" w:rsidR="00DE0FBF" w:rsidRPr="00DE0FBF" w:rsidRDefault="00DE0FBF" w:rsidP="00DE0FBF">
      <w:pPr>
        <w:spacing w:after="135" w:line="269" w:lineRule="auto"/>
        <w:ind w:left="1143" w:hanging="10"/>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Testy powinny być wykonane zgodnie z obowiązującymi przepisami przy zachowaniu należytej staranności i wiedzy technicznej, przez niezależną firmę ekspercką posiadającą odpowiednie kwalifikacje, wiedzę i doświadczenie, uzgodnioną z Industria Dystrybucja Sp. z o.o. według programu uzgodnionego z Industria Dystrybucja Sp. z o.o. Firma ekspercka nie powinna być zaangażowana w jakiekolwiek prace przy budowie farmy wiatrowej, będące przedmiotem przeprowadzania obiektowych testów sprawdzających. Operator systemu ma prawo uczestniczyć w przeprowadzeniu testów. </w:t>
      </w:r>
    </w:p>
    <w:p w14:paraId="03C9B35A" w14:textId="77777777" w:rsidR="00DE0FBF" w:rsidRPr="00DE0FBF" w:rsidRDefault="00DE0FBF" w:rsidP="00DE0FBF">
      <w:pPr>
        <w:tabs>
          <w:tab w:val="center" w:pos="3278"/>
        </w:tabs>
        <w:spacing w:after="0" w:line="269" w:lineRule="auto"/>
        <w:jc w:val="left"/>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8.10.3. </w:t>
      </w:r>
      <w:r w:rsidRPr="00DE0FBF">
        <w:rPr>
          <w:rFonts w:ascii="Times New Roman" w:eastAsia="Times New Roman" w:hAnsi="Times New Roman" w:cs="Times New Roman"/>
          <w:color w:val="000000"/>
          <w:kern w:val="2"/>
          <w:sz w:val="24"/>
          <w:szCs w:val="24"/>
          <w:lang w:eastAsia="pl-PL"/>
        </w:rPr>
        <w:tab/>
        <w:t xml:space="preserve">Testy obejmować powinny w szczególności: </w:t>
      </w:r>
    </w:p>
    <w:p w14:paraId="6BF22556" w14:textId="77777777" w:rsidR="00DE0FBF" w:rsidRPr="00DE0FBF" w:rsidRDefault="00DE0FBF">
      <w:pPr>
        <w:numPr>
          <w:ilvl w:val="0"/>
          <w:numId w:val="208"/>
        </w:numPr>
        <w:spacing w:after="0" w:line="269" w:lineRule="auto"/>
        <w:ind w:right="4" w:hanging="356"/>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charakterystyki mocy farmy wiatrowej w funkcji prędkości wiatru, </w:t>
      </w:r>
    </w:p>
    <w:p w14:paraId="438F4370" w14:textId="77777777" w:rsidR="00DE0FBF" w:rsidRPr="00DE0FBF" w:rsidRDefault="00DE0FBF">
      <w:pPr>
        <w:numPr>
          <w:ilvl w:val="0"/>
          <w:numId w:val="208"/>
        </w:numPr>
        <w:spacing w:after="0" w:line="269" w:lineRule="auto"/>
        <w:ind w:right="4" w:hanging="356"/>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uruchomienia farmy wiatrowej przy wietrze umożliwiającym osiągnięcie co najmniej 75% mocy znamionowej, z kontrolą gradientu wzrostu mocy i zmian napięcia, </w:t>
      </w:r>
    </w:p>
    <w:p w14:paraId="6A1AE871" w14:textId="77777777" w:rsidR="00DE0FBF" w:rsidRPr="00DE0FBF" w:rsidRDefault="00DE0FBF">
      <w:pPr>
        <w:numPr>
          <w:ilvl w:val="0"/>
          <w:numId w:val="208"/>
        </w:numPr>
        <w:spacing w:after="0" w:line="269" w:lineRule="auto"/>
        <w:ind w:right="4" w:hanging="356"/>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odstawiania farmy wiatrowej przy prędkości wiatru przekraczającej wartość, przy której osiągana jest moc znamionowa, </w:t>
      </w:r>
    </w:p>
    <w:p w14:paraId="25541F34" w14:textId="77777777" w:rsidR="00DE0FBF" w:rsidRPr="00DE0FBF" w:rsidRDefault="00DE0FBF">
      <w:pPr>
        <w:numPr>
          <w:ilvl w:val="0"/>
          <w:numId w:val="208"/>
        </w:numPr>
        <w:spacing w:after="0" w:line="269" w:lineRule="auto"/>
        <w:ind w:right="4" w:hanging="356"/>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szybkości zmian napięcia przez układ regulacji napięcia, </w:t>
      </w:r>
    </w:p>
    <w:p w14:paraId="273DD3CD" w14:textId="77777777" w:rsidR="00DE0FBF" w:rsidRPr="00DE0FBF" w:rsidRDefault="00DE0FBF">
      <w:pPr>
        <w:numPr>
          <w:ilvl w:val="0"/>
          <w:numId w:val="208"/>
        </w:numPr>
        <w:spacing w:after="0" w:line="269" w:lineRule="auto"/>
        <w:ind w:right="4" w:hanging="356"/>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działania układu regulacji mocy i częstotliwości, </w:t>
      </w:r>
    </w:p>
    <w:p w14:paraId="09F32502" w14:textId="77777777" w:rsidR="00DE0FBF" w:rsidRPr="00DE0FBF" w:rsidRDefault="00DE0FBF">
      <w:pPr>
        <w:numPr>
          <w:ilvl w:val="0"/>
          <w:numId w:val="208"/>
        </w:numPr>
        <w:spacing w:after="135" w:line="269" w:lineRule="auto"/>
        <w:ind w:right="4" w:hanging="356"/>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wpływ farmy wiatrowej na jakość energii. </w:t>
      </w:r>
    </w:p>
    <w:p w14:paraId="4FDF86C8" w14:textId="77777777" w:rsidR="00DE0FBF" w:rsidRPr="00DE0FBF" w:rsidRDefault="00DE0FBF" w:rsidP="00DE0FBF">
      <w:pPr>
        <w:spacing w:after="89" w:line="269" w:lineRule="auto"/>
        <w:ind w:left="1118" w:hanging="1061"/>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lastRenderedPageBreak/>
        <w:t xml:space="preserve">8.10.4. </w:t>
      </w:r>
      <w:r w:rsidRPr="00DE0FBF">
        <w:rPr>
          <w:rFonts w:ascii="Times New Roman" w:eastAsia="Times New Roman" w:hAnsi="Times New Roman" w:cs="Times New Roman"/>
          <w:color w:val="000000"/>
          <w:kern w:val="2"/>
          <w:sz w:val="24"/>
          <w:szCs w:val="24"/>
          <w:lang w:eastAsia="pl-PL"/>
        </w:rPr>
        <w:tab/>
        <w:t xml:space="preserve">Industria Dystrybucja Sp. z o.o. wydaje zgodę na pierwsze uruchomienie farmy wiatrowej i przeprowadzenie testów. </w:t>
      </w:r>
    </w:p>
    <w:p w14:paraId="4D428451" w14:textId="77777777" w:rsidR="00DE0FBF" w:rsidRPr="00DE0FBF" w:rsidRDefault="00DE0FBF" w:rsidP="00DE0FBF">
      <w:pPr>
        <w:spacing w:after="135" w:line="269" w:lineRule="auto"/>
        <w:ind w:left="1118" w:hanging="1061"/>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8.10.5. </w:t>
      </w:r>
      <w:r w:rsidRPr="00DE0FBF">
        <w:rPr>
          <w:rFonts w:ascii="Times New Roman" w:eastAsia="Times New Roman" w:hAnsi="Times New Roman" w:cs="Times New Roman"/>
          <w:color w:val="000000"/>
          <w:kern w:val="2"/>
          <w:sz w:val="24"/>
          <w:szCs w:val="24"/>
          <w:lang w:eastAsia="pl-PL"/>
        </w:rPr>
        <w:tab/>
        <w:t xml:space="preserve">Szczegółowy raport z przeprowadzonych testów dostarczany jest Industria Dystrybucja Sp. z o.o. w terminie do 6 tygodni po ich zakończeniu. </w:t>
      </w:r>
    </w:p>
    <w:p w14:paraId="0BDAF337" w14:textId="77777777" w:rsidR="00DE0FBF" w:rsidRPr="00DE0FBF" w:rsidRDefault="00DE0FBF" w:rsidP="00DE0FBF">
      <w:pPr>
        <w:spacing w:after="240" w:line="269" w:lineRule="auto"/>
        <w:ind w:left="1118" w:hanging="1061"/>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8.10.6. </w:t>
      </w:r>
      <w:r w:rsidRPr="00DE0FBF">
        <w:rPr>
          <w:rFonts w:ascii="Times New Roman" w:eastAsia="Times New Roman" w:hAnsi="Times New Roman" w:cs="Times New Roman"/>
          <w:color w:val="000000"/>
          <w:kern w:val="2"/>
          <w:sz w:val="24"/>
          <w:szCs w:val="24"/>
          <w:lang w:eastAsia="pl-PL"/>
        </w:rPr>
        <w:tab/>
        <w:t xml:space="preserve">W przypadku gdy przeprowadzone testy wykażą, iż farma wiatrowa nie spełnia wymagań określonych w IRiESD oraz umowie o przyłączenie, właściwy operator systemu wyznacza termin na usunięcie nieprawidłowości i powtórne wykonanie testów. W przypadku dalszego niespełnienia wymagań określonych w IRiESD oraz umowie o przyłączenie, operator systemu ma prawo do odłączenia farmy wiatrowej, do czasu usunięcia nieprawidłowości. </w:t>
      </w:r>
    </w:p>
    <w:p w14:paraId="69B14C03" w14:textId="1BC997A2" w:rsidR="00DE0FBF" w:rsidRPr="00DE0FBF" w:rsidRDefault="00B41FB6" w:rsidP="00DE0FBF">
      <w:pPr>
        <w:keepNext/>
        <w:keepLines/>
        <w:spacing w:after="384" w:line="249" w:lineRule="auto"/>
        <w:ind w:left="1118" w:hanging="1061"/>
        <w:jc w:val="left"/>
        <w:outlineLvl w:val="0"/>
        <w:rPr>
          <w:rFonts w:ascii="Times New Roman" w:eastAsia="Times New Roman" w:hAnsi="Times New Roman" w:cs="Times New Roman"/>
          <w:b/>
          <w:color w:val="000000"/>
          <w:kern w:val="2"/>
          <w:sz w:val="24"/>
          <w:szCs w:val="24"/>
          <w:lang w:eastAsia="pl-PL"/>
        </w:rPr>
      </w:pPr>
      <w:r>
        <w:rPr>
          <w:rFonts w:ascii="Times New Roman" w:eastAsia="Times New Roman" w:hAnsi="Times New Roman" w:cs="Times New Roman"/>
          <w:b/>
          <w:color w:val="000000"/>
          <w:kern w:val="2"/>
          <w:sz w:val="24"/>
          <w:szCs w:val="24"/>
          <w:lang w:eastAsia="pl-PL"/>
        </w:rPr>
        <w:t xml:space="preserve">9. </w:t>
      </w:r>
      <w:r>
        <w:rPr>
          <w:rFonts w:ascii="Times New Roman" w:eastAsia="Times New Roman" w:hAnsi="Times New Roman" w:cs="Times New Roman"/>
          <w:b/>
          <w:color w:val="000000"/>
          <w:kern w:val="2"/>
          <w:sz w:val="24"/>
          <w:szCs w:val="24"/>
          <w:lang w:eastAsia="pl-PL"/>
        </w:rPr>
        <w:tab/>
      </w:r>
      <w:r w:rsidR="00DE0FBF" w:rsidRPr="00DE0FBF">
        <w:rPr>
          <w:rFonts w:ascii="Times New Roman" w:eastAsia="Times New Roman" w:hAnsi="Times New Roman" w:cs="Times New Roman"/>
          <w:b/>
          <w:color w:val="000000"/>
          <w:kern w:val="2"/>
          <w:sz w:val="24"/>
          <w:szCs w:val="24"/>
          <w:lang w:eastAsia="pl-PL"/>
        </w:rPr>
        <w:t xml:space="preserve">DODATKOWE WYMAGANIA DLA MIKROINSTALACJI </w:t>
      </w:r>
    </w:p>
    <w:p w14:paraId="51BDF06C" w14:textId="3CBE9647" w:rsidR="00DE0FBF" w:rsidRPr="00DE0FBF" w:rsidRDefault="00B41FB6" w:rsidP="00DE0FBF">
      <w:pPr>
        <w:keepNext/>
        <w:keepLines/>
        <w:numPr>
          <w:ilvl w:val="1"/>
          <w:numId w:val="0"/>
        </w:numPr>
        <w:spacing w:after="155" w:line="249" w:lineRule="auto"/>
        <w:ind w:left="1118" w:hanging="1061"/>
        <w:jc w:val="left"/>
        <w:outlineLvl w:val="1"/>
        <w:rPr>
          <w:rFonts w:ascii="Times New Roman" w:eastAsia="Times New Roman" w:hAnsi="Times New Roman" w:cs="Times New Roman"/>
          <w:b/>
          <w:color w:val="000000"/>
          <w:kern w:val="2"/>
          <w:sz w:val="24"/>
          <w:szCs w:val="24"/>
          <w:lang w:eastAsia="pl-PL"/>
        </w:rPr>
      </w:pPr>
      <w:r>
        <w:rPr>
          <w:rFonts w:ascii="Times New Roman" w:eastAsia="Times New Roman" w:hAnsi="Times New Roman" w:cs="Times New Roman"/>
          <w:b/>
          <w:color w:val="000000"/>
          <w:kern w:val="2"/>
          <w:sz w:val="24"/>
          <w:szCs w:val="24"/>
          <w:lang w:eastAsia="pl-PL"/>
        </w:rPr>
        <w:t xml:space="preserve">9.1 </w:t>
      </w:r>
      <w:r>
        <w:rPr>
          <w:rFonts w:ascii="Times New Roman" w:eastAsia="Times New Roman" w:hAnsi="Times New Roman" w:cs="Times New Roman"/>
          <w:b/>
          <w:color w:val="000000"/>
          <w:kern w:val="2"/>
          <w:sz w:val="24"/>
          <w:szCs w:val="24"/>
          <w:lang w:eastAsia="pl-PL"/>
        </w:rPr>
        <w:tab/>
      </w:r>
      <w:r w:rsidR="00DE0FBF" w:rsidRPr="00DE0FBF">
        <w:rPr>
          <w:rFonts w:ascii="Times New Roman" w:eastAsia="Times New Roman" w:hAnsi="Times New Roman" w:cs="Times New Roman"/>
          <w:b/>
          <w:color w:val="000000"/>
          <w:kern w:val="2"/>
          <w:sz w:val="24"/>
          <w:szCs w:val="24"/>
          <w:lang w:eastAsia="pl-PL"/>
        </w:rPr>
        <w:t xml:space="preserve">Wymagania techniczne </w:t>
      </w:r>
    </w:p>
    <w:p w14:paraId="7EBD3732" w14:textId="2CE65642" w:rsidR="00DE0FBF" w:rsidRPr="00DE0FBF" w:rsidRDefault="00B41FB6" w:rsidP="00DE0FBF">
      <w:pPr>
        <w:keepNext/>
        <w:keepLines/>
        <w:numPr>
          <w:ilvl w:val="2"/>
          <w:numId w:val="0"/>
        </w:numPr>
        <w:spacing w:after="149" w:line="259" w:lineRule="auto"/>
        <w:ind w:left="1134" w:hanging="1134"/>
        <w:jc w:val="left"/>
        <w:outlineLvl w:val="2"/>
        <w:rPr>
          <w:rFonts w:ascii="Times New Roman" w:eastAsia="Times New Roman" w:hAnsi="Times New Roman" w:cs="Times New Roman"/>
          <w:color w:val="000000"/>
          <w:kern w:val="2"/>
          <w:sz w:val="24"/>
          <w:szCs w:val="24"/>
          <w:u w:color="000000"/>
          <w:lang w:eastAsia="pl-PL"/>
        </w:rPr>
      </w:pPr>
      <w:r>
        <w:rPr>
          <w:rFonts w:ascii="Times New Roman" w:eastAsia="Times New Roman" w:hAnsi="Times New Roman" w:cs="Times New Roman"/>
          <w:color w:val="000000"/>
          <w:kern w:val="2"/>
          <w:sz w:val="24"/>
          <w:szCs w:val="24"/>
          <w:u w:color="000000"/>
          <w:lang w:eastAsia="pl-PL"/>
        </w:rPr>
        <w:t xml:space="preserve">9.1.1. </w:t>
      </w:r>
      <w:r>
        <w:rPr>
          <w:rFonts w:ascii="Times New Roman" w:eastAsia="Times New Roman" w:hAnsi="Times New Roman" w:cs="Times New Roman"/>
          <w:color w:val="000000"/>
          <w:kern w:val="2"/>
          <w:sz w:val="24"/>
          <w:szCs w:val="24"/>
          <w:u w:color="000000"/>
          <w:lang w:eastAsia="pl-PL"/>
        </w:rPr>
        <w:tab/>
      </w:r>
      <w:r w:rsidR="00DE0FBF" w:rsidRPr="00DE0FBF">
        <w:rPr>
          <w:rFonts w:ascii="Times New Roman" w:eastAsia="Times New Roman" w:hAnsi="Times New Roman" w:cs="Times New Roman"/>
          <w:color w:val="000000"/>
          <w:kern w:val="2"/>
          <w:sz w:val="24"/>
          <w:szCs w:val="24"/>
          <w:u w:color="000000"/>
          <w:lang w:eastAsia="pl-PL"/>
        </w:rPr>
        <w:t xml:space="preserve">Wymagania ogólne </w:t>
      </w:r>
    </w:p>
    <w:p w14:paraId="3BFB82CF" w14:textId="77777777" w:rsidR="00DE0FBF" w:rsidRPr="00DE0FBF" w:rsidRDefault="00DE0FBF" w:rsidP="00DE0FBF">
      <w:pPr>
        <w:spacing w:after="135" w:line="269" w:lineRule="auto"/>
        <w:ind w:left="1118" w:hanging="1118"/>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9.1.1.1. </w:t>
      </w:r>
      <w:r w:rsidRPr="00DE0FBF">
        <w:rPr>
          <w:rFonts w:ascii="Times New Roman" w:eastAsia="Times New Roman" w:hAnsi="Times New Roman" w:cs="Times New Roman"/>
          <w:color w:val="000000"/>
          <w:kern w:val="2"/>
          <w:sz w:val="24"/>
          <w:szCs w:val="24"/>
          <w:lang w:eastAsia="pl-PL"/>
        </w:rPr>
        <w:tab/>
      </w:r>
      <w:proofErr w:type="spellStart"/>
      <w:r w:rsidRPr="00DE0FBF">
        <w:rPr>
          <w:rFonts w:ascii="Times New Roman" w:eastAsia="Times New Roman" w:hAnsi="Times New Roman" w:cs="Times New Roman"/>
          <w:color w:val="000000"/>
          <w:kern w:val="2"/>
          <w:sz w:val="24"/>
          <w:szCs w:val="24"/>
          <w:lang w:eastAsia="pl-PL"/>
        </w:rPr>
        <w:t>Mikroinstalacja</w:t>
      </w:r>
      <w:proofErr w:type="spellEnd"/>
      <w:r w:rsidRPr="00DE0FBF">
        <w:rPr>
          <w:rFonts w:ascii="Times New Roman" w:eastAsia="Times New Roman" w:hAnsi="Times New Roman" w:cs="Times New Roman"/>
          <w:color w:val="000000"/>
          <w:kern w:val="2"/>
          <w:sz w:val="24"/>
          <w:szCs w:val="24"/>
          <w:lang w:eastAsia="pl-PL"/>
        </w:rPr>
        <w:t xml:space="preserve"> przyłączona do sieci </w:t>
      </w:r>
      <w:r w:rsidRPr="00DE0FBF">
        <w:rPr>
          <w:rFonts w:ascii="Garamond" w:eastAsia="Times New Roman" w:hAnsi="Garamond" w:cs="Times New Roman"/>
          <w:color w:val="000000"/>
          <w:kern w:val="2"/>
          <w:sz w:val="24"/>
          <w:szCs w:val="24"/>
          <w:lang w:eastAsia="pl-PL"/>
        </w:rPr>
        <w:t>Industria Dystrybucja Sp. z o.o</w:t>
      </w:r>
      <w:r w:rsidRPr="00DE0FBF">
        <w:rPr>
          <w:rFonts w:ascii="Times New Roman" w:eastAsia="Times New Roman" w:hAnsi="Times New Roman" w:cs="Times New Roman"/>
          <w:color w:val="000000"/>
          <w:kern w:val="2"/>
          <w:sz w:val="24"/>
          <w:szCs w:val="24"/>
          <w:lang w:eastAsia="pl-PL"/>
        </w:rPr>
        <w:t xml:space="preserve">., powinna umożliwiać Industria Dystrybucja Sp. z o.o. monitorowanie i sterowanie jej parametrami w sposób zintegrowany (jedno urządzenie sterujące tj. falownik lub integrator w przypadku więcej niż jednego falownika, zapewniające wspólne i jednoczesne sterowanie pracą całej mikroinstalacji). </w:t>
      </w:r>
    </w:p>
    <w:p w14:paraId="3AD60C9A" w14:textId="77777777" w:rsidR="00DE0FBF" w:rsidRPr="00DE0FBF" w:rsidRDefault="00DE0FBF" w:rsidP="00DE0FBF">
      <w:pPr>
        <w:spacing w:after="135" w:line="269" w:lineRule="auto"/>
        <w:ind w:left="1118" w:right="79" w:hanging="1061"/>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9.1.1.2. </w:t>
      </w:r>
      <w:r w:rsidRPr="00DE0FBF">
        <w:rPr>
          <w:rFonts w:ascii="Times New Roman" w:eastAsia="Times New Roman" w:hAnsi="Times New Roman" w:cs="Times New Roman"/>
          <w:color w:val="000000"/>
          <w:kern w:val="2"/>
          <w:sz w:val="24"/>
          <w:szCs w:val="24"/>
          <w:lang w:eastAsia="pl-PL"/>
        </w:rPr>
        <w:tab/>
        <w:t xml:space="preserve">Dla jednego przyłącza dopuszcza się zabudowę mikroinstalacji za pomocą falowników jednofazowych o łącznej mocy nie większej niż 3,68 kW na każdej fazie, pod warunkiem spełnienia wymagań z pkt 9.1.1.1. </w:t>
      </w:r>
    </w:p>
    <w:p w14:paraId="40AE3BC6" w14:textId="77777777" w:rsidR="00DE0FBF" w:rsidRPr="00DE0FBF" w:rsidRDefault="00DE0FBF" w:rsidP="00DE0FBF">
      <w:pPr>
        <w:spacing w:after="135" w:line="269" w:lineRule="auto"/>
        <w:ind w:left="1118" w:hanging="1061"/>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9.1.1.3. </w:t>
      </w:r>
      <w:r w:rsidRPr="00DE0FBF">
        <w:rPr>
          <w:rFonts w:ascii="Times New Roman" w:eastAsia="Times New Roman" w:hAnsi="Times New Roman" w:cs="Times New Roman"/>
          <w:color w:val="000000"/>
          <w:kern w:val="2"/>
          <w:sz w:val="24"/>
          <w:szCs w:val="24"/>
          <w:lang w:eastAsia="pl-PL"/>
        </w:rPr>
        <w:tab/>
        <w:t xml:space="preserve">Urządzenie sterujące, o którym mowa w pkt 9.1.1.1. powinno być wyposażone w port wejściowy RS485 obsługujący protokół komunikacji SUNSPEC, który umożliwia przyjęcie od Industria Dystrybucja Sp. z o.o. poleceń sterujących. Port wejściowy RS485 powinien być zlokalizowany w miejscu zapewniającym łatwy dostęp dla służb technicznych Industria Dystrybucja Sp. z o.o. </w:t>
      </w:r>
    </w:p>
    <w:p w14:paraId="7737EDDF" w14:textId="5F355E5B" w:rsidR="00DE0FBF" w:rsidRPr="00DE0FBF" w:rsidRDefault="00B41FB6" w:rsidP="00DE0FBF">
      <w:pPr>
        <w:keepNext/>
        <w:keepLines/>
        <w:numPr>
          <w:ilvl w:val="2"/>
          <w:numId w:val="0"/>
        </w:numPr>
        <w:spacing w:after="149" w:line="259" w:lineRule="auto"/>
        <w:ind w:left="1046" w:hanging="1061"/>
        <w:jc w:val="left"/>
        <w:outlineLvl w:val="2"/>
        <w:rPr>
          <w:rFonts w:ascii="Times New Roman" w:eastAsia="Times New Roman" w:hAnsi="Times New Roman" w:cs="Times New Roman"/>
          <w:color w:val="000000"/>
          <w:kern w:val="2"/>
          <w:sz w:val="24"/>
          <w:szCs w:val="24"/>
          <w:u w:color="000000"/>
          <w:lang w:eastAsia="pl-PL"/>
        </w:rPr>
      </w:pPr>
      <w:r>
        <w:rPr>
          <w:rFonts w:ascii="Times New Roman" w:eastAsia="Times New Roman" w:hAnsi="Times New Roman" w:cs="Times New Roman"/>
          <w:color w:val="000000"/>
          <w:kern w:val="2"/>
          <w:sz w:val="24"/>
          <w:szCs w:val="24"/>
          <w:u w:color="000000"/>
          <w:lang w:eastAsia="pl-PL"/>
        </w:rPr>
        <w:t>9.1.2</w:t>
      </w:r>
      <w:r>
        <w:rPr>
          <w:rFonts w:ascii="Times New Roman" w:eastAsia="Times New Roman" w:hAnsi="Times New Roman" w:cs="Times New Roman"/>
          <w:color w:val="000000"/>
          <w:kern w:val="2"/>
          <w:sz w:val="24"/>
          <w:szCs w:val="24"/>
          <w:u w:color="000000"/>
          <w:lang w:eastAsia="pl-PL"/>
        </w:rPr>
        <w:tab/>
        <w:t xml:space="preserve"> </w:t>
      </w:r>
      <w:r w:rsidR="00DE0FBF" w:rsidRPr="00DE0FBF">
        <w:rPr>
          <w:rFonts w:ascii="Times New Roman" w:eastAsia="Times New Roman" w:hAnsi="Times New Roman" w:cs="Times New Roman"/>
          <w:color w:val="000000"/>
          <w:kern w:val="2"/>
          <w:sz w:val="24"/>
          <w:szCs w:val="24"/>
          <w:u w:color="000000"/>
          <w:lang w:eastAsia="pl-PL"/>
        </w:rPr>
        <w:t xml:space="preserve">Wymagania w zakresie regulacji mocy biernej </w:t>
      </w:r>
    </w:p>
    <w:p w14:paraId="37AD8723" w14:textId="77777777" w:rsidR="00DE0FBF" w:rsidRPr="00DE0FBF" w:rsidRDefault="00DE0FBF" w:rsidP="00DE0FBF">
      <w:pPr>
        <w:tabs>
          <w:tab w:val="center" w:pos="2029"/>
        </w:tabs>
        <w:spacing w:after="135" w:line="269" w:lineRule="auto"/>
        <w:jc w:val="left"/>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9.1.2.1. </w:t>
      </w:r>
      <w:r w:rsidRPr="00DE0FBF">
        <w:rPr>
          <w:rFonts w:ascii="Times New Roman" w:eastAsia="Times New Roman" w:hAnsi="Times New Roman" w:cs="Times New Roman"/>
          <w:color w:val="000000"/>
          <w:kern w:val="2"/>
          <w:sz w:val="24"/>
          <w:szCs w:val="24"/>
          <w:lang w:eastAsia="pl-PL"/>
        </w:rPr>
        <w:tab/>
        <w:t xml:space="preserve">Wymagania ogólne: </w:t>
      </w:r>
    </w:p>
    <w:p w14:paraId="17261EC3" w14:textId="77777777" w:rsidR="00DE0FBF" w:rsidRPr="00DE0FBF" w:rsidRDefault="00DE0FBF" w:rsidP="00DE0FBF">
      <w:pPr>
        <w:spacing w:after="135" w:line="269" w:lineRule="auto"/>
        <w:ind w:left="1071" w:right="76" w:hanging="10"/>
        <w:rPr>
          <w:rFonts w:ascii="Times New Roman" w:eastAsia="Times New Roman" w:hAnsi="Times New Roman" w:cs="Times New Roman"/>
          <w:color w:val="000000"/>
          <w:kern w:val="2"/>
          <w:sz w:val="24"/>
          <w:szCs w:val="24"/>
          <w:lang w:eastAsia="pl-PL"/>
        </w:rPr>
      </w:pPr>
      <w:proofErr w:type="spellStart"/>
      <w:r w:rsidRPr="00DE0FBF">
        <w:rPr>
          <w:rFonts w:ascii="Times New Roman" w:eastAsia="Times New Roman" w:hAnsi="Times New Roman" w:cs="Times New Roman"/>
          <w:color w:val="000000"/>
          <w:kern w:val="2"/>
          <w:sz w:val="24"/>
          <w:szCs w:val="24"/>
          <w:lang w:eastAsia="pl-PL"/>
        </w:rPr>
        <w:t>Mikroinstalacja</w:t>
      </w:r>
      <w:proofErr w:type="spellEnd"/>
      <w:r w:rsidRPr="00DE0FBF">
        <w:rPr>
          <w:rFonts w:ascii="Times New Roman" w:eastAsia="Times New Roman" w:hAnsi="Times New Roman" w:cs="Times New Roman"/>
          <w:color w:val="000000"/>
          <w:kern w:val="2"/>
          <w:sz w:val="24"/>
          <w:szCs w:val="24"/>
          <w:lang w:eastAsia="pl-PL"/>
        </w:rPr>
        <w:t xml:space="preserve"> przyłączona przez falownik ma być zdolna do pracy w normalnych warunkach eksploatacji w paśmie tolerancji napięcia od 0,85 </w:t>
      </w:r>
      <w:proofErr w:type="spellStart"/>
      <w:r w:rsidRPr="00DE0FBF">
        <w:rPr>
          <w:rFonts w:ascii="Times New Roman" w:eastAsia="Times New Roman" w:hAnsi="Times New Roman" w:cs="Times New Roman"/>
          <w:color w:val="000000"/>
          <w:kern w:val="2"/>
          <w:sz w:val="24"/>
          <w:szCs w:val="24"/>
          <w:lang w:eastAsia="pl-PL"/>
        </w:rPr>
        <w:t>U</w:t>
      </w:r>
      <w:r w:rsidRPr="00DE0FBF">
        <w:rPr>
          <w:rFonts w:ascii="Times New Roman" w:eastAsia="Times New Roman" w:hAnsi="Times New Roman" w:cs="Times New Roman"/>
          <w:color w:val="000000"/>
          <w:kern w:val="2"/>
          <w:sz w:val="24"/>
          <w:szCs w:val="24"/>
          <w:vertAlign w:val="subscript"/>
          <w:lang w:eastAsia="pl-PL"/>
        </w:rPr>
        <w:t>n</w:t>
      </w:r>
      <w:proofErr w:type="spellEnd"/>
      <w:r w:rsidRPr="00DE0FBF">
        <w:rPr>
          <w:rFonts w:ascii="Times New Roman" w:eastAsia="Times New Roman" w:hAnsi="Times New Roman" w:cs="Times New Roman"/>
          <w:color w:val="000000"/>
          <w:kern w:val="2"/>
          <w:sz w:val="24"/>
          <w:szCs w:val="24"/>
          <w:lang w:eastAsia="pl-PL"/>
        </w:rPr>
        <w:t xml:space="preserve"> do 1,1 </w:t>
      </w:r>
      <w:proofErr w:type="spellStart"/>
      <w:r w:rsidRPr="00DE0FBF">
        <w:rPr>
          <w:rFonts w:ascii="Times New Roman" w:eastAsia="Times New Roman" w:hAnsi="Times New Roman" w:cs="Times New Roman"/>
          <w:color w:val="000000"/>
          <w:kern w:val="2"/>
          <w:sz w:val="24"/>
          <w:szCs w:val="24"/>
          <w:lang w:eastAsia="pl-PL"/>
        </w:rPr>
        <w:t>U</w:t>
      </w:r>
      <w:r w:rsidRPr="00DE0FBF">
        <w:rPr>
          <w:rFonts w:ascii="Times New Roman" w:eastAsia="Times New Roman" w:hAnsi="Times New Roman" w:cs="Times New Roman"/>
          <w:color w:val="000000"/>
          <w:kern w:val="2"/>
          <w:sz w:val="24"/>
          <w:szCs w:val="24"/>
          <w:vertAlign w:val="subscript"/>
          <w:lang w:eastAsia="pl-PL"/>
        </w:rPr>
        <w:t>n</w:t>
      </w:r>
      <w:proofErr w:type="spellEnd"/>
      <w:r w:rsidRPr="00DE0FBF">
        <w:rPr>
          <w:rFonts w:ascii="Times New Roman" w:eastAsia="Times New Roman" w:hAnsi="Times New Roman" w:cs="Times New Roman"/>
          <w:color w:val="000000"/>
          <w:kern w:val="2"/>
          <w:sz w:val="24"/>
          <w:szCs w:val="24"/>
          <w:lang w:eastAsia="pl-PL"/>
        </w:rPr>
        <w:t xml:space="preserve"> z następującą mocą bierną:  </w:t>
      </w:r>
    </w:p>
    <w:p w14:paraId="2C76D889" w14:textId="77777777" w:rsidR="00DE0FBF" w:rsidRPr="00DE0FBF" w:rsidRDefault="00DE0FBF">
      <w:pPr>
        <w:numPr>
          <w:ilvl w:val="0"/>
          <w:numId w:val="209"/>
        </w:numPr>
        <w:spacing w:after="135" w:line="269" w:lineRule="auto"/>
        <w:ind w:left="1560" w:right="39" w:hanging="284"/>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zgodnie z krzywą charakterystyki zadanej przez Industria Dystrybucja Sp. z o.o. w obrębie współczynników przesunięcia fazowego podstawowych harmonicznych napięcia i prądu od cos </w:t>
      </w:r>
      <w:r w:rsidRPr="00DE0FBF">
        <w:rPr>
          <w:rFonts w:ascii="Times New Roman" w:eastAsia="Times New Roman" w:hAnsi="Times New Roman" w:cs="Times New Roman"/>
          <w:i/>
          <w:color w:val="000000"/>
          <w:kern w:val="2"/>
          <w:sz w:val="24"/>
          <w:szCs w:val="24"/>
          <w:lang w:eastAsia="pl-PL"/>
        </w:rPr>
        <w:t>φ</w:t>
      </w:r>
      <w:r w:rsidRPr="00DE0FBF">
        <w:rPr>
          <w:rFonts w:ascii="Times New Roman" w:eastAsia="Times New Roman" w:hAnsi="Times New Roman" w:cs="Times New Roman"/>
          <w:color w:val="000000"/>
          <w:kern w:val="2"/>
          <w:sz w:val="24"/>
          <w:szCs w:val="24"/>
          <w:lang w:eastAsia="pl-PL"/>
        </w:rPr>
        <w:t>=0,9</w:t>
      </w:r>
      <w:r w:rsidRPr="00DE0FBF">
        <w:rPr>
          <w:rFonts w:ascii="Times New Roman" w:eastAsia="Times New Roman" w:hAnsi="Times New Roman" w:cs="Times New Roman"/>
          <w:color w:val="000000"/>
          <w:kern w:val="2"/>
          <w:sz w:val="24"/>
          <w:szCs w:val="24"/>
          <w:vertAlign w:val="subscript"/>
          <w:lang w:eastAsia="pl-PL"/>
        </w:rPr>
        <w:t>ind</w:t>
      </w:r>
      <w:r w:rsidRPr="00DE0FBF">
        <w:rPr>
          <w:rFonts w:ascii="Times New Roman" w:eastAsia="Times New Roman" w:hAnsi="Times New Roman" w:cs="Times New Roman"/>
          <w:color w:val="000000"/>
          <w:kern w:val="2"/>
          <w:sz w:val="24"/>
          <w:szCs w:val="24"/>
          <w:lang w:eastAsia="pl-PL"/>
        </w:rPr>
        <w:t xml:space="preserve"> do cos </w:t>
      </w:r>
      <w:r w:rsidRPr="00DE0FBF">
        <w:rPr>
          <w:rFonts w:ascii="Times New Roman" w:eastAsia="Times New Roman" w:hAnsi="Times New Roman" w:cs="Times New Roman"/>
          <w:i/>
          <w:color w:val="000000"/>
          <w:kern w:val="2"/>
          <w:sz w:val="24"/>
          <w:szCs w:val="24"/>
          <w:lang w:eastAsia="pl-PL"/>
        </w:rPr>
        <w:t>φ =</w:t>
      </w:r>
      <w:r w:rsidRPr="00DE0FBF">
        <w:rPr>
          <w:rFonts w:ascii="Times New Roman" w:eastAsia="Times New Roman" w:hAnsi="Times New Roman" w:cs="Times New Roman"/>
          <w:color w:val="000000"/>
          <w:kern w:val="2"/>
          <w:sz w:val="24"/>
          <w:szCs w:val="24"/>
          <w:lang w:eastAsia="pl-PL"/>
        </w:rPr>
        <w:t>0,9</w:t>
      </w:r>
      <w:r w:rsidRPr="00DE0FBF">
        <w:rPr>
          <w:rFonts w:ascii="Times New Roman" w:eastAsia="Times New Roman" w:hAnsi="Times New Roman" w:cs="Times New Roman"/>
          <w:color w:val="000000"/>
          <w:kern w:val="2"/>
          <w:sz w:val="24"/>
          <w:szCs w:val="24"/>
          <w:vertAlign w:val="subscript"/>
          <w:lang w:eastAsia="pl-PL"/>
        </w:rPr>
        <w:t>poj</w:t>
      </w:r>
      <w:r w:rsidRPr="00DE0FBF">
        <w:rPr>
          <w:rFonts w:ascii="Times New Roman" w:eastAsia="Times New Roman" w:hAnsi="Times New Roman" w:cs="Times New Roman"/>
          <w:color w:val="000000"/>
          <w:kern w:val="2"/>
          <w:sz w:val="24"/>
          <w:szCs w:val="24"/>
          <w:lang w:eastAsia="pl-PL"/>
        </w:rPr>
        <w:t xml:space="preserve">, gdzie moc czynna wyjściowa mikroinstalacji jest równa 20% znamionowej mocy czynnej lub większa, </w:t>
      </w:r>
    </w:p>
    <w:p w14:paraId="665DD45D" w14:textId="77777777" w:rsidR="00DE0FBF" w:rsidRPr="00DE0FBF" w:rsidRDefault="00DE0FBF">
      <w:pPr>
        <w:numPr>
          <w:ilvl w:val="0"/>
          <w:numId w:val="209"/>
        </w:numPr>
        <w:spacing w:after="83" w:line="269" w:lineRule="auto"/>
        <w:ind w:left="1560" w:right="39" w:hanging="284"/>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lastRenderedPageBreak/>
        <w:t xml:space="preserve">bez zmian mocy biernej więcej niż o 10% znamionowej mocy czynnej mikroinstalacji przy mocy czynnej niższej niż 20% znamionowej mocy czynnej. </w:t>
      </w:r>
    </w:p>
    <w:p w14:paraId="38A8D066" w14:textId="77777777" w:rsidR="00DE0FBF" w:rsidRPr="00DE0FBF" w:rsidRDefault="00DE0FBF" w:rsidP="00DE0FBF">
      <w:pPr>
        <w:spacing w:after="27" w:line="269" w:lineRule="auto"/>
        <w:ind w:left="1071" w:hanging="10"/>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Wymaganie to przedstawiono na rys. nr 2. </w:t>
      </w:r>
    </w:p>
    <w:p w14:paraId="3F4FA003" w14:textId="77777777" w:rsidR="00DE0FBF" w:rsidRPr="00DE0FBF" w:rsidRDefault="00DE0FBF" w:rsidP="00DE0FBF">
      <w:pPr>
        <w:spacing w:after="85" w:line="259" w:lineRule="auto"/>
        <w:ind w:left="2755"/>
        <w:jc w:val="left"/>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noProof/>
          <w:color w:val="000000"/>
          <w:kern w:val="2"/>
          <w:sz w:val="24"/>
          <w:szCs w:val="24"/>
          <w:lang w:eastAsia="pl-PL"/>
        </w:rPr>
        <w:drawing>
          <wp:inline distT="0" distB="0" distL="0" distR="0" wp14:anchorId="6D46955A" wp14:editId="47DC943B">
            <wp:extent cx="2924827" cy="2210844"/>
            <wp:effectExtent l="0" t="0" r="8890" b="0"/>
            <wp:docPr id="4848" name="Picture 4848"/>
            <wp:cNvGraphicFramePr/>
            <a:graphic xmlns:a="http://schemas.openxmlformats.org/drawingml/2006/main">
              <a:graphicData uri="http://schemas.openxmlformats.org/drawingml/2006/picture">
                <pic:pic xmlns:pic="http://schemas.openxmlformats.org/drawingml/2006/picture">
                  <pic:nvPicPr>
                    <pic:cNvPr id="4848" name="Picture 4848"/>
                    <pic:cNvPicPr/>
                  </pic:nvPicPr>
                  <pic:blipFill>
                    <a:blip r:embed="rId44"/>
                    <a:stretch>
                      <a:fillRect/>
                    </a:stretch>
                  </pic:blipFill>
                  <pic:spPr>
                    <a:xfrm>
                      <a:off x="0" y="0"/>
                      <a:ext cx="2934543" cy="2218188"/>
                    </a:xfrm>
                    <a:prstGeom prst="rect">
                      <a:avLst/>
                    </a:prstGeom>
                  </pic:spPr>
                </pic:pic>
              </a:graphicData>
            </a:graphic>
          </wp:inline>
        </w:drawing>
      </w:r>
      <w:r w:rsidRPr="00DE0FBF">
        <w:rPr>
          <w:rFonts w:ascii="Times New Roman" w:eastAsia="Times New Roman" w:hAnsi="Times New Roman" w:cs="Times New Roman"/>
          <w:color w:val="000000"/>
          <w:kern w:val="2"/>
          <w:sz w:val="24"/>
          <w:szCs w:val="24"/>
          <w:lang w:eastAsia="pl-PL"/>
        </w:rPr>
        <w:t xml:space="preserve"> </w:t>
      </w:r>
    </w:p>
    <w:p w14:paraId="6CBA6D73" w14:textId="77777777" w:rsidR="00DE0FBF" w:rsidRPr="00DE0FBF" w:rsidRDefault="00DE0FBF" w:rsidP="00DE0FBF">
      <w:pPr>
        <w:spacing w:after="138" w:line="249" w:lineRule="auto"/>
        <w:ind w:left="1056" w:hanging="10"/>
        <w:jc w:val="left"/>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i/>
          <w:color w:val="000000"/>
          <w:kern w:val="2"/>
          <w:sz w:val="24"/>
          <w:szCs w:val="24"/>
          <w:lang w:eastAsia="pl-PL"/>
        </w:rPr>
        <w:t>Rys. 2. Zdolność do generacji mocy biernej w obciążeniowym układzie odniesienia</w:t>
      </w:r>
      <w:r w:rsidRPr="00DE0FBF">
        <w:rPr>
          <w:rFonts w:ascii="Times New Roman" w:eastAsia="Times New Roman" w:hAnsi="Times New Roman" w:cs="Times New Roman"/>
          <w:color w:val="000000"/>
          <w:kern w:val="2"/>
          <w:sz w:val="24"/>
          <w:szCs w:val="24"/>
          <w:lang w:eastAsia="pl-PL"/>
        </w:rPr>
        <w:t xml:space="preserve"> </w:t>
      </w:r>
    </w:p>
    <w:p w14:paraId="4705D73A" w14:textId="77777777" w:rsidR="00DE0FBF" w:rsidRPr="00DE0FBF" w:rsidRDefault="00DE0FBF" w:rsidP="00DE0FBF">
      <w:pPr>
        <w:tabs>
          <w:tab w:val="center" w:pos="3033"/>
        </w:tabs>
        <w:spacing w:after="135" w:line="269" w:lineRule="auto"/>
        <w:jc w:val="left"/>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9.1.2.2 </w:t>
      </w:r>
      <w:r w:rsidRPr="00DE0FBF">
        <w:rPr>
          <w:rFonts w:ascii="Times New Roman" w:eastAsia="Times New Roman" w:hAnsi="Times New Roman" w:cs="Times New Roman"/>
          <w:color w:val="000000"/>
          <w:kern w:val="2"/>
          <w:sz w:val="24"/>
          <w:szCs w:val="24"/>
          <w:lang w:eastAsia="pl-PL"/>
        </w:rPr>
        <w:tab/>
        <w:t xml:space="preserve">Wymagane tryby regulacji mocy biernej: </w:t>
      </w:r>
    </w:p>
    <w:p w14:paraId="461EAF0D" w14:textId="77777777" w:rsidR="00DE0FBF" w:rsidRPr="00DE0FBF" w:rsidRDefault="00DE0FBF" w:rsidP="00DE0FBF">
      <w:pPr>
        <w:spacing w:after="0" w:line="269" w:lineRule="auto"/>
        <w:ind w:left="1071" w:hanging="10"/>
        <w:rPr>
          <w:rFonts w:ascii="Times New Roman" w:eastAsia="Times New Roman" w:hAnsi="Times New Roman" w:cs="Times New Roman"/>
          <w:color w:val="000000"/>
          <w:kern w:val="2"/>
          <w:sz w:val="24"/>
          <w:szCs w:val="24"/>
          <w:lang w:eastAsia="pl-PL"/>
        </w:rPr>
      </w:pPr>
      <w:proofErr w:type="spellStart"/>
      <w:r w:rsidRPr="00DE0FBF">
        <w:rPr>
          <w:rFonts w:ascii="Times New Roman" w:eastAsia="Times New Roman" w:hAnsi="Times New Roman" w:cs="Times New Roman"/>
          <w:color w:val="000000"/>
          <w:kern w:val="2"/>
          <w:sz w:val="24"/>
          <w:szCs w:val="24"/>
          <w:lang w:eastAsia="pl-PL"/>
        </w:rPr>
        <w:t>Mikroinstalacja</w:t>
      </w:r>
      <w:proofErr w:type="spellEnd"/>
      <w:r w:rsidRPr="00DE0FBF">
        <w:rPr>
          <w:rFonts w:ascii="Times New Roman" w:eastAsia="Times New Roman" w:hAnsi="Times New Roman" w:cs="Times New Roman"/>
          <w:color w:val="000000"/>
          <w:kern w:val="2"/>
          <w:sz w:val="24"/>
          <w:szCs w:val="24"/>
          <w:lang w:eastAsia="pl-PL"/>
        </w:rPr>
        <w:t xml:space="preserve"> ma być zdolna do działania w następujących trybach sterowania: </w:t>
      </w:r>
    </w:p>
    <w:p w14:paraId="222E5D8A" w14:textId="3B5C0779" w:rsidR="00DE0FBF" w:rsidRPr="00DE0FBF" w:rsidRDefault="00DE0FBF" w:rsidP="008B30E6">
      <w:pPr>
        <w:numPr>
          <w:ilvl w:val="0"/>
          <w:numId w:val="210"/>
        </w:numPr>
        <w:spacing w:after="0" w:line="269" w:lineRule="auto"/>
        <w:ind w:left="1418" w:right="4" w:hanging="284"/>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sterowanie mocą bierną w funkcji napięcia na zaciskach generatora (tryb Q(U)</w:t>
      </w:r>
      <w:r w:rsidR="008B30E6">
        <w:rPr>
          <w:rFonts w:ascii="Times New Roman" w:eastAsia="Times New Roman" w:hAnsi="Times New Roman" w:cs="Times New Roman"/>
          <w:color w:val="000000"/>
          <w:kern w:val="2"/>
          <w:sz w:val="24"/>
          <w:szCs w:val="24"/>
          <w:lang w:eastAsia="pl-PL"/>
        </w:rPr>
        <w:t>)</w:t>
      </w:r>
      <w:r w:rsidRPr="00DE0FBF">
        <w:rPr>
          <w:rFonts w:ascii="Times New Roman" w:eastAsia="Times New Roman" w:hAnsi="Times New Roman" w:cs="Times New Roman"/>
          <w:color w:val="000000"/>
          <w:kern w:val="2"/>
          <w:sz w:val="24"/>
          <w:szCs w:val="24"/>
          <w:lang w:eastAsia="pl-PL"/>
        </w:rPr>
        <w:t xml:space="preserve"> jako tryb podstawowy, </w:t>
      </w:r>
    </w:p>
    <w:p w14:paraId="67C74C79" w14:textId="77777777" w:rsidR="00DE0FBF" w:rsidRPr="00DE0FBF" w:rsidRDefault="00DE0FBF" w:rsidP="008B30E6">
      <w:pPr>
        <w:numPr>
          <w:ilvl w:val="0"/>
          <w:numId w:val="210"/>
        </w:numPr>
        <w:spacing w:after="0" w:line="269" w:lineRule="auto"/>
        <w:ind w:left="1418" w:right="4" w:hanging="284"/>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sterowanie współczynnikiem mocy w funkcji generacji mocy czynnej (tryb cos </w:t>
      </w:r>
      <w:r w:rsidRPr="00DE0FBF">
        <w:rPr>
          <w:rFonts w:ascii="Times New Roman" w:eastAsia="Times New Roman" w:hAnsi="Times New Roman" w:cs="Times New Roman"/>
          <w:i/>
          <w:color w:val="000000"/>
          <w:kern w:val="2"/>
          <w:sz w:val="24"/>
          <w:szCs w:val="24"/>
          <w:lang w:eastAsia="pl-PL"/>
        </w:rPr>
        <w:t>φ</w:t>
      </w:r>
      <w:r w:rsidRPr="00DE0FBF">
        <w:rPr>
          <w:rFonts w:ascii="Times New Roman" w:eastAsia="Times New Roman" w:hAnsi="Times New Roman" w:cs="Times New Roman"/>
          <w:color w:val="000000"/>
          <w:kern w:val="2"/>
          <w:sz w:val="24"/>
          <w:szCs w:val="24"/>
          <w:lang w:eastAsia="pl-PL"/>
        </w:rPr>
        <w:t xml:space="preserve"> </w:t>
      </w:r>
    </w:p>
    <w:p w14:paraId="63CDB9E3" w14:textId="11AD2B1F" w:rsidR="00DE0FBF" w:rsidRPr="00DE0FBF" w:rsidRDefault="00DE0FBF" w:rsidP="008B30E6">
      <w:pPr>
        <w:spacing w:after="0" w:line="269" w:lineRule="auto"/>
        <w:ind w:left="1418" w:hanging="2"/>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(P)</w:t>
      </w:r>
      <w:r w:rsidR="008B30E6">
        <w:rPr>
          <w:rFonts w:ascii="Times New Roman" w:eastAsia="Times New Roman" w:hAnsi="Times New Roman" w:cs="Times New Roman"/>
          <w:color w:val="000000"/>
          <w:kern w:val="2"/>
          <w:sz w:val="24"/>
          <w:szCs w:val="24"/>
          <w:lang w:eastAsia="pl-PL"/>
        </w:rPr>
        <w:t>)</w:t>
      </w:r>
      <w:r w:rsidRPr="00DE0FBF">
        <w:rPr>
          <w:rFonts w:ascii="Times New Roman" w:eastAsia="Times New Roman" w:hAnsi="Times New Roman" w:cs="Times New Roman"/>
          <w:color w:val="000000"/>
          <w:kern w:val="2"/>
          <w:sz w:val="24"/>
          <w:szCs w:val="24"/>
          <w:lang w:eastAsia="pl-PL"/>
        </w:rPr>
        <w:t xml:space="preserve">, jako tryb alternatywny, </w:t>
      </w:r>
    </w:p>
    <w:p w14:paraId="666123F0" w14:textId="77777777" w:rsidR="00DE0FBF" w:rsidRPr="00DE0FBF" w:rsidRDefault="00DE0FBF" w:rsidP="008B30E6">
      <w:pPr>
        <w:numPr>
          <w:ilvl w:val="0"/>
          <w:numId w:val="210"/>
        </w:numPr>
        <w:spacing w:after="135" w:line="269" w:lineRule="auto"/>
        <w:ind w:left="1418" w:right="4" w:hanging="284"/>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cos </w:t>
      </w:r>
      <w:r w:rsidRPr="00DE0FBF">
        <w:rPr>
          <w:rFonts w:ascii="Times New Roman" w:eastAsia="Times New Roman" w:hAnsi="Times New Roman" w:cs="Times New Roman"/>
          <w:i/>
          <w:color w:val="000000"/>
          <w:kern w:val="2"/>
          <w:sz w:val="24"/>
          <w:szCs w:val="24"/>
          <w:lang w:eastAsia="pl-PL"/>
        </w:rPr>
        <w:t>φ</w:t>
      </w:r>
      <w:r w:rsidRPr="00DE0FBF">
        <w:rPr>
          <w:rFonts w:ascii="Times New Roman" w:eastAsia="Times New Roman" w:hAnsi="Times New Roman" w:cs="Times New Roman"/>
          <w:color w:val="000000"/>
          <w:kern w:val="2"/>
          <w:sz w:val="24"/>
          <w:szCs w:val="24"/>
          <w:lang w:eastAsia="pl-PL"/>
        </w:rPr>
        <w:t xml:space="preserve"> stałe, nastawiane w granicach od cos </w:t>
      </w:r>
      <w:r w:rsidRPr="00DE0FBF">
        <w:rPr>
          <w:rFonts w:ascii="Times New Roman" w:eastAsia="Times New Roman" w:hAnsi="Times New Roman" w:cs="Times New Roman"/>
          <w:i/>
          <w:color w:val="000000"/>
          <w:kern w:val="2"/>
          <w:sz w:val="24"/>
          <w:szCs w:val="24"/>
          <w:lang w:eastAsia="pl-PL"/>
        </w:rPr>
        <w:t xml:space="preserve">φ </w:t>
      </w:r>
      <w:r w:rsidRPr="00DE0FBF">
        <w:rPr>
          <w:rFonts w:ascii="Times New Roman" w:eastAsia="Times New Roman" w:hAnsi="Times New Roman" w:cs="Times New Roman"/>
          <w:color w:val="000000"/>
          <w:kern w:val="2"/>
          <w:sz w:val="24"/>
          <w:szCs w:val="24"/>
          <w:lang w:eastAsia="pl-PL"/>
        </w:rPr>
        <w:t>= 0,9</w:t>
      </w:r>
      <w:r w:rsidRPr="00DE0FBF">
        <w:rPr>
          <w:rFonts w:ascii="Times New Roman" w:eastAsia="Times New Roman" w:hAnsi="Times New Roman" w:cs="Times New Roman"/>
          <w:color w:val="000000"/>
          <w:kern w:val="2"/>
          <w:sz w:val="24"/>
          <w:szCs w:val="24"/>
          <w:vertAlign w:val="subscript"/>
          <w:lang w:eastAsia="pl-PL"/>
        </w:rPr>
        <w:t xml:space="preserve">ind </w:t>
      </w:r>
      <w:r w:rsidRPr="00DE0FBF">
        <w:rPr>
          <w:rFonts w:ascii="Times New Roman" w:eastAsia="Times New Roman" w:hAnsi="Times New Roman" w:cs="Times New Roman"/>
          <w:color w:val="000000"/>
          <w:kern w:val="2"/>
          <w:sz w:val="24"/>
          <w:szCs w:val="24"/>
          <w:lang w:eastAsia="pl-PL"/>
        </w:rPr>
        <w:t xml:space="preserve">do cos </w:t>
      </w:r>
      <w:r w:rsidRPr="00DE0FBF">
        <w:rPr>
          <w:rFonts w:ascii="Times New Roman" w:eastAsia="Times New Roman" w:hAnsi="Times New Roman" w:cs="Times New Roman"/>
          <w:i/>
          <w:color w:val="000000"/>
          <w:kern w:val="2"/>
          <w:sz w:val="24"/>
          <w:szCs w:val="24"/>
          <w:lang w:eastAsia="pl-PL"/>
        </w:rPr>
        <w:t>φ</w:t>
      </w:r>
      <w:r w:rsidRPr="00DE0FBF">
        <w:rPr>
          <w:rFonts w:ascii="Times New Roman" w:eastAsia="Times New Roman" w:hAnsi="Times New Roman" w:cs="Times New Roman"/>
          <w:color w:val="000000"/>
          <w:kern w:val="2"/>
          <w:sz w:val="24"/>
          <w:szCs w:val="24"/>
          <w:lang w:eastAsia="pl-PL"/>
        </w:rPr>
        <w:t xml:space="preserve"> =0,9</w:t>
      </w:r>
      <w:r w:rsidRPr="00DE0FBF">
        <w:rPr>
          <w:rFonts w:ascii="Times New Roman" w:eastAsia="Times New Roman" w:hAnsi="Times New Roman" w:cs="Times New Roman"/>
          <w:color w:val="000000"/>
          <w:kern w:val="2"/>
          <w:sz w:val="24"/>
          <w:szCs w:val="24"/>
          <w:vertAlign w:val="subscript"/>
          <w:lang w:eastAsia="pl-PL"/>
        </w:rPr>
        <w:t>poj</w:t>
      </w:r>
      <w:r w:rsidRPr="00DE0FBF">
        <w:rPr>
          <w:rFonts w:ascii="Times New Roman" w:eastAsia="Times New Roman" w:hAnsi="Times New Roman" w:cs="Times New Roman"/>
          <w:color w:val="000000"/>
          <w:kern w:val="2"/>
          <w:sz w:val="24"/>
          <w:szCs w:val="24"/>
          <w:lang w:eastAsia="pl-PL"/>
        </w:rPr>
        <w:t xml:space="preserve">, jako tryb dodatkowy. </w:t>
      </w:r>
    </w:p>
    <w:p w14:paraId="37AC8C4C" w14:textId="77777777" w:rsidR="00DE0FBF" w:rsidRPr="00DE0FBF" w:rsidRDefault="00DE0FBF" w:rsidP="00B41FB6">
      <w:pPr>
        <w:spacing w:after="135"/>
        <w:ind w:left="1071" w:right="76" w:hanging="10"/>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Konfiguracja trybów sterowania oraz ich aktywacja i dezaktywacja mają być możliwa do ustawienia w miejscu zainstalowania urządzenia sterującego. W momencie uruchomienia mikroinstalacji należy ustawić tryb podstawowy zgodny z powyższym ppkt a). Zmiana trybu możliwa jest jedynie na polecenie Industria Dystrybucja Sp. z o.o. Wymagane jest zapewnienie ochrony przed nieuprawnioną ingerencją w ustawienia trybów pracy - zmiana trybów pracy nie może być dokonana samodzielnie przez właściciela mikroinstalacji. </w:t>
      </w:r>
    </w:p>
    <w:p w14:paraId="718F1ED7" w14:textId="77777777" w:rsidR="00DE0FBF" w:rsidRPr="00DE0FBF" w:rsidRDefault="00DE0FBF" w:rsidP="00DE0FBF">
      <w:pPr>
        <w:spacing w:after="135" w:line="269" w:lineRule="auto"/>
        <w:ind w:left="1118" w:hanging="1061"/>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9.1.2.3. </w:t>
      </w:r>
      <w:r w:rsidRPr="00DE0FBF">
        <w:rPr>
          <w:rFonts w:ascii="Times New Roman" w:eastAsia="Times New Roman" w:hAnsi="Times New Roman" w:cs="Times New Roman"/>
          <w:color w:val="000000"/>
          <w:kern w:val="2"/>
          <w:sz w:val="24"/>
          <w:szCs w:val="24"/>
          <w:lang w:eastAsia="pl-PL"/>
        </w:rPr>
        <w:tab/>
        <w:t xml:space="preserve">Wymagania w zakresie trybu sterowania wyjściową mocą bierną w funkcji napięcia - Q(U): </w:t>
      </w:r>
    </w:p>
    <w:p w14:paraId="1A9F1924" w14:textId="77777777" w:rsidR="00DE0FBF" w:rsidRPr="00DE0FBF" w:rsidRDefault="00DE0FBF" w:rsidP="00DE0FBF">
      <w:pPr>
        <w:spacing w:after="135" w:line="269" w:lineRule="auto"/>
        <w:ind w:left="1071" w:hanging="10"/>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W trybie Q(U) sterowanie odbywa się według krzywych przedstawionych na rys. 3 i 4. </w:t>
      </w:r>
    </w:p>
    <w:p w14:paraId="64943771" w14:textId="77777777" w:rsidR="00DE0FBF" w:rsidRPr="00DE0FBF" w:rsidRDefault="00DE0FBF" w:rsidP="00DE0FBF">
      <w:pPr>
        <w:spacing w:after="23" w:line="269" w:lineRule="auto"/>
        <w:ind w:left="1071" w:hanging="10"/>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Charakterystyka Q(U) ma być konfigurowalna w celu ewentualnego dostosowania pracy mikroinstalacji do warunków napięciowych w miejscu przyłączenia mikroinstalacji. Zmiana charakterystyki wymaga uzgodnienia między Industria Dystrybucja Sp. z o.o., a właścicielem mikroinstalacji. Dodatkowo, konfigurowalna ma być dynamiczna odpowiedź sterowania, filtr pierwszego rzędu powinien mieć nastawioną stałą czasową na czas 5 s, a czas do osiągnięcia 95% nowej nastawy w wyniku zmiany napięcia ma wynosić 3 stałe czasowe. </w:t>
      </w:r>
    </w:p>
    <w:p w14:paraId="251FE130" w14:textId="7F81AEB3" w:rsidR="00DE0FBF" w:rsidRPr="00DE0FBF" w:rsidRDefault="00000000" w:rsidP="00DE0FBF">
      <w:pPr>
        <w:spacing w:after="86" w:line="259" w:lineRule="auto"/>
        <w:ind w:right="278"/>
        <w:jc w:val="right"/>
        <w:rPr>
          <w:rFonts w:ascii="Times New Roman" w:eastAsia="Times New Roman" w:hAnsi="Times New Roman" w:cs="Times New Roman"/>
          <w:color w:val="000000"/>
          <w:kern w:val="2"/>
          <w:sz w:val="24"/>
          <w:szCs w:val="24"/>
          <w:lang w:eastAsia="pl-PL"/>
        </w:rPr>
      </w:pPr>
      <w:r>
        <w:pict w14:anchorId="428B9FE8">
          <v:group id="Group 48974" o:spid="_x0000_s3112" style="width:412.8pt;height:247.7pt;mso-position-horizontal-relative:char;mso-position-vertical-relative:line" coordsize="52425,31455">
            <v:shape id="Picture 4983" o:spid="_x0000_s3113" type="#_x0000_t75" style="position:absolute;width:52425;height:15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">
              <v:imagedata r:id="rId45" o:title=""/>
            </v:shape>
            <v:shape id="Picture 4985" o:spid="_x0000_s3114" type="#_x0000_t75" style="position:absolute;top:15727;width:52425;height:15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">
              <v:imagedata r:id="rId46" o:title=""/>
            </v:shape>
            <w10:anchorlock/>
          </v:group>
        </w:pict>
      </w:r>
      <w:r w:rsidR="00DE0FBF" w:rsidRPr="00DE0FBF">
        <w:rPr>
          <w:rFonts w:ascii="Times New Roman" w:eastAsia="Times New Roman" w:hAnsi="Times New Roman" w:cs="Times New Roman"/>
          <w:color w:val="000000"/>
          <w:kern w:val="2"/>
          <w:sz w:val="24"/>
          <w:szCs w:val="24"/>
          <w:lang w:eastAsia="pl-PL"/>
        </w:rPr>
        <w:t xml:space="preserve"> </w:t>
      </w:r>
    </w:p>
    <w:p w14:paraId="530EC0EF" w14:textId="77777777" w:rsidR="00DE0FBF" w:rsidRPr="00DE0FBF" w:rsidRDefault="00DE0FBF" w:rsidP="00DE0FBF">
      <w:pPr>
        <w:spacing w:after="110" w:line="249" w:lineRule="auto"/>
        <w:ind w:left="1056" w:hanging="10"/>
        <w:jc w:val="left"/>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i/>
          <w:color w:val="000000"/>
          <w:kern w:val="2"/>
          <w:sz w:val="24"/>
          <w:szCs w:val="24"/>
          <w:lang w:eastAsia="pl-PL"/>
        </w:rPr>
        <w:t xml:space="preserve">Rys. 3. Charakterystyka sterowania mocą bierną w funkcji napięcia wymagana przez Industria Dystrybucja Sp. z o.o. </w:t>
      </w:r>
    </w:p>
    <w:p w14:paraId="780C6A23" w14:textId="77777777" w:rsidR="00DE0FBF" w:rsidRPr="00DE0FBF" w:rsidRDefault="00DE0FBF" w:rsidP="00DE0FBF">
      <w:pPr>
        <w:spacing w:after="39" w:line="259" w:lineRule="auto"/>
        <w:ind w:left="1061"/>
        <w:jc w:val="left"/>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 </w:t>
      </w:r>
    </w:p>
    <w:p w14:paraId="0F50AE57" w14:textId="6D6F666F" w:rsidR="00DE0FBF" w:rsidRPr="00DE0FBF" w:rsidRDefault="00000000" w:rsidP="00DE0FBF">
      <w:pPr>
        <w:spacing w:after="0" w:line="259" w:lineRule="auto"/>
        <w:ind w:right="278"/>
        <w:jc w:val="right"/>
        <w:rPr>
          <w:rFonts w:ascii="Times New Roman" w:eastAsia="Times New Roman" w:hAnsi="Times New Roman" w:cs="Times New Roman"/>
          <w:color w:val="000000"/>
          <w:kern w:val="2"/>
          <w:sz w:val="24"/>
          <w:szCs w:val="24"/>
          <w:lang w:eastAsia="pl-PL"/>
        </w:rPr>
      </w:pPr>
      <w:r>
        <w:pict w14:anchorId="103FEF0F">
          <v:group id="Group 48975" o:spid="_x0000_s3109" style="width:412.8pt;height:246.5pt;mso-position-horizontal-relative:char;mso-position-vertical-relative:line" coordsize="52425,31302">
            <v:shape id="Picture 4987" o:spid="_x0000_s3110" type="#_x0000_t75" style="position:absolute;width:52425;height:15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">
              <v:imagedata r:id="rId47" o:title=""/>
            </v:shape>
            <v:shape id="Picture 4989" o:spid="_x0000_s3111" type="#_x0000_t75" style="position:absolute;top:15651;width:52425;height:15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">
              <v:imagedata r:id="rId48" o:title=""/>
            </v:shape>
            <w10:anchorlock/>
          </v:group>
        </w:pict>
      </w:r>
      <w:r w:rsidR="00DE0FBF" w:rsidRPr="00DE0FBF">
        <w:rPr>
          <w:rFonts w:ascii="Times New Roman" w:eastAsia="Times New Roman" w:hAnsi="Times New Roman" w:cs="Times New Roman"/>
          <w:color w:val="000000"/>
          <w:kern w:val="2"/>
          <w:sz w:val="24"/>
          <w:szCs w:val="24"/>
          <w:lang w:eastAsia="pl-PL"/>
        </w:rPr>
        <w:t xml:space="preserve"> </w:t>
      </w:r>
    </w:p>
    <w:p w14:paraId="253CE931" w14:textId="77777777" w:rsidR="00DE0FBF" w:rsidRPr="00DE0FBF" w:rsidRDefault="00DE0FBF" w:rsidP="00DE0FBF">
      <w:pPr>
        <w:spacing w:after="152" w:line="249" w:lineRule="auto"/>
        <w:ind w:left="1056" w:hanging="10"/>
        <w:jc w:val="left"/>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i/>
          <w:color w:val="000000"/>
          <w:kern w:val="2"/>
          <w:sz w:val="24"/>
          <w:szCs w:val="24"/>
          <w:lang w:eastAsia="pl-PL"/>
        </w:rPr>
        <w:t xml:space="preserve">Rys. 4. Charakterystyka sterowania mocą bierną w funkcji napięcia dla mikroinstalacji podłączonych jednofazowo, wymagana przez Industria Dystrybucja Sp. z o.o. </w:t>
      </w:r>
    </w:p>
    <w:p w14:paraId="2CCACF60" w14:textId="77777777" w:rsidR="00DE0FBF" w:rsidRPr="00DE0FBF" w:rsidRDefault="00DE0FBF" w:rsidP="00DE0FBF">
      <w:pPr>
        <w:spacing w:after="152" w:line="249" w:lineRule="auto"/>
        <w:ind w:left="1056" w:hanging="10"/>
        <w:jc w:val="left"/>
        <w:rPr>
          <w:rFonts w:ascii="Times New Roman" w:eastAsia="Times New Roman" w:hAnsi="Times New Roman" w:cs="Times New Roman"/>
          <w:color w:val="000000"/>
          <w:kern w:val="2"/>
          <w:sz w:val="24"/>
          <w:szCs w:val="24"/>
          <w:lang w:eastAsia="pl-PL"/>
        </w:rPr>
      </w:pPr>
    </w:p>
    <w:p w14:paraId="7B824FCB" w14:textId="77777777" w:rsidR="00DE0FBF" w:rsidRPr="00DE0FBF" w:rsidRDefault="00DE0FBF" w:rsidP="00DE0FBF">
      <w:pPr>
        <w:spacing w:after="152" w:line="249" w:lineRule="auto"/>
        <w:ind w:left="1056" w:hanging="10"/>
        <w:jc w:val="left"/>
        <w:rPr>
          <w:rFonts w:ascii="Times New Roman" w:eastAsia="Times New Roman" w:hAnsi="Times New Roman" w:cs="Times New Roman"/>
          <w:color w:val="000000"/>
          <w:kern w:val="2"/>
          <w:sz w:val="24"/>
          <w:szCs w:val="24"/>
          <w:lang w:eastAsia="pl-PL"/>
        </w:rPr>
      </w:pPr>
    </w:p>
    <w:p w14:paraId="513C083F" w14:textId="77777777" w:rsidR="00DE0FBF" w:rsidRPr="00DE0FBF" w:rsidRDefault="00DE0FBF" w:rsidP="00DE0FBF">
      <w:pPr>
        <w:spacing w:after="135" w:line="269" w:lineRule="auto"/>
        <w:ind w:left="1118" w:right="78" w:hanging="1061"/>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lastRenderedPageBreak/>
        <w:t xml:space="preserve">9.1.2.4. </w:t>
      </w:r>
      <w:r w:rsidRPr="00DE0FBF">
        <w:rPr>
          <w:rFonts w:ascii="Times New Roman" w:eastAsia="Times New Roman" w:hAnsi="Times New Roman" w:cs="Times New Roman"/>
          <w:color w:val="000000"/>
          <w:kern w:val="2"/>
          <w:sz w:val="24"/>
          <w:szCs w:val="24"/>
          <w:lang w:eastAsia="pl-PL"/>
        </w:rPr>
        <w:tab/>
        <w:t xml:space="preserve">Wymagania w zakresie trybu sterowania współczynnikiem przesunięcia fazowego podstawowych harmonicznych napięcia i prądu w funkcji mocy czynnej generowanej - cos </w:t>
      </w:r>
      <w:r w:rsidRPr="00DE0FBF">
        <w:rPr>
          <w:rFonts w:ascii="Times New Roman" w:eastAsia="Times New Roman" w:hAnsi="Times New Roman" w:cs="Times New Roman"/>
          <w:i/>
          <w:color w:val="000000"/>
          <w:kern w:val="2"/>
          <w:sz w:val="24"/>
          <w:szCs w:val="24"/>
          <w:lang w:eastAsia="pl-PL"/>
        </w:rPr>
        <w:t xml:space="preserve">φ </w:t>
      </w:r>
      <w:r w:rsidRPr="00DE0FBF">
        <w:rPr>
          <w:rFonts w:ascii="Times New Roman" w:eastAsia="Times New Roman" w:hAnsi="Times New Roman" w:cs="Times New Roman"/>
          <w:color w:val="000000"/>
          <w:kern w:val="2"/>
          <w:sz w:val="24"/>
          <w:szCs w:val="24"/>
          <w:lang w:eastAsia="pl-PL"/>
        </w:rPr>
        <w:t xml:space="preserve">(P): </w:t>
      </w:r>
    </w:p>
    <w:p w14:paraId="07152924" w14:textId="77777777" w:rsidR="00DE0FBF" w:rsidRPr="00DE0FBF" w:rsidRDefault="00DE0FBF" w:rsidP="00DE0FBF">
      <w:pPr>
        <w:spacing w:after="135" w:line="269" w:lineRule="auto"/>
        <w:ind w:left="1071" w:hanging="10"/>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W trybie cos </w:t>
      </w:r>
      <w:r w:rsidRPr="00DE0FBF">
        <w:rPr>
          <w:rFonts w:ascii="Times New Roman" w:eastAsia="Times New Roman" w:hAnsi="Times New Roman" w:cs="Times New Roman"/>
          <w:i/>
          <w:color w:val="000000"/>
          <w:kern w:val="2"/>
          <w:sz w:val="24"/>
          <w:szCs w:val="24"/>
          <w:lang w:eastAsia="pl-PL"/>
        </w:rPr>
        <w:t xml:space="preserve">φ </w:t>
      </w:r>
      <w:r w:rsidRPr="00DE0FBF">
        <w:rPr>
          <w:rFonts w:ascii="Times New Roman" w:eastAsia="Times New Roman" w:hAnsi="Times New Roman" w:cs="Times New Roman"/>
          <w:color w:val="000000"/>
          <w:kern w:val="2"/>
          <w:sz w:val="24"/>
          <w:szCs w:val="24"/>
          <w:lang w:eastAsia="pl-PL"/>
        </w:rPr>
        <w:t xml:space="preserve">(P) sterowanie odbywa się, według krzywej przedstawionej na rys. 5. </w:t>
      </w:r>
    </w:p>
    <w:p w14:paraId="51D7EBCC" w14:textId="77777777" w:rsidR="00DE0FBF" w:rsidRPr="00DE0FBF" w:rsidRDefault="00DE0FBF" w:rsidP="00DE0FBF">
      <w:pPr>
        <w:spacing w:after="21" w:line="269" w:lineRule="auto"/>
        <w:ind w:left="1071" w:hanging="10"/>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Nastawione nowe wartości, wynikające ze zmiany mocy czynnej generowanej, muszą być nastawione w ciągu 10 s. Zaleca się, aby szybkość zmiany mocy biernej następowała w takim samym czasie jak szybkość zmiany mocy czynnej i była zsynchronizowana z szybkością zmiany mocy czynnej. </w:t>
      </w:r>
    </w:p>
    <w:p w14:paraId="637DC0E8" w14:textId="625C5EF5" w:rsidR="00DE0FBF" w:rsidRPr="00DE0FBF" w:rsidRDefault="00000000" w:rsidP="00DE0FBF">
      <w:pPr>
        <w:spacing w:after="87" w:line="259" w:lineRule="auto"/>
        <w:ind w:right="698"/>
        <w:jc w:val="right"/>
        <w:rPr>
          <w:rFonts w:ascii="Times New Roman" w:eastAsia="Times New Roman" w:hAnsi="Times New Roman" w:cs="Times New Roman"/>
          <w:color w:val="000000"/>
          <w:kern w:val="2"/>
          <w:sz w:val="24"/>
          <w:szCs w:val="24"/>
          <w:lang w:eastAsia="pl-PL"/>
        </w:rPr>
      </w:pPr>
      <w:r>
        <w:pict w14:anchorId="03D43FEF">
          <v:group id="Group 49324" o:spid="_x0000_s3106" style="width:391.7pt;height:215.3pt;mso-position-horizontal-relative:char;mso-position-vertical-relative:line" coordsize="49743,27340">
            <v:shape id="Picture 5194" o:spid="_x0000_s3107" type="#_x0000_t75" style="position:absolute;width:49743;height:13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">
              <v:imagedata r:id="rId49" o:title=""/>
            </v:shape>
            <v:shape id="Picture 5196" o:spid="_x0000_s3108" type="#_x0000_t75" style="position:absolute;top:13670;width:49743;height:13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">
              <v:imagedata r:id="rId50" o:title=""/>
            </v:shape>
            <w10:anchorlock/>
          </v:group>
        </w:pict>
      </w:r>
      <w:r w:rsidR="00DE0FBF" w:rsidRPr="00DE0FBF">
        <w:rPr>
          <w:rFonts w:ascii="Times New Roman" w:eastAsia="Times New Roman" w:hAnsi="Times New Roman" w:cs="Times New Roman"/>
          <w:color w:val="000000"/>
          <w:kern w:val="2"/>
          <w:sz w:val="24"/>
          <w:szCs w:val="24"/>
          <w:lang w:eastAsia="pl-PL"/>
        </w:rPr>
        <w:t xml:space="preserve"> </w:t>
      </w:r>
    </w:p>
    <w:p w14:paraId="6A5E6F47" w14:textId="77777777" w:rsidR="00DE0FBF" w:rsidRPr="00DE0FBF" w:rsidRDefault="00DE0FBF" w:rsidP="00DE0FBF">
      <w:pPr>
        <w:spacing w:after="110" w:line="249" w:lineRule="auto"/>
        <w:ind w:left="1056" w:hanging="10"/>
        <w:jc w:val="left"/>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i/>
          <w:color w:val="000000"/>
          <w:kern w:val="2"/>
          <w:sz w:val="24"/>
          <w:szCs w:val="24"/>
          <w:lang w:eastAsia="pl-PL"/>
        </w:rPr>
        <w:t xml:space="preserve">Rys. 5. Charakterystyka sterowania współczynnikiem mocy cos φ w funkcji generowanej mocy czynnej wymagana przez Industria Dystrybucja Sp. z o.o. </w:t>
      </w:r>
    </w:p>
    <w:p w14:paraId="43DFDF51" w14:textId="77777777" w:rsidR="00DE0FBF" w:rsidRPr="00DE0FBF" w:rsidRDefault="00DE0FBF" w:rsidP="00DE0FBF">
      <w:pPr>
        <w:spacing w:after="144" w:line="259" w:lineRule="auto"/>
        <w:ind w:left="1061"/>
        <w:jc w:val="left"/>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 </w:t>
      </w:r>
    </w:p>
    <w:p w14:paraId="7E870F2C" w14:textId="0101B1BA" w:rsidR="00DE0FBF" w:rsidRPr="00DE0FBF" w:rsidRDefault="00C67EB0" w:rsidP="00C67EB0">
      <w:pPr>
        <w:keepNext/>
        <w:keepLines/>
        <w:numPr>
          <w:ilvl w:val="2"/>
          <w:numId w:val="0"/>
        </w:numPr>
        <w:spacing w:after="149" w:line="259" w:lineRule="auto"/>
        <w:ind w:left="1134" w:hanging="1134"/>
        <w:jc w:val="left"/>
        <w:outlineLvl w:val="2"/>
        <w:rPr>
          <w:rFonts w:ascii="Times New Roman" w:eastAsia="Times New Roman" w:hAnsi="Times New Roman" w:cs="Times New Roman"/>
          <w:color w:val="000000"/>
          <w:kern w:val="2"/>
          <w:sz w:val="24"/>
          <w:szCs w:val="24"/>
          <w:u w:color="000000"/>
          <w:lang w:eastAsia="pl-PL"/>
        </w:rPr>
      </w:pPr>
      <w:r>
        <w:rPr>
          <w:rFonts w:ascii="Times New Roman" w:eastAsia="Times New Roman" w:hAnsi="Times New Roman" w:cs="Times New Roman"/>
          <w:color w:val="000000"/>
          <w:kern w:val="2"/>
          <w:sz w:val="24"/>
          <w:szCs w:val="24"/>
          <w:u w:color="000000"/>
          <w:lang w:eastAsia="pl-PL"/>
        </w:rPr>
        <w:t xml:space="preserve">9.1.3. </w:t>
      </w:r>
      <w:r>
        <w:rPr>
          <w:rFonts w:ascii="Times New Roman" w:eastAsia="Times New Roman" w:hAnsi="Times New Roman" w:cs="Times New Roman"/>
          <w:color w:val="000000"/>
          <w:kern w:val="2"/>
          <w:sz w:val="24"/>
          <w:szCs w:val="24"/>
          <w:u w:color="000000"/>
          <w:lang w:eastAsia="pl-PL"/>
        </w:rPr>
        <w:tab/>
      </w:r>
      <w:r w:rsidR="00DE0FBF" w:rsidRPr="00DE0FBF">
        <w:rPr>
          <w:rFonts w:ascii="Times New Roman" w:eastAsia="Times New Roman" w:hAnsi="Times New Roman" w:cs="Times New Roman"/>
          <w:color w:val="000000"/>
          <w:kern w:val="2"/>
          <w:sz w:val="24"/>
          <w:szCs w:val="24"/>
          <w:u w:color="000000"/>
          <w:lang w:eastAsia="pl-PL"/>
        </w:rPr>
        <w:t xml:space="preserve">Wymagania w zakresie wyposażenia mikroinstalacji w regulację mocy czynnej </w:t>
      </w:r>
    </w:p>
    <w:p w14:paraId="1E5E08A4" w14:textId="77777777" w:rsidR="00DE0FBF" w:rsidRPr="00DE0FBF" w:rsidRDefault="00DE0FBF" w:rsidP="00C67EB0">
      <w:pPr>
        <w:spacing w:after="128" w:line="272" w:lineRule="auto"/>
        <w:ind w:left="1128" w:hanging="1128"/>
        <w:jc w:val="left"/>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9.1.3.1. </w:t>
      </w:r>
      <w:r w:rsidRPr="00DE0FBF">
        <w:rPr>
          <w:rFonts w:ascii="Times New Roman" w:eastAsia="Times New Roman" w:hAnsi="Times New Roman" w:cs="Times New Roman"/>
          <w:color w:val="000000"/>
          <w:kern w:val="2"/>
          <w:sz w:val="24"/>
          <w:szCs w:val="24"/>
          <w:lang w:eastAsia="pl-PL"/>
        </w:rPr>
        <w:tab/>
      </w:r>
      <w:proofErr w:type="spellStart"/>
      <w:r w:rsidRPr="00DE0FBF">
        <w:rPr>
          <w:rFonts w:ascii="Times New Roman" w:eastAsia="Times New Roman" w:hAnsi="Times New Roman" w:cs="Times New Roman"/>
          <w:color w:val="000000"/>
          <w:kern w:val="2"/>
          <w:sz w:val="24"/>
          <w:szCs w:val="24"/>
          <w:lang w:eastAsia="pl-PL"/>
        </w:rPr>
        <w:t>Mikroinstalacja</w:t>
      </w:r>
      <w:proofErr w:type="spellEnd"/>
      <w:r w:rsidRPr="00DE0FBF">
        <w:rPr>
          <w:rFonts w:ascii="Times New Roman" w:eastAsia="Times New Roman" w:hAnsi="Times New Roman" w:cs="Times New Roman"/>
          <w:color w:val="000000"/>
          <w:kern w:val="2"/>
          <w:sz w:val="24"/>
          <w:szCs w:val="24"/>
          <w:lang w:eastAsia="pl-PL"/>
        </w:rPr>
        <w:t xml:space="preserve"> powinna być przystosowana do zdalnego sterowania przez Industria Dystrybucja Sp. z o.o. w zakresie zaprzestania generacji mocy czynnej. W przypadku mikroinstalacji o mocy zainstalowanej większej niż 10 kW powinna ona być przystosowana do ograniczenia jej pracy lub odłączenia od sieci przez Industria Dystrybucja Sp. z o.o. Dla realizacji powyższych wymagań, </w:t>
      </w:r>
      <w:proofErr w:type="spellStart"/>
      <w:r w:rsidRPr="00DE0FBF">
        <w:rPr>
          <w:rFonts w:ascii="Times New Roman" w:eastAsia="Times New Roman" w:hAnsi="Times New Roman" w:cs="Times New Roman"/>
          <w:color w:val="000000"/>
          <w:kern w:val="2"/>
          <w:sz w:val="24"/>
          <w:szCs w:val="24"/>
          <w:lang w:eastAsia="pl-PL"/>
        </w:rPr>
        <w:t>mikroinstalacja</w:t>
      </w:r>
      <w:proofErr w:type="spellEnd"/>
      <w:r w:rsidRPr="00DE0FBF">
        <w:rPr>
          <w:rFonts w:ascii="Times New Roman" w:eastAsia="Times New Roman" w:hAnsi="Times New Roman" w:cs="Times New Roman"/>
          <w:color w:val="000000"/>
          <w:kern w:val="2"/>
          <w:sz w:val="24"/>
          <w:szCs w:val="24"/>
          <w:lang w:eastAsia="pl-PL"/>
        </w:rPr>
        <w:t xml:space="preserve"> powinna być wyposażona co najmniej w port wejściowy RS485 obsługujący protokół komunikacji SUNSPEC.</w:t>
      </w:r>
      <w:r w:rsidRPr="00DE0FBF">
        <w:rPr>
          <w:rFonts w:ascii="Times New Roman" w:eastAsia="Times New Roman" w:hAnsi="Times New Roman" w:cs="Times New Roman"/>
          <w:b/>
          <w:color w:val="000000"/>
          <w:kern w:val="2"/>
          <w:sz w:val="24"/>
          <w:szCs w:val="24"/>
          <w:lang w:eastAsia="pl-PL"/>
        </w:rPr>
        <w:t xml:space="preserve"> </w:t>
      </w:r>
    </w:p>
    <w:p w14:paraId="187E4696" w14:textId="7514666E" w:rsidR="00DE0FBF" w:rsidRPr="00DE0FBF" w:rsidRDefault="00DE0FBF" w:rsidP="00DE0FBF">
      <w:pPr>
        <w:spacing w:after="128" w:line="272" w:lineRule="auto"/>
        <w:ind w:left="1128" w:hanging="1071"/>
        <w:jc w:val="left"/>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9.1.3.2. </w:t>
      </w:r>
      <w:r w:rsidRPr="00DE0FBF">
        <w:rPr>
          <w:rFonts w:ascii="Times New Roman" w:eastAsia="Times New Roman" w:hAnsi="Times New Roman" w:cs="Times New Roman"/>
          <w:color w:val="000000"/>
          <w:kern w:val="2"/>
          <w:sz w:val="24"/>
          <w:szCs w:val="24"/>
          <w:lang w:eastAsia="pl-PL"/>
        </w:rPr>
        <w:tab/>
        <w:t xml:space="preserve">W </w:t>
      </w:r>
      <w:r w:rsidRPr="00DE0FBF">
        <w:rPr>
          <w:rFonts w:ascii="Times New Roman" w:eastAsia="Times New Roman" w:hAnsi="Times New Roman" w:cs="Times New Roman"/>
          <w:color w:val="000000"/>
          <w:kern w:val="2"/>
          <w:sz w:val="24"/>
          <w:szCs w:val="24"/>
          <w:lang w:eastAsia="pl-PL"/>
        </w:rPr>
        <w:tab/>
        <w:t xml:space="preserve">celu uniknięcia całkowitego wyłączenia mikroinstalacji spowodowanego zadziałaniem zabezpieczenia nadnapięciowego mikroinstalacji, zaleca </w:t>
      </w:r>
      <w:r w:rsidR="00007264" w:rsidRPr="00DE0FBF">
        <w:rPr>
          <w:rFonts w:ascii="Times New Roman" w:eastAsia="Times New Roman" w:hAnsi="Times New Roman" w:cs="Times New Roman"/>
          <w:color w:val="000000"/>
          <w:kern w:val="2"/>
          <w:sz w:val="24"/>
          <w:szCs w:val="24"/>
          <w:lang w:eastAsia="pl-PL"/>
        </w:rPr>
        <w:t>się,</w:t>
      </w:r>
      <w:r w:rsidRPr="00DE0FBF">
        <w:rPr>
          <w:rFonts w:ascii="Times New Roman" w:eastAsia="Times New Roman" w:hAnsi="Times New Roman" w:cs="Times New Roman"/>
          <w:color w:val="000000"/>
          <w:kern w:val="2"/>
          <w:sz w:val="24"/>
          <w:szCs w:val="24"/>
          <w:lang w:eastAsia="pl-PL"/>
        </w:rPr>
        <w:t xml:space="preserve"> aby </w:t>
      </w:r>
      <w:proofErr w:type="spellStart"/>
      <w:r w:rsidRPr="00DE0FBF">
        <w:rPr>
          <w:rFonts w:ascii="Times New Roman" w:eastAsia="Times New Roman" w:hAnsi="Times New Roman" w:cs="Times New Roman"/>
          <w:color w:val="000000"/>
          <w:kern w:val="2"/>
          <w:sz w:val="24"/>
          <w:szCs w:val="24"/>
          <w:lang w:eastAsia="pl-PL"/>
        </w:rPr>
        <w:t>mikroinstalacja</w:t>
      </w:r>
      <w:proofErr w:type="spellEnd"/>
      <w:r w:rsidRPr="00DE0FBF">
        <w:rPr>
          <w:rFonts w:ascii="Times New Roman" w:eastAsia="Times New Roman" w:hAnsi="Times New Roman" w:cs="Times New Roman"/>
          <w:color w:val="000000"/>
          <w:kern w:val="2"/>
          <w:sz w:val="24"/>
          <w:szCs w:val="24"/>
          <w:lang w:eastAsia="pl-PL"/>
        </w:rPr>
        <w:t xml:space="preserve"> posiadała funkcję zmniejszania mocy czynnej generowanej w funkcji wzrostu napięcia. Istotne jest, aby funkcja ta działała dopiero po wyczerpaniu możliwości regulacji napięcia poborem mocy biernej w trybie Q(U) tj. powyżej 1,08 </w:t>
      </w:r>
      <w:proofErr w:type="spellStart"/>
      <w:r w:rsidRPr="00DE0FBF">
        <w:rPr>
          <w:rFonts w:ascii="Times New Roman" w:eastAsia="Times New Roman" w:hAnsi="Times New Roman" w:cs="Times New Roman"/>
          <w:color w:val="000000"/>
          <w:kern w:val="2"/>
          <w:sz w:val="24"/>
          <w:szCs w:val="24"/>
          <w:lang w:eastAsia="pl-PL"/>
        </w:rPr>
        <w:t>U</w:t>
      </w:r>
      <w:r w:rsidRPr="00DE0FBF">
        <w:rPr>
          <w:rFonts w:ascii="Times New Roman" w:eastAsia="Times New Roman" w:hAnsi="Times New Roman" w:cs="Times New Roman"/>
          <w:color w:val="000000"/>
          <w:kern w:val="2"/>
          <w:sz w:val="24"/>
          <w:szCs w:val="24"/>
          <w:vertAlign w:val="subscript"/>
          <w:lang w:eastAsia="pl-PL"/>
        </w:rPr>
        <w:t>n</w:t>
      </w:r>
      <w:proofErr w:type="spellEnd"/>
      <w:r w:rsidRPr="00DE0FBF">
        <w:rPr>
          <w:rFonts w:ascii="Times New Roman" w:eastAsia="Times New Roman" w:hAnsi="Times New Roman" w:cs="Times New Roman"/>
          <w:color w:val="000000"/>
          <w:kern w:val="2"/>
          <w:sz w:val="24"/>
          <w:szCs w:val="24"/>
          <w:lang w:eastAsia="pl-PL"/>
        </w:rPr>
        <w:t>. Funkcja ta nie może powodować skokowych zmian mocy generowanej.</w:t>
      </w:r>
      <w:r w:rsidRPr="00DE0FBF">
        <w:rPr>
          <w:rFonts w:ascii="Times New Roman" w:eastAsia="Times New Roman" w:hAnsi="Times New Roman" w:cs="Times New Roman"/>
          <w:b/>
          <w:color w:val="000000"/>
          <w:kern w:val="2"/>
          <w:sz w:val="24"/>
          <w:szCs w:val="24"/>
          <w:lang w:eastAsia="pl-PL"/>
        </w:rPr>
        <w:t xml:space="preserve"> </w:t>
      </w:r>
    </w:p>
    <w:p w14:paraId="3F669526" w14:textId="4ACC1855" w:rsidR="00DE0FBF" w:rsidRPr="00DE0FBF" w:rsidRDefault="00C67EB0" w:rsidP="00DE0FBF">
      <w:pPr>
        <w:keepNext/>
        <w:keepLines/>
        <w:numPr>
          <w:ilvl w:val="2"/>
          <w:numId w:val="0"/>
        </w:numPr>
        <w:spacing w:after="149" w:line="259" w:lineRule="auto"/>
        <w:ind w:left="1046" w:hanging="1061"/>
        <w:jc w:val="left"/>
        <w:outlineLvl w:val="2"/>
        <w:rPr>
          <w:rFonts w:ascii="Times New Roman" w:eastAsia="Times New Roman" w:hAnsi="Times New Roman" w:cs="Times New Roman"/>
          <w:color w:val="000000"/>
          <w:kern w:val="2"/>
          <w:sz w:val="24"/>
          <w:szCs w:val="24"/>
          <w:u w:color="000000"/>
          <w:lang w:eastAsia="pl-PL"/>
        </w:rPr>
      </w:pPr>
      <w:r>
        <w:rPr>
          <w:rFonts w:ascii="Times New Roman" w:eastAsia="Times New Roman" w:hAnsi="Times New Roman" w:cs="Times New Roman"/>
          <w:color w:val="000000"/>
          <w:kern w:val="2"/>
          <w:sz w:val="24"/>
          <w:szCs w:val="24"/>
          <w:u w:color="000000"/>
          <w:lang w:eastAsia="pl-PL"/>
        </w:rPr>
        <w:lastRenderedPageBreak/>
        <w:t xml:space="preserve">9.1.4 </w:t>
      </w:r>
      <w:r>
        <w:rPr>
          <w:rFonts w:ascii="Times New Roman" w:eastAsia="Times New Roman" w:hAnsi="Times New Roman" w:cs="Times New Roman"/>
          <w:color w:val="000000"/>
          <w:kern w:val="2"/>
          <w:sz w:val="24"/>
          <w:szCs w:val="24"/>
          <w:u w:color="000000"/>
          <w:lang w:eastAsia="pl-PL"/>
        </w:rPr>
        <w:tab/>
      </w:r>
      <w:r w:rsidR="00DE0FBF" w:rsidRPr="00DE0FBF">
        <w:rPr>
          <w:rFonts w:ascii="Times New Roman" w:eastAsia="Times New Roman" w:hAnsi="Times New Roman" w:cs="Times New Roman"/>
          <w:color w:val="000000"/>
          <w:kern w:val="2"/>
          <w:sz w:val="24"/>
          <w:szCs w:val="24"/>
          <w:u w:color="000000"/>
          <w:lang w:eastAsia="pl-PL"/>
        </w:rPr>
        <w:t xml:space="preserve">Wymagania w zakresie wyposażenia mikroinstalacji w układ zabezpieczeń </w:t>
      </w:r>
    </w:p>
    <w:p w14:paraId="5D74B688" w14:textId="77777777" w:rsidR="00DE0FBF" w:rsidRPr="00DE0FBF" w:rsidRDefault="00DE0FBF" w:rsidP="00DE0FBF">
      <w:pPr>
        <w:tabs>
          <w:tab w:val="center" w:pos="2029"/>
        </w:tabs>
        <w:spacing w:after="135" w:line="269" w:lineRule="auto"/>
        <w:jc w:val="left"/>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9.1.4.1. </w:t>
      </w:r>
      <w:r w:rsidRPr="00DE0FBF">
        <w:rPr>
          <w:rFonts w:ascii="Times New Roman" w:eastAsia="Times New Roman" w:hAnsi="Times New Roman" w:cs="Times New Roman"/>
          <w:color w:val="000000"/>
          <w:kern w:val="2"/>
          <w:sz w:val="24"/>
          <w:szCs w:val="24"/>
          <w:lang w:eastAsia="pl-PL"/>
        </w:rPr>
        <w:tab/>
        <w:t xml:space="preserve">Wymagania ogólne: </w:t>
      </w:r>
    </w:p>
    <w:p w14:paraId="618B768A" w14:textId="77777777" w:rsidR="00DE0FBF" w:rsidRPr="00DE0FBF" w:rsidRDefault="00DE0FBF" w:rsidP="00DE0FBF">
      <w:pPr>
        <w:spacing w:after="135" w:line="269" w:lineRule="auto"/>
        <w:ind w:left="1071" w:hanging="10"/>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Mikroinstalacje powinny posiadać wbudowany układ zabezpieczeń, składający się co najmniej z następujących zabezpieczeń: </w:t>
      </w:r>
    </w:p>
    <w:p w14:paraId="3E4F84FE" w14:textId="77777777" w:rsidR="00DE0FBF" w:rsidRPr="00DE0FBF" w:rsidRDefault="00DE0FBF">
      <w:pPr>
        <w:numPr>
          <w:ilvl w:val="0"/>
          <w:numId w:val="211"/>
        </w:numPr>
        <w:spacing w:after="0" w:line="269" w:lineRule="auto"/>
        <w:ind w:right="4"/>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dwustopniowe zabezpieczenie nadnapięciowe, </w:t>
      </w:r>
    </w:p>
    <w:p w14:paraId="0BADDD97" w14:textId="77777777" w:rsidR="00DE0FBF" w:rsidRPr="00DE0FBF" w:rsidRDefault="00DE0FBF">
      <w:pPr>
        <w:numPr>
          <w:ilvl w:val="0"/>
          <w:numId w:val="211"/>
        </w:numPr>
        <w:spacing w:after="0" w:line="269" w:lineRule="auto"/>
        <w:ind w:right="4"/>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zabezpieczenie podnapięciowe, </w:t>
      </w:r>
    </w:p>
    <w:p w14:paraId="281AB11D" w14:textId="77777777" w:rsidR="00DE0FBF" w:rsidRPr="00DE0FBF" w:rsidRDefault="00DE0FBF">
      <w:pPr>
        <w:numPr>
          <w:ilvl w:val="0"/>
          <w:numId w:val="211"/>
        </w:numPr>
        <w:spacing w:after="0" w:line="269" w:lineRule="auto"/>
        <w:ind w:right="4"/>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zabezpieczenie </w:t>
      </w:r>
      <w:proofErr w:type="spellStart"/>
      <w:r w:rsidRPr="00DE0FBF">
        <w:rPr>
          <w:rFonts w:ascii="Times New Roman" w:eastAsia="Times New Roman" w:hAnsi="Times New Roman" w:cs="Times New Roman"/>
          <w:color w:val="000000"/>
          <w:kern w:val="2"/>
          <w:sz w:val="24"/>
          <w:szCs w:val="24"/>
          <w:lang w:eastAsia="pl-PL"/>
        </w:rPr>
        <w:t>podczęstotliwościowe</w:t>
      </w:r>
      <w:proofErr w:type="spellEnd"/>
      <w:r w:rsidRPr="00DE0FBF">
        <w:rPr>
          <w:rFonts w:ascii="Times New Roman" w:eastAsia="Times New Roman" w:hAnsi="Times New Roman" w:cs="Times New Roman"/>
          <w:color w:val="000000"/>
          <w:kern w:val="2"/>
          <w:sz w:val="24"/>
          <w:szCs w:val="24"/>
          <w:lang w:eastAsia="pl-PL"/>
        </w:rPr>
        <w:t xml:space="preserve">, </w:t>
      </w:r>
    </w:p>
    <w:p w14:paraId="23097569" w14:textId="77777777" w:rsidR="00DE0FBF" w:rsidRPr="00DE0FBF" w:rsidRDefault="00DE0FBF">
      <w:pPr>
        <w:numPr>
          <w:ilvl w:val="0"/>
          <w:numId w:val="211"/>
        </w:numPr>
        <w:spacing w:after="0" w:line="269" w:lineRule="auto"/>
        <w:ind w:right="4"/>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zabezpieczenie </w:t>
      </w:r>
      <w:proofErr w:type="spellStart"/>
      <w:r w:rsidRPr="00DE0FBF">
        <w:rPr>
          <w:rFonts w:ascii="Times New Roman" w:eastAsia="Times New Roman" w:hAnsi="Times New Roman" w:cs="Times New Roman"/>
          <w:color w:val="000000"/>
          <w:kern w:val="2"/>
          <w:sz w:val="24"/>
          <w:szCs w:val="24"/>
          <w:lang w:eastAsia="pl-PL"/>
        </w:rPr>
        <w:t>nadczęstotliwościowe</w:t>
      </w:r>
      <w:proofErr w:type="spellEnd"/>
      <w:r w:rsidRPr="00DE0FBF">
        <w:rPr>
          <w:rFonts w:ascii="Times New Roman" w:eastAsia="Times New Roman" w:hAnsi="Times New Roman" w:cs="Times New Roman"/>
          <w:color w:val="000000"/>
          <w:kern w:val="2"/>
          <w:sz w:val="24"/>
          <w:szCs w:val="24"/>
          <w:lang w:eastAsia="pl-PL"/>
        </w:rPr>
        <w:t xml:space="preserve">, </w:t>
      </w:r>
    </w:p>
    <w:p w14:paraId="3CEA08BF" w14:textId="77777777" w:rsidR="00DE0FBF" w:rsidRPr="00DE0FBF" w:rsidRDefault="00DE0FBF">
      <w:pPr>
        <w:numPr>
          <w:ilvl w:val="0"/>
          <w:numId w:val="211"/>
        </w:numPr>
        <w:spacing w:after="135" w:line="269" w:lineRule="auto"/>
        <w:ind w:right="4"/>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zabezpieczenie od pracy wyspowej (</w:t>
      </w:r>
      <w:proofErr w:type="spellStart"/>
      <w:r w:rsidRPr="00DE0FBF">
        <w:rPr>
          <w:rFonts w:ascii="Times New Roman" w:eastAsia="Times New Roman" w:hAnsi="Times New Roman" w:cs="Times New Roman"/>
          <w:color w:val="000000"/>
          <w:kern w:val="2"/>
          <w:sz w:val="24"/>
          <w:szCs w:val="24"/>
          <w:lang w:eastAsia="pl-PL"/>
        </w:rPr>
        <w:t>LoM</w:t>
      </w:r>
      <w:proofErr w:type="spellEnd"/>
      <w:r w:rsidRPr="00DE0FBF">
        <w:rPr>
          <w:rFonts w:ascii="Times New Roman" w:eastAsia="Times New Roman" w:hAnsi="Times New Roman" w:cs="Times New Roman"/>
          <w:color w:val="000000"/>
          <w:kern w:val="2"/>
          <w:sz w:val="24"/>
          <w:szCs w:val="24"/>
          <w:lang w:eastAsia="pl-PL"/>
        </w:rPr>
        <w:t xml:space="preserve">). </w:t>
      </w:r>
    </w:p>
    <w:p w14:paraId="795E6BCA" w14:textId="77777777" w:rsidR="00DE0FBF" w:rsidRPr="00DE0FBF" w:rsidRDefault="00DE0FBF" w:rsidP="00DE0FBF">
      <w:pPr>
        <w:spacing w:after="135" w:line="269" w:lineRule="auto"/>
        <w:ind w:left="1071" w:hanging="10"/>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Nastawy poszczególnych zabezpieczeń muszą być możliwe do ustawienia w miejscu zainstalowania urządzenia sterującego. Wymagane jest zapewnienie ochrony przed nieuprawnioną ingerencją w ustawienia nastaw zabezpieczeń - zmiana nastaw zabezpieczeń nie może być dokonana samodzielnie przez właściciela mikroinstalacji. Nastawy poszczególnych zabezpieczeń nie mogą przekraczać granicznych wartości oraz innych parametrów ustalonych i wskazanych przez Industria Dystrybucja Sp. z o.o., mających wpływ na pracę sieci elektroenergetycznej. </w:t>
      </w:r>
    </w:p>
    <w:p w14:paraId="365A0D82" w14:textId="77777777" w:rsidR="00DE0FBF" w:rsidRPr="00DE0FBF" w:rsidRDefault="00DE0FBF" w:rsidP="00DE0FBF">
      <w:pPr>
        <w:tabs>
          <w:tab w:val="center" w:pos="3090"/>
        </w:tabs>
        <w:spacing w:after="135" w:line="269" w:lineRule="auto"/>
        <w:jc w:val="left"/>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9.1.4.2. </w:t>
      </w:r>
      <w:r w:rsidRPr="00DE0FBF">
        <w:rPr>
          <w:rFonts w:ascii="Times New Roman" w:eastAsia="Times New Roman" w:hAnsi="Times New Roman" w:cs="Times New Roman"/>
          <w:color w:val="000000"/>
          <w:kern w:val="2"/>
          <w:sz w:val="24"/>
          <w:szCs w:val="24"/>
          <w:lang w:eastAsia="pl-PL"/>
        </w:rPr>
        <w:tab/>
        <w:t xml:space="preserve">Wymagane nastawy układu zabezpieczeń: </w:t>
      </w:r>
    </w:p>
    <w:p w14:paraId="37C50812" w14:textId="77777777" w:rsidR="00DE0FBF" w:rsidRPr="00DE0FBF" w:rsidRDefault="00DE0FBF" w:rsidP="00DE0FBF">
      <w:pPr>
        <w:spacing w:after="135" w:line="269" w:lineRule="auto"/>
        <w:ind w:left="1071" w:hanging="10"/>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W tabeli nr 1 przedstawiono wymagane nastawy poszczególnych zabezpieczeń, wchodzących w skład układu zabezpieczeń. </w:t>
      </w:r>
    </w:p>
    <w:p w14:paraId="1CD37E32" w14:textId="77777777" w:rsidR="00DE0FBF" w:rsidRPr="00DE0FBF" w:rsidRDefault="00DE0FBF" w:rsidP="00DE0FBF">
      <w:pPr>
        <w:spacing w:after="10" w:line="249" w:lineRule="auto"/>
        <w:ind w:left="1056" w:hanging="10"/>
        <w:jc w:val="left"/>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i/>
          <w:color w:val="000000"/>
          <w:kern w:val="2"/>
          <w:sz w:val="24"/>
          <w:szCs w:val="24"/>
          <w:lang w:eastAsia="pl-PL"/>
        </w:rPr>
        <w:t xml:space="preserve">Tabela nr 1. Nastawy układu zabezpieczeń </w:t>
      </w:r>
    </w:p>
    <w:tbl>
      <w:tblPr>
        <w:tblStyle w:val="TableGrid4"/>
        <w:tblW w:w="7690" w:type="dxa"/>
        <w:tblInd w:w="1207" w:type="dxa"/>
        <w:tblCellMar>
          <w:top w:w="59" w:type="dxa"/>
          <w:left w:w="106" w:type="dxa"/>
          <w:right w:w="70" w:type="dxa"/>
        </w:tblCellMar>
        <w:tblLook w:val="04A0" w:firstRow="1" w:lastRow="0" w:firstColumn="1" w:lastColumn="0" w:noHBand="0" w:noVBand="1"/>
      </w:tblPr>
      <w:tblGrid>
        <w:gridCol w:w="494"/>
        <w:gridCol w:w="1136"/>
        <w:gridCol w:w="1133"/>
        <w:gridCol w:w="994"/>
        <w:gridCol w:w="1085"/>
        <w:gridCol w:w="1418"/>
        <w:gridCol w:w="1430"/>
      </w:tblGrid>
      <w:tr w:rsidR="00DE0FBF" w:rsidRPr="00DE0FBF" w14:paraId="090B8A08" w14:textId="77777777" w:rsidTr="00D40FBC">
        <w:trPr>
          <w:trHeight w:val="610"/>
        </w:trPr>
        <w:tc>
          <w:tcPr>
            <w:tcW w:w="2762" w:type="dxa"/>
            <w:gridSpan w:val="3"/>
            <w:tcBorders>
              <w:top w:val="single" w:sz="4" w:space="0" w:color="000000"/>
              <w:left w:val="single" w:sz="4" w:space="0" w:color="000000"/>
              <w:bottom w:val="single" w:sz="4" w:space="0" w:color="000000"/>
              <w:right w:val="single" w:sz="4" w:space="0" w:color="000000"/>
            </w:tcBorders>
            <w:vAlign w:val="center"/>
          </w:tcPr>
          <w:p w14:paraId="789D0DF7" w14:textId="77777777" w:rsidR="00DE0FBF" w:rsidRPr="00DE0FBF" w:rsidRDefault="00DE0FBF" w:rsidP="00DE0FBF">
            <w:pPr>
              <w:spacing w:line="259" w:lineRule="auto"/>
              <w:ind w:right="43"/>
              <w:jc w:val="center"/>
              <w:rPr>
                <w:rFonts w:ascii="Times New Roman" w:eastAsia="Times New Roman" w:hAnsi="Times New Roman" w:cs="Times New Roman"/>
                <w:color w:val="000000"/>
              </w:rPr>
            </w:pPr>
            <w:r w:rsidRPr="00DE0FBF">
              <w:rPr>
                <w:rFonts w:ascii="Calibri" w:eastAsia="Calibri" w:hAnsi="Calibri" w:cs="Calibri"/>
                <w:b/>
                <w:color w:val="000000"/>
                <w:sz w:val="18"/>
              </w:rPr>
              <w:t xml:space="preserve">Funkcja zabezpieczenia </w:t>
            </w:r>
          </w:p>
        </w:tc>
        <w:tc>
          <w:tcPr>
            <w:tcW w:w="2078" w:type="dxa"/>
            <w:gridSpan w:val="2"/>
            <w:tcBorders>
              <w:top w:val="single" w:sz="4" w:space="0" w:color="000000"/>
              <w:left w:val="single" w:sz="4" w:space="0" w:color="000000"/>
              <w:bottom w:val="single" w:sz="4" w:space="0" w:color="000000"/>
              <w:right w:val="single" w:sz="4" w:space="0" w:color="000000"/>
            </w:tcBorders>
          </w:tcPr>
          <w:p w14:paraId="3C2DB9B6" w14:textId="77777777" w:rsidR="00DE0FBF" w:rsidRPr="00DE0FBF" w:rsidRDefault="00DE0FBF" w:rsidP="00DE0FBF">
            <w:pPr>
              <w:spacing w:line="259" w:lineRule="auto"/>
              <w:jc w:val="center"/>
              <w:rPr>
                <w:rFonts w:ascii="Times New Roman" w:eastAsia="Times New Roman" w:hAnsi="Times New Roman" w:cs="Times New Roman"/>
                <w:color w:val="000000"/>
              </w:rPr>
            </w:pPr>
            <w:r w:rsidRPr="00DE0FBF">
              <w:rPr>
                <w:rFonts w:ascii="Calibri" w:eastAsia="Calibri" w:hAnsi="Calibri" w:cs="Calibri"/>
                <w:b/>
                <w:color w:val="000000"/>
                <w:sz w:val="18"/>
              </w:rPr>
              <w:t xml:space="preserve">Wymagane nastawienie wartości wyłączającej </w:t>
            </w:r>
          </w:p>
        </w:tc>
        <w:tc>
          <w:tcPr>
            <w:tcW w:w="1418" w:type="dxa"/>
            <w:tcBorders>
              <w:top w:val="single" w:sz="4" w:space="0" w:color="000000"/>
              <w:left w:val="single" w:sz="4" w:space="0" w:color="000000"/>
              <w:bottom w:val="single" w:sz="4" w:space="0" w:color="000000"/>
              <w:right w:val="single" w:sz="4" w:space="0" w:color="000000"/>
            </w:tcBorders>
          </w:tcPr>
          <w:p w14:paraId="413A540F" w14:textId="77777777" w:rsidR="00DE0FBF" w:rsidRPr="00DE0FBF" w:rsidRDefault="00DE0FBF" w:rsidP="00DE0FBF">
            <w:pPr>
              <w:spacing w:line="259" w:lineRule="auto"/>
              <w:ind w:right="42"/>
              <w:jc w:val="center"/>
              <w:rPr>
                <w:rFonts w:ascii="Times New Roman" w:eastAsia="Times New Roman" w:hAnsi="Times New Roman" w:cs="Times New Roman"/>
                <w:color w:val="000000"/>
              </w:rPr>
            </w:pPr>
            <w:r w:rsidRPr="00DE0FBF">
              <w:rPr>
                <w:rFonts w:ascii="Calibri" w:eastAsia="Calibri" w:hAnsi="Calibri" w:cs="Calibri"/>
                <w:b/>
                <w:color w:val="000000"/>
                <w:sz w:val="18"/>
              </w:rPr>
              <w:t xml:space="preserve">Maksymalny </w:t>
            </w:r>
          </w:p>
          <w:p w14:paraId="75B78E3A" w14:textId="77777777" w:rsidR="00DE0FBF" w:rsidRPr="00DE0FBF" w:rsidRDefault="00DE0FBF" w:rsidP="00DE0FBF">
            <w:pPr>
              <w:spacing w:line="259" w:lineRule="auto"/>
              <w:ind w:left="29"/>
              <w:rPr>
                <w:rFonts w:ascii="Times New Roman" w:eastAsia="Times New Roman" w:hAnsi="Times New Roman" w:cs="Times New Roman"/>
                <w:color w:val="000000"/>
              </w:rPr>
            </w:pPr>
            <w:r w:rsidRPr="00DE0FBF">
              <w:rPr>
                <w:rFonts w:ascii="Calibri" w:eastAsia="Calibri" w:hAnsi="Calibri" w:cs="Calibri"/>
                <w:b/>
                <w:color w:val="000000"/>
                <w:sz w:val="18"/>
              </w:rPr>
              <w:t xml:space="preserve">czas odłączenia </w:t>
            </w:r>
          </w:p>
        </w:tc>
        <w:tc>
          <w:tcPr>
            <w:tcW w:w="1430" w:type="dxa"/>
            <w:tcBorders>
              <w:top w:val="single" w:sz="4" w:space="0" w:color="000000"/>
              <w:left w:val="single" w:sz="4" w:space="0" w:color="000000"/>
              <w:bottom w:val="single" w:sz="4" w:space="0" w:color="000000"/>
              <w:right w:val="single" w:sz="4" w:space="0" w:color="000000"/>
            </w:tcBorders>
          </w:tcPr>
          <w:p w14:paraId="1DD82B8D" w14:textId="77777777" w:rsidR="00DE0FBF" w:rsidRPr="00DE0FBF" w:rsidRDefault="00DE0FBF" w:rsidP="00DE0FBF">
            <w:pPr>
              <w:spacing w:line="259" w:lineRule="auto"/>
              <w:jc w:val="center"/>
              <w:rPr>
                <w:rFonts w:ascii="Times New Roman" w:eastAsia="Times New Roman" w:hAnsi="Times New Roman" w:cs="Times New Roman"/>
                <w:color w:val="000000"/>
              </w:rPr>
            </w:pPr>
            <w:r w:rsidRPr="00DE0FBF">
              <w:rPr>
                <w:rFonts w:ascii="Calibri" w:eastAsia="Calibri" w:hAnsi="Calibri" w:cs="Calibri"/>
                <w:b/>
                <w:color w:val="000000"/>
                <w:sz w:val="18"/>
              </w:rPr>
              <w:t xml:space="preserve">Minimalny czas zadziałania </w:t>
            </w:r>
          </w:p>
        </w:tc>
      </w:tr>
      <w:tr w:rsidR="00DE0FBF" w:rsidRPr="00DE0FBF" w14:paraId="0554332E" w14:textId="77777777" w:rsidTr="00D40FBC">
        <w:trPr>
          <w:trHeight w:val="350"/>
        </w:trPr>
        <w:tc>
          <w:tcPr>
            <w:tcW w:w="494" w:type="dxa"/>
            <w:vMerge w:val="restart"/>
            <w:tcBorders>
              <w:top w:val="single" w:sz="4" w:space="0" w:color="000000"/>
              <w:left w:val="single" w:sz="4" w:space="0" w:color="000000"/>
              <w:bottom w:val="single" w:sz="4" w:space="0" w:color="000000"/>
              <w:right w:val="single" w:sz="4" w:space="0" w:color="000000"/>
            </w:tcBorders>
            <w:vAlign w:val="center"/>
          </w:tcPr>
          <w:p w14:paraId="1ABB052A" w14:textId="77777777" w:rsidR="00DE0FBF" w:rsidRPr="00DE0FBF" w:rsidRDefault="00DE0FBF" w:rsidP="00DE0FBF">
            <w:pPr>
              <w:spacing w:line="259" w:lineRule="auto"/>
              <w:rPr>
                <w:rFonts w:ascii="Times New Roman" w:eastAsia="Times New Roman" w:hAnsi="Times New Roman" w:cs="Times New Roman"/>
                <w:color w:val="000000"/>
              </w:rPr>
            </w:pPr>
            <w:r w:rsidRPr="00DE0FBF">
              <w:rPr>
                <w:rFonts w:ascii="Calibri" w:eastAsia="Calibri" w:hAnsi="Calibri" w:cs="Calibri"/>
                <w:color w:val="000000"/>
                <w:sz w:val="18"/>
              </w:rPr>
              <w:t>U</w:t>
            </w:r>
            <w:r w:rsidRPr="00DE0FBF">
              <w:rPr>
                <w:rFonts w:ascii="Calibri" w:eastAsia="Calibri" w:hAnsi="Calibri" w:cs="Calibri"/>
                <w:color w:val="000000"/>
                <w:sz w:val="12"/>
              </w:rPr>
              <w:t>LN</w:t>
            </w:r>
            <w:r w:rsidRPr="00DE0FBF">
              <w:rPr>
                <w:rFonts w:ascii="Calibri" w:eastAsia="Calibri" w:hAnsi="Calibri" w:cs="Calibri"/>
                <w:color w:val="000000"/>
                <w:sz w:val="18"/>
              </w:rPr>
              <w:t xml:space="preserve"> </w:t>
            </w:r>
          </w:p>
        </w:tc>
        <w:tc>
          <w:tcPr>
            <w:tcW w:w="2268" w:type="dxa"/>
            <w:gridSpan w:val="2"/>
            <w:tcBorders>
              <w:top w:val="single" w:sz="4" w:space="0" w:color="000000"/>
              <w:left w:val="single" w:sz="4" w:space="0" w:color="000000"/>
              <w:bottom w:val="single" w:sz="4" w:space="0" w:color="000000"/>
              <w:right w:val="single" w:sz="4" w:space="0" w:color="000000"/>
            </w:tcBorders>
          </w:tcPr>
          <w:p w14:paraId="13C1CED6" w14:textId="77777777" w:rsidR="00DE0FBF" w:rsidRPr="00DE0FBF" w:rsidRDefault="00DE0FBF" w:rsidP="00DE0FBF">
            <w:pPr>
              <w:spacing w:line="259" w:lineRule="auto"/>
              <w:ind w:left="2"/>
              <w:rPr>
                <w:rFonts w:ascii="Times New Roman" w:eastAsia="Times New Roman" w:hAnsi="Times New Roman" w:cs="Times New Roman"/>
                <w:color w:val="000000"/>
              </w:rPr>
            </w:pPr>
            <w:r w:rsidRPr="00DE0FBF">
              <w:rPr>
                <w:rFonts w:ascii="Calibri" w:eastAsia="Calibri" w:hAnsi="Calibri" w:cs="Calibri"/>
                <w:color w:val="000000"/>
                <w:sz w:val="18"/>
              </w:rPr>
              <w:t xml:space="preserve">Obniżenie napięcia </w:t>
            </w:r>
          </w:p>
        </w:tc>
        <w:tc>
          <w:tcPr>
            <w:tcW w:w="994" w:type="dxa"/>
            <w:tcBorders>
              <w:top w:val="single" w:sz="4" w:space="0" w:color="000000"/>
              <w:left w:val="single" w:sz="4" w:space="0" w:color="000000"/>
              <w:bottom w:val="single" w:sz="4" w:space="0" w:color="000000"/>
              <w:right w:val="single" w:sz="4" w:space="0" w:color="000000"/>
            </w:tcBorders>
          </w:tcPr>
          <w:p w14:paraId="0D28B286" w14:textId="77777777" w:rsidR="00DE0FBF" w:rsidRPr="00DE0FBF" w:rsidRDefault="00DE0FBF" w:rsidP="00DE0FBF">
            <w:pPr>
              <w:spacing w:line="259" w:lineRule="auto"/>
              <w:ind w:right="37"/>
              <w:jc w:val="center"/>
              <w:rPr>
                <w:rFonts w:ascii="Times New Roman" w:eastAsia="Times New Roman" w:hAnsi="Times New Roman" w:cs="Times New Roman"/>
                <w:color w:val="000000"/>
              </w:rPr>
            </w:pPr>
            <w:r w:rsidRPr="00DE0FBF">
              <w:rPr>
                <w:rFonts w:ascii="Calibri" w:eastAsia="Calibri" w:hAnsi="Calibri" w:cs="Calibri"/>
                <w:color w:val="000000"/>
                <w:sz w:val="18"/>
              </w:rPr>
              <w:t xml:space="preserve">0,85 </w:t>
            </w:r>
            <w:proofErr w:type="spellStart"/>
            <w:r w:rsidRPr="00DE0FBF">
              <w:rPr>
                <w:rFonts w:ascii="Calibri" w:eastAsia="Calibri" w:hAnsi="Calibri" w:cs="Calibri"/>
                <w:color w:val="000000"/>
                <w:sz w:val="18"/>
              </w:rPr>
              <w:t>Un</w:t>
            </w:r>
            <w:proofErr w:type="spellEnd"/>
            <w:r w:rsidRPr="00DE0FBF">
              <w:rPr>
                <w:rFonts w:ascii="Calibri" w:eastAsia="Calibri" w:hAnsi="Calibri" w:cs="Calibri"/>
                <w:color w:val="000000"/>
                <w:sz w:val="18"/>
              </w:rPr>
              <w:t xml:space="preserve"> </w:t>
            </w:r>
          </w:p>
        </w:tc>
        <w:tc>
          <w:tcPr>
            <w:tcW w:w="1085" w:type="dxa"/>
            <w:tcBorders>
              <w:top w:val="single" w:sz="4" w:space="0" w:color="000000"/>
              <w:left w:val="single" w:sz="4" w:space="0" w:color="000000"/>
              <w:bottom w:val="single" w:sz="4" w:space="0" w:color="000000"/>
              <w:right w:val="single" w:sz="4" w:space="0" w:color="000000"/>
            </w:tcBorders>
          </w:tcPr>
          <w:p w14:paraId="6D557CCB" w14:textId="77777777" w:rsidR="00DE0FBF" w:rsidRPr="00DE0FBF" w:rsidRDefault="00DE0FBF" w:rsidP="00DE0FBF">
            <w:pPr>
              <w:spacing w:line="259" w:lineRule="auto"/>
              <w:ind w:right="39"/>
              <w:jc w:val="center"/>
              <w:rPr>
                <w:rFonts w:ascii="Times New Roman" w:eastAsia="Times New Roman" w:hAnsi="Times New Roman" w:cs="Times New Roman"/>
                <w:color w:val="000000"/>
              </w:rPr>
            </w:pPr>
            <w:r w:rsidRPr="00DE0FBF">
              <w:rPr>
                <w:rFonts w:ascii="Calibri" w:eastAsia="Calibri" w:hAnsi="Calibri" w:cs="Calibri"/>
                <w:color w:val="000000"/>
                <w:sz w:val="18"/>
              </w:rPr>
              <w:t xml:space="preserve">195,5 V </w:t>
            </w:r>
          </w:p>
        </w:tc>
        <w:tc>
          <w:tcPr>
            <w:tcW w:w="1418" w:type="dxa"/>
            <w:tcBorders>
              <w:top w:val="single" w:sz="4" w:space="0" w:color="000000"/>
              <w:left w:val="single" w:sz="4" w:space="0" w:color="000000"/>
              <w:bottom w:val="single" w:sz="4" w:space="0" w:color="000000"/>
              <w:right w:val="single" w:sz="4" w:space="0" w:color="000000"/>
            </w:tcBorders>
          </w:tcPr>
          <w:p w14:paraId="03A167D8" w14:textId="77777777" w:rsidR="00DE0FBF" w:rsidRPr="00DE0FBF" w:rsidRDefault="00DE0FBF" w:rsidP="00DE0FBF">
            <w:pPr>
              <w:spacing w:line="259" w:lineRule="auto"/>
              <w:ind w:right="40"/>
              <w:jc w:val="center"/>
              <w:rPr>
                <w:rFonts w:ascii="Times New Roman" w:eastAsia="Times New Roman" w:hAnsi="Times New Roman" w:cs="Times New Roman"/>
                <w:color w:val="000000"/>
              </w:rPr>
            </w:pPr>
            <w:r w:rsidRPr="00DE0FBF">
              <w:rPr>
                <w:rFonts w:ascii="Calibri" w:eastAsia="Calibri" w:hAnsi="Calibri" w:cs="Calibri"/>
                <w:color w:val="000000"/>
                <w:sz w:val="18"/>
              </w:rPr>
              <w:t xml:space="preserve">1,5 s </w:t>
            </w:r>
          </w:p>
        </w:tc>
        <w:tc>
          <w:tcPr>
            <w:tcW w:w="1430" w:type="dxa"/>
            <w:tcBorders>
              <w:top w:val="single" w:sz="4" w:space="0" w:color="000000"/>
              <w:left w:val="single" w:sz="4" w:space="0" w:color="000000"/>
              <w:bottom w:val="single" w:sz="4" w:space="0" w:color="000000"/>
              <w:right w:val="single" w:sz="4" w:space="0" w:color="000000"/>
            </w:tcBorders>
          </w:tcPr>
          <w:p w14:paraId="621972C1" w14:textId="77777777" w:rsidR="00DE0FBF" w:rsidRPr="00DE0FBF" w:rsidRDefault="00DE0FBF" w:rsidP="00DE0FBF">
            <w:pPr>
              <w:spacing w:line="259" w:lineRule="auto"/>
              <w:ind w:right="42"/>
              <w:jc w:val="center"/>
              <w:rPr>
                <w:rFonts w:ascii="Times New Roman" w:eastAsia="Times New Roman" w:hAnsi="Times New Roman" w:cs="Times New Roman"/>
                <w:color w:val="000000"/>
              </w:rPr>
            </w:pPr>
            <w:r w:rsidRPr="00DE0FBF">
              <w:rPr>
                <w:rFonts w:ascii="Calibri" w:eastAsia="Calibri" w:hAnsi="Calibri" w:cs="Calibri"/>
                <w:color w:val="000000"/>
                <w:sz w:val="18"/>
              </w:rPr>
              <w:t xml:space="preserve">1,2 s </w:t>
            </w:r>
          </w:p>
        </w:tc>
      </w:tr>
      <w:tr w:rsidR="00DE0FBF" w:rsidRPr="00DE0FBF" w14:paraId="6E46741D" w14:textId="77777777" w:rsidTr="00D40FBC">
        <w:trPr>
          <w:trHeight w:val="348"/>
        </w:trPr>
        <w:tc>
          <w:tcPr>
            <w:tcW w:w="0" w:type="auto"/>
            <w:vMerge/>
            <w:tcBorders>
              <w:top w:val="nil"/>
              <w:left w:val="single" w:sz="4" w:space="0" w:color="000000"/>
              <w:bottom w:val="nil"/>
              <w:right w:val="single" w:sz="4" w:space="0" w:color="000000"/>
            </w:tcBorders>
          </w:tcPr>
          <w:p w14:paraId="0A3C0FC1" w14:textId="77777777" w:rsidR="00DE0FBF" w:rsidRPr="00DE0FBF" w:rsidRDefault="00DE0FBF" w:rsidP="00DE0FBF">
            <w:pPr>
              <w:spacing w:after="160" w:line="259" w:lineRule="auto"/>
              <w:rPr>
                <w:rFonts w:ascii="Times New Roman" w:eastAsia="Times New Roman" w:hAnsi="Times New Roman" w:cs="Times New Roman"/>
                <w:color w:val="000000"/>
              </w:rPr>
            </w:pPr>
          </w:p>
        </w:tc>
        <w:tc>
          <w:tcPr>
            <w:tcW w:w="2268" w:type="dxa"/>
            <w:gridSpan w:val="2"/>
            <w:tcBorders>
              <w:top w:val="single" w:sz="4" w:space="0" w:color="000000"/>
              <w:left w:val="single" w:sz="4" w:space="0" w:color="000000"/>
              <w:bottom w:val="single" w:sz="4" w:space="0" w:color="000000"/>
              <w:right w:val="single" w:sz="4" w:space="0" w:color="000000"/>
            </w:tcBorders>
          </w:tcPr>
          <w:p w14:paraId="3D3520C0" w14:textId="77777777" w:rsidR="00DE0FBF" w:rsidRPr="00DE0FBF" w:rsidRDefault="00DE0FBF" w:rsidP="00DE0FBF">
            <w:pPr>
              <w:spacing w:line="259" w:lineRule="auto"/>
              <w:ind w:left="2"/>
              <w:rPr>
                <w:rFonts w:ascii="Times New Roman" w:eastAsia="Times New Roman" w:hAnsi="Times New Roman" w:cs="Times New Roman"/>
                <w:color w:val="000000"/>
              </w:rPr>
            </w:pPr>
            <w:r w:rsidRPr="00DE0FBF">
              <w:rPr>
                <w:rFonts w:ascii="Calibri" w:eastAsia="Calibri" w:hAnsi="Calibri" w:cs="Calibri"/>
                <w:color w:val="000000"/>
                <w:sz w:val="18"/>
              </w:rPr>
              <w:t>Wzrost napięcia stopień 1</w:t>
            </w:r>
            <w:r w:rsidRPr="00DE0FBF">
              <w:rPr>
                <w:rFonts w:ascii="Calibri" w:eastAsia="Calibri" w:hAnsi="Calibri" w:cs="Calibri"/>
                <w:color w:val="000000"/>
                <w:sz w:val="18"/>
                <w:vertAlign w:val="superscript"/>
              </w:rPr>
              <w:t xml:space="preserve">1) </w:t>
            </w:r>
          </w:p>
        </w:tc>
        <w:tc>
          <w:tcPr>
            <w:tcW w:w="994" w:type="dxa"/>
            <w:tcBorders>
              <w:top w:val="single" w:sz="4" w:space="0" w:color="000000"/>
              <w:left w:val="single" w:sz="4" w:space="0" w:color="000000"/>
              <w:bottom w:val="single" w:sz="4" w:space="0" w:color="000000"/>
              <w:right w:val="single" w:sz="4" w:space="0" w:color="000000"/>
            </w:tcBorders>
          </w:tcPr>
          <w:p w14:paraId="3A364416" w14:textId="77777777" w:rsidR="00DE0FBF" w:rsidRPr="00DE0FBF" w:rsidRDefault="00DE0FBF" w:rsidP="00DE0FBF">
            <w:pPr>
              <w:spacing w:line="259" w:lineRule="auto"/>
              <w:ind w:right="37"/>
              <w:jc w:val="center"/>
              <w:rPr>
                <w:rFonts w:ascii="Times New Roman" w:eastAsia="Times New Roman" w:hAnsi="Times New Roman" w:cs="Times New Roman"/>
                <w:color w:val="000000"/>
              </w:rPr>
            </w:pPr>
            <w:r w:rsidRPr="00DE0FBF">
              <w:rPr>
                <w:rFonts w:ascii="Calibri" w:eastAsia="Calibri" w:hAnsi="Calibri" w:cs="Calibri"/>
                <w:color w:val="000000"/>
                <w:sz w:val="18"/>
              </w:rPr>
              <w:t xml:space="preserve">1,1 </w:t>
            </w:r>
            <w:proofErr w:type="spellStart"/>
            <w:r w:rsidRPr="00DE0FBF">
              <w:rPr>
                <w:rFonts w:ascii="Calibri" w:eastAsia="Calibri" w:hAnsi="Calibri" w:cs="Calibri"/>
                <w:color w:val="000000"/>
                <w:sz w:val="18"/>
              </w:rPr>
              <w:t>Un</w:t>
            </w:r>
            <w:proofErr w:type="spellEnd"/>
            <w:r w:rsidRPr="00DE0FBF">
              <w:rPr>
                <w:rFonts w:ascii="Calibri" w:eastAsia="Calibri" w:hAnsi="Calibri" w:cs="Calibri"/>
                <w:color w:val="000000"/>
                <w:sz w:val="18"/>
              </w:rPr>
              <w:t xml:space="preserve"> </w:t>
            </w:r>
          </w:p>
        </w:tc>
        <w:tc>
          <w:tcPr>
            <w:tcW w:w="1085" w:type="dxa"/>
            <w:tcBorders>
              <w:top w:val="single" w:sz="4" w:space="0" w:color="000000"/>
              <w:left w:val="single" w:sz="4" w:space="0" w:color="000000"/>
              <w:bottom w:val="single" w:sz="4" w:space="0" w:color="000000"/>
              <w:right w:val="single" w:sz="4" w:space="0" w:color="000000"/>
            </w:tcBorders>
          </w:tcPr>
          <w:p w14:paraId="4EDECDC4" w14:textId="77777777" w:rsidR="00DE0FBF" w:rsidRPr="00DE0FBF" w:rsidRDefault="00DE0FBF" w:rsidP="00DE0FBF">
            <w:pPr>
              <w:spacing w:line="259" w:lineRule="auto"/>
              <w:ind w:right="39"/>
              <w:jc w:val="center"/>
              <w:rPr>
                <w:rFonts w:ascii="Times New Roman" w:eastAsia="Times New Roman" w:hAnsi="Times New Roman" w:cs="Times New Roman"/>
                <w:color w:val="000000"/>
              </w:rPr>
            </w:pPr>
            <w:r w:rsidRPr="00DE0FBF">
              <w:rPr>
                <w:rFonts w:ascii="Calibri" w:eastAsia="Calibri" w:hAnsi="Calibri" w:cs="Calibri"/>
                <w:color w:val="000000"/>
                <w:sz w:val="18"/>
              </w:rPr>
              <w:t xml:space="preserve">253,0 V </w:t>
            </w:r>
          </w:p>
        </w:tc>
        <w:tc>
          <w:tcPr>
            <w:tcW w:w="1418" w:type="dxa"/>
            <w:tcBorders>
              <w:top w:val="single" w:sz="4" w:space="0" w:color="000000"/>
              <w:left w:val="single" w:sz="4" w:space="0" w:color="000000"/>
              <w:bottom w:val="single" w:sz="4" w:space="0" w:color="000000"/>
              <w:right w:val="single" w:sz="4" w:space="0" w:color="000000"/>
            </w:tcBorders>
          </w:tcPr>
          <w:p w14:paraId="5488C6DF" w14:textId="77777777" w:rsidR="00DE0FBF" w:rsidRPr="00DE0FBF" w:rsidRDefault="00DE0FBF" w:rsidP="00DE0FBF">
            <w:pPr>
              <w:spacing w:line="259" w:lineRule="auto"/>
              <w:ind w:right="40"/>
              <w:jc w:val="center"/>
              <w:rPr>
                <w:rFonts w:ascii="Times New Roman" w:eastAsia="Times New Roman" w:hAnsi="Times New Roman" w:cs="Times New Roman"/>
                <w:color w:val="000000"/>
              </w:rPr>
            </w:pPr>
            <w:r w:rsidRPr="00DE0FBF">
              <w:rPr>
                <w:rFonts w:ascii="Calibri" w:eastAsia="Calibri" w:hAnsi="Calibri" w:cs="Calibri"/>
                <w:color w:val="000000"/>
                <w:sz w:val="18"/>
              </w:rPr>
              <w:t xml:space="preserve">3,0 s </w:t>
            </w:r>
          </w:p>
        </w:tc>
        <w:tc>
          <w:tcPr>
            <w:tcW w:w="1430" w:type="dxa"/>
            <w:tcBorders>
              <w:top w:val="single" w:sz="4" w:space="0" w:color="000000"/>
              <w:left w:val="single" w:sz="4" w:space="0" w:color="000000"/>
              <w:bottom w:val="single" w:sz="4" w:space="0" w:color="000000"/>
              <w:right w:val="single" w:sz="4" w:space="0" w:color="000000"/>
            </w:tcBorders>
          </w:tcPr>
          <w:p w14:paraId="1E423DB8" w14:textId="77777777" w:rsidR="00DE0FBF" w:rsidRPr="00DE0FBF" w:rsidRDefault="00DE0FBF" w:rsidP="00DE0FBF">
            <w:pPr>
              <w:spacing w:line="259" w:lineRule="auto"/>
              <w:ind w:right="43"/>
              <w:jc w:val="center"/>
              <w:rPr>
                <w:rFonts w:ascii="Times New Roman" w:eastAsia="Times New Roman" w:hAnsi="Times New Roman" w:cs="Times New Roman"/>
                <w:color w:val="000000"/>
              </w:rPr>
            </w:pPr>
            <w:r w:rsidRPr="00DE0FBF">
              <w:rPr>
                <w:rFonts w:ascii="Calibri" w:eastAsia="Calibri" w:hAnsi="Calibri" w:cs="Calibri"/>
                <w:color w:val="000000"/>
                <w:sz w:val="18"/>
              </w:rPr>
              <w:t xml:space="preserve">- </w:t>
            </w:r>
          </w:p>
        </w:tc>
      </w:tr>
      <w:tr w:rsidR="00DE0FBF" w:rsidRPr="00DE0FBF" w14:paraId="300FC7EA" w14:textId="77777777" w:rsidTr="00D40FBC">
        <w:trPr>
          <w:trHeight w:val="350"/>
        </w:trPr>
        <w:tc>
          <w:tcPr>
            <w:tcW w:w="0" w:type="auto"/>
            <w:vMerge/>
            <w:tcBorders>
              <w:top w:val="nil"/>
              <w:left w:val="single" w:sz="4" w:space="0" w:color="000000"/>
              <w:bottom w:val="single" w:sz="4" w:space="0" w:color="000000"/>
              <w:right w:val="single" w:sz="4" w:space="0" w:color="000000"/>
            </w:tcBorders>
          </w:tcPr>
          <w:p w14:paraId="1FE16630" w14:textId="77777777" w:rsidR="00DE0FBF" w:rsidRPr="00DE0FBF" w:rsidRDefault="00DE0FBF" w:rsidP="00DE0FBF">
            <w:pPr>
              <w:spacing w:after="160" w:line="259" w:lineRule="auto"/>
              <w:rPr>
                <w:rFonts w:ascii="Times New Roman" w:eastAsia="Times New Roman" w:hAnsi="Times New Roman" w:cs="Times New Roman"/>
                <w:color w:val="000000"/>
              </w:rPr>
            </w:pPr>
          </w:p>
        </w:tc>
        <w:tc>
          <w:tcPr>
            <w:tcW w:w="2268" w:type="dxa"/>
            <w:gridSpan w:val="2"/>
            <w:tcBorders>
              <w:top w:val="single" w:sz="4" w:space="0" w:color="000000"/>
              <w:left w:val="single" w:sz="4" w:space="0" w:color="000000"/>
              <w:bottom w:val="single" w:sz="4" w:space="0" w:color="000000"/>
              <w:right w:val="single" w:sz="4" w:space="0" w:color="000000"/>
            </w:tcBorders>
          </w:tcPr>
          <w:p w14:paraId="2519F769" w14:textId="77777777" w:rsidR="00DE0FBF" w:rsidRPr="00DE0FBF" w:rsidRDefault="00DE0FBF" w:rsidP="00DE0FBF">
            <w:pPr>
              <w:spacing w:line="259" w:lineRule="auto"/>
              <w:ind w:left="2"/>
              <w:rPr>
                <w:rFonts w:ascii="Times New Roman" w:eastAsia="Times New Roman" w:hAnsi="Times New Roman" w:cs="Times New Roman"/>
                <w:color w:val="000000"/>
              </w:rPr>
            </w:pPr>
            <w:r w:rsidRPr="00DE0FBF">
              <w:rPr>
                <w:rFonts w:ascii="Calibri" w:eastAsia="Calibri" w:hAnsi="Calibri" w:cs="Calibri"/>
                <w:color w:val="000000"/>
                <w:sz w:val="18"/>
              </w:rPr>
              <w:t xml:space="preserve">Wzrost napięcia stopień 2 </w:t>
            </w:r>
          </w:p>
        </w:tc>
        <w:tc>
          <w:tcPr>
            <w:tcW w:w="994" w:type="dxa"/>
            <w:tcBorders>
              <w:top w:val="single" w:sz="4" w:space="0" w:color="000000"/>
              <w:left w:val="single" w:sz="4" w:space="0" w:color="000000"/>
              <w:bottom w:val="single" w:sz="4" w:space="0" w:color="000000"/>
              <w:right w:val="single" w:sz="4" w:space="0" w:color="000000"/>
            </w:tcBorders>
          </w:tcPr>
          <w:p w14:paraId="703544EB" w14:textId="77777777" w:rsidR="00DE0FBF" w:rsidRPr="00DE0FBF" w:rsidRDefault="00DE0FBF" w:rsidP="00DE0FBF">
            <w:pPr>
              <w:spacing w:line="259" w:lineRule="auto"/>
              <w:ind w:right="37"/>
              <w:jc w:val="center"/>
              <w:rPr>
                <w:rFonts w:ascii="Times New Roman" w:eastAsia="Times New Roman" w:hAnsi="Times New Roman" w:cs="Times New Roman"/>
                <w:color w:val="000000"/>
              </w:rPr>
            </w:pPr>
            <w:r w:rsidRPr="00DE0FBF">
              <w:rPr>
                <w:rFonts w:ascii="Calibri" w:eastAsia="Calibri" w:hAnsi="Calibri" w:cs="Calibri"/>
                <w:color w:val="000000"/>
                <w:sz w:val="18"/>
              </w:rPr>
              <w:t xml:space="preserve">1,15 </w:t>
            </w:r>
            <w:proofErr w:type="spellStart"/>
            <w:r w:rsidRPr="00DE0FBF">
              <w:rPr>
                <w:rFonts w:ascii="Calibri" w:eastAsia="Calibri" w:hAnsi="Calibri" w:cs="Calibri"/>
                <w:color w:val="000000"/>
                <w:sz w:val="18"/>
              </w:rPr>
              <w:t>Un</w:t>
            </w:r>
            <w:proofErr w:type="spellEnd"/>
            <w:r w:rsidRPr="00DE0FBF">
              <w:rPr>
                <w:rFonts w:ascii="Calibri" w:eastAsia="Calibri" w:hAnsi="Calibri" w:cs="Calibri"/>
                <w:color w:val="000000"/>
                <w:sz w:val="18"/>
              </w:rPr>
              <w:t xml:space="preserve"> </w:t>
            </w:r>
          </w:p>
        </w:tc>
        <w:tc>
          <w:tcPr>
            <w:tcW w:w="1085" w:type="dxa"/>
            <w:tcBorders>
              <w:top w:val="single" w:sz="4" w:space="0" w:color="000000"/>
              <w:left w:val="single" w:sz="4" w:space="0" w:color="000000"/>
              <w:bottom w:val="single" w:sz="4" w:space="0" w:color="000000"/>
              <w:right w:val="single" w:sz="4" w:space="0" w:color="000000"/>
            </w:tcBorders>
          </w:tcPr>
          <w:p w14:paraId="46A1DA0A" w14:textId="77777777" w:rsidR="00DE0FBF" w:rsidRPr="00DE0FBF" w:rsidRDefault="00DE0FBF" w:rsidP="00DE0FBF">
            <w:pPr>
              <w:spacing w:line="259" w:lineRule="auto"/>
              <w:ind w:right="39"/>
              <w:jc w:val="center"/>
              <w:rPr>
                <w:rFonts w:ascii="Times New Roman" w:eastAsia="Times New Roman" w:hAnsi="Times New Roman" w:cs="Times New Roman"/>
                <w:color w:val="000000"/>
              </w:rPr>
            </w:pPr>
            <w:r w:rsidRPr="00DE0FBF">
              <w:rPr>
                <w:rFonts w:ascii="Calibri" w:eastAsia="Calibri" w:hAnsi="Calibri" w:cs="Calibri"/>
                <w:color w:val="000000"/>
                <w:sz w:val="18"/>
              </w:rPr>
              <w:t xml:space="preserve">264,5 V </w:t>
            </w:r>
          </w:p>
        </w:tc>
        <w:tc>
          <w:tcPr>
            <w:tcW w:w="1418" w:type="dxa"/>
            <w:tcBorders>
              <w:top w:val="single" w:sz="4" w:space="0" w:color="000000"/>
              <w:left w:val="single" w:sz="4" w:space="0" w:color="000000"/>
              <w:bottom w:val="single" w:sz="4" w:space="0" w:color="000000"/>
              <w:right w:val="single" w:sz="4" w:space="0" w:color="000000"/>
            </w:tcBorders>
          </w:tcPr>
          <w:p w14:paraId="4A369669" w14:textId="77777777" w:rsidR="00DE0FBF" w:rsidRPr="00DE0FBF" w:rsidRDefault="00DE0FBF" w:rsidP="00DE0FBF">
            <w:pPr>
              <w:spacing w:line="259" w:lineRule="auto"/>
              <w:ind w:right="40"/>
              <w:jc w:val="center"/>
              <w:rPr>
                <w:rFonts w:ascii="Times New Roman" w:eastAsia="Times New Roman" w:hAnsi="Times New Roman" w:cs="Times New Roman"/>
                <w:color w:val="000000"/>
              </w:rPr>
            </w:pPr>
            <w:r w:rsidRPr="00DE0FBF">
              <w:rPr>
                <w:rFonts w:ascii="Calibri" w:eastAsia="Calibri" w:hAnsi="Calibri" w:cs="Calibri"/>
                <w:color w:val="000000"/>
                <w:sz w:val="18"/>
              </w:rPr>
              <w:t xml:space="preserve">0,2 s </w:t>
            </w:r>
          </w:p>
        </w:tc>
        <w:tc>
          <w:tcPr>
            <w:tcW w:w="1430" w:type="dxa"/>
            <w:tcBorders>
              <w:top w:val="single" w:sz="4" w:space="0" w:color="000000"/>
              <w:left w:val="single" w:sz="4" w:space="0" w:color="000000"/>
              <w:bottom w:val="single" w:sz="4" w:space="0" w:color="000000"/>
              <w:right w:val="single" w:sz="4" w:space="0" w:color="000000"/>
            </w:tcBorders>
          </w:tcPr>
          <w:p w14:paraId="2B351FC0" w14:textId="77777777" w:rsidR="00DE0FBF" w:rsidRPr="00DE0FBF" w:rsidRDefault="00DE0FBF" w:rsidP="00DE0FBF">
            <w:pPr>
              <w:spacing w:line="259" w:lineRule="auto"/>
              <w:ind w:right="42"/>
              <w:jc w:val="center"/>
              <w:rPr>
                <w:rFonts w:ascii="Times New Roman" w:eastAsia="Times New Roman" w:hAnsi="Times New Roman" w:cs="Times New Roman"/>
                <w:color w:val="000000"/>
              </w:rPr>
            </w:pPr>
            <w:r w:rsidRPr="00DE0FBF">
              <w:rPr>
                <w:rFonts w:ascii="Calibri" w:eastAsia="Calibri" w:hAnsi="Calibri" w:cs="Calibri"/>
                <w:color w:val="000000"/>
                <w:sz w:val="18"/>
              </w:rPr>
              <w:t xml:space="preserve">0,1 s </w:t>
            </w:r>
          </w:p>
        </w:tc>
      </w:tr>
      <w:tr w:rsidR="00DE0FBF" w:rsidRPr="00DE0FBF" w14:paraId="39244E0F" w14:textId="77777777" w:rsidTr="00D40FBC">
        <w:trPr>
          <w:trHeight w:val="350"/>
        </w:trPr>
        <w:tc>
          <w:tcPr>
            <w:tcW w:w="494" w:type="dxa"/>
            <w:vMerge w:val="restart"/>
            <w:tcBorders>
              <w:top w:val="single" w:sz="4" w:space="0" w:color="000000"/>
              <w:left w:val="single" w:sz="4" w:space="0" w:color="000000"/>
              <w:bottom w:val="single" w:sz="4" w:space="0" w:color="000000"/>
              <w:right w:val="single" w:sz="4" w:space="0" w:color="000000"/>
            </w:tcBorders>
            <w:vAlign w:val="center"/>
          </w:tcPr>
          <w:p w14:paraId="68753A91" w14:textId="77777777" w:rsidR="00DE0FBF" w:rsidRPr="00DE0FBF" w:rsidRDefault="00DE0FBF" w:rsidP="00DE0FBF">
            <w:pPr>
              <w:spacing w:line="259" w:lineRule="auto"/>
              <w:rPr>
                <w:rFonts w:ascii="Times New Roman" w:eastAsia="Times New Roman" w:hAnsi="Times New Roman" w:cs="Times New Roman"/>
                <w:color w:val="000000"/>
              </w:rPr>
            </w:pPr>
            <w:r w:rsidRPr="00DE0FBF">
              <w:rPr>
                <w:rFonts w:ascii="Calibri" w:eastAsia="Calibri" w:hAnsi="Calibri" w:cs="Calibri"/>
                <w:color w:val="000000"/>
                <w:sz w:val="18"/>
              </w:rPr>
              <w:t>U</w:t>
            </w:r>
            <w:r w:rsidRPr="00DE0FBF">
              <w:rPr>
                <w:rFonts w:ascii="Calibri" w:eastAsia="Calibri" w:hAnsi="Calibri" w:cs="Calibri"/>
                <w:color w:val="000000"/>
                <w:sz w:val="18"/>
                <w:vertAlign w:val="subscript"/>
              </w:rPr>
              <w:t>LL</w:t>
            </w:r>
            <w:r w:rsidRPr="00DE0FBF">
              <w:rPr>
                <w:rFonts w:ascii="Calibri" w:eastAsia="Calibri" w:hAnsi="Calibri" w:cs="Calibri"/>
                <w:color w:val="000000"/>
                <w:sz w:val="18"/>
              </w:rPr>
              <w:t xml:space="preserve"> </w:t>
            </w:r>
          </w:p>
        </w:tc>
        <w:tc>
          <w:tcPr>
            <w:tcW w:w="2268" w:type="dxa"/>
            <w:gridSpan w:val="2"/>
            <w:tcBorders>
              <w:top w:val="single" w:sz="4" w:space="0" w:color="000000"/>
              <w:left w:val="single" w:sz="4" w:space="0" w:color="000000"/>
              <w:bottom w:val="single" w:sz="4" w:space="0" w:color="000000"/>
              <w:right w:val="single" w:sz="4" w:space="0" w:color="000000"/>
            </w:tcBorders>
          </w:tcPr>
          <w:p w14:paraId="7454AF5A" w14:textId="77777777" w:rsidR="00DE0FBF" w:rsidRPr="00DE0FBF" w:rsidRDefault="00DE0FBF" w:rsidP="00DE0FBF">
            <w:pPr>
              <w:spacing w:line="259" w:lineRule="auto"/>
              <w:ind w:left="2"/>
              <w:rPr>
                <w:rFonts w:ascii="Times New Roman" w:eastAsia="Times New Roman" w:hAnsi="Times New Roman" w:cs="Times New Roman"/>
                <w:color w:val="000000"/>
              </w:rPr>
            </w:pPr>
            <w:r w:rsidRPr="00DE0FBF">
              <w:rPr>
                <w:rFonts w:ascii="Calibri" w:eastAsia="Calibri" w:hAnsi="Calibri" w:cs="Calibri"/>
                <w:color w:val="000000"/>
                <w:sz w:val="18"/>
              </w:rPr>
              <w:t xml:space="preserve">Obniżenie napięcia </w:t>
            </w:r>
          </w:p>
        </w:tc>
        <w:tc>
          <w:tcPr>
            <w:tcW w:w="994" w:type="dxa"/>
            <w:tcBorders>
              <w:top w:val="single" w:sz="4" w:space="0" w:color="000000"/>
              <w:left w:val="single" w:sz="4" w:space="0" w:color="000000"/>
              <w:bottom w:val="single" w:sz="4" w:space="0" w:color="000000"/>
              <w:right w:val="single" w:sz="4" w:space="0" w:color="000000"/>
            </w:tcBorders>
          </w:tcPr>
          <w:p w14:paraId="6FD8185D" w14:textId="77777777" w:rsidR="00DE0FBF" w:rsidRPr="00DE0FBF" w:rsidRDefault="00DE0FBF" w:rsidP="00DE0FBF">
            <w:pPr>
              <w:spacing w:line="259" w:lineRule="auto"/>
              <w:ind w:right="37"/>
              <w:jc w:val="center"/>
              <w:rPr>
                <w:rFonts w:ascii="Times New Roman" w:eastAsia="Times New Roman" w:hAnsi="Times New Roman" w:cs="Times New Roman"/>
                <w:color w:val="000000"/>
              </w:rPr>
            </w:pPr>
            <w:r w:rsidRPr="00DE0FBF">
              <w:rPr>
                <w:rFonts w:ascii="Calibri" w:eastAsia="Calibri" w:hAnsi="Calibri" w:cs="Calibri"/>
                <w:color w:val="000000"/>
                <w:sz w:val="18"/>
              </w:rPr>
              <w:t xml:space="preserve">0,85 </w:t>
            </w:r>
            <w:proofErr w:type="spellStart"/>
            <w:r w:rsidRPr="00DE0FBF">
              <w:rPr>
                <w:rFonts w:ascii="Calibri" w:eastAsia="Calibri" w:hAnsi="Calibri" w:cs="Calibri"/>
                <w:color w:val="000000"/>
                <w:sz w:val="18"/>
              </w:rPr>
              <w:t>Un</w:t>
            </w:r>
            <w:proofErr w:type="spellEnd"/>
            <w:r w:rsidRPr="00DE0FBF">
              <w:rPr>
                <w:rFonts w:ascii="Calibri" w:eastAsia="Calibri" w:hAnsi="Calibri" w:cs="Calibri"/>
                <w:color w:val="000000"/>
                <w:sz w:val="18"/>
              </w:rPr>
              <w:t xml:space="preserve"> </w:t>
            </w:r>
          </w:p>
        </w:tc>
        <w:tc>
          <w:tcPr>
            <w:tcW w:w="1085" w:type="dxa"/>
            <w:tcBorders>
              <w:top w:val="single" w:sz="4" w:space="0" w:color="000000"/>
              <w:left w:val="single" w:sz="4" w:space="0" w:color="000000"/>
              <w:bottom w:val="single" w:sz="4" w:space="0" w:color="000000"/>
              <w:right w:val="single" w:sz="4" w:space="0" w:color="000000"/>
            </w:tcBorders>
          </w:tcPr>
          <w:p w14:paraId="502B8D9D" w14:textId="77777777" w:rsidR="00DE0FBF" w:rsidRPr="00DE0FBF" w:rsidRDefault="00DE0FBF" w:rsidP="00DE0FBF">
            <w:pPr>
              <w:spacing w:line="259" w:lineRule="auto"/>
              <w:ind w:right="39"/>
              <w:jc w:val="center"/>
              <w:rPr>
                <w:rFonts w:ascii="Times New Roman" w:eastAsia="Times New Roman" w:hAnsi="Times New Roman" w:cs="Times New Roman"/>
                <w:color w:val="000000"/>
              </w:rPr>
            </w:pPr>
            <w:r w:rsidRPr="00DE0FBF">
              <w:rPr>
                <w:rFonts w:ascii="Calibri" w:eastAsia="Calibri" w:hAnsi="Calibri" w:cs="Calibri"/>
                <w:color w:val="000000"/>
                <w:sz w:val="18"/>
              </w:rPr>
              <w:t xml:space="preserve">340,0 V </w:t>
            </w:r>
          </w:p>
        </w:tc>
        <w:tc>
          <w:tcPr>
            <w:tcW w:w="1418" w:type="dxa"/>
            <w:tcBorders>
              <w:top w:val="single" w:sz="4" w:space="0" w:color="000000"/>
              <w:left w:val="single" w:sz="4" w:space="0" w:color="000000"/>
              <w:bottom w:val="single" w:sz="4" w:space="0" w:color="000000"/>
              <w:right w:val="single" w:sz="4" w:space="0" w:color="000000"/>
            </w:tcBorders>
          </w:tcPr>
          <w:p w14:paraId="31E4942E" w14:textId="77777777" w:rsidR="00DE0FBF" w:rsidRPr="00DE0FBF" w:rsidRDefault="00DE0FBF" w:rsidP="00DE0FBF">
            <w:pPr>
              <w:spacing w:line="259" w:lineRule="auto"/>
              <w:ind w:right="40"/>
              <w:jc w:val="center"/>
              <w:rPr>
                <w:rFonts w:ascii="Times New Roman" w:eastAsia="Times New Roman" w:hAnsi="Times New Roman" w:cs="Times New Roman"/>
                <w:color w:val="000000"/>
              </w:rPr>
            </w:pPr>
            <w:r w:rsidRPr="00DE0FBF">
              <w:rPr>
                <w:rFonts w:ascii="Calibri" w:eastAsia="Calibri" w:hAnsi="Calibri" w:cs="Calibri"/>
                <w:color w:val="000000"/>
                <w:sz w:val="18"/>
              </w:rPr>
              <w:t xml:space="preserve">1,5 s </w:t>
            </w:r>
          </w:p>
        </w:tc>
        <w:tc>
          <w:tcPr>
            <w:tcW w:w="1430" w:type="dxa"/>
            <w:tcBorders>
              <w:top w:val="single" w:sz="4" w:space="0" w:color="000000"/>
              <w:left w:val="single" w:sz="4" w:space="0" w:color="000000"/>
              <w:bottom w:val="single" w:sz="4" w:space="0" w:color="000000"/>
              <w:right w:val="single" w:sz="4" w:space="0" w:color="000000"/>
            </w:tcBorders>
          </w:tcPr>
          <w:p w14:paraId="291581E1" w14:textId="77777777" w:rsidR="00DE0FBF" w:rsidRPr="00DE0FBF" w:rsidRDefault="00DE0FBF" w:rsidP="00DE0FBF">
            <w:pPr>
              <w:spacing w:line="259" w:lineRule="auto"/>
              <w:ind w:right="42"/>
              <w:jc w:val="center"/>
              <w:rPr>
                <w:rFonts w:ascii="Times New Roman" w:eastAsia="Times New Roman" w:hAnsi="Times New Roman" w:cs="Times New Roman"/>
                <w:color w:val="000000"/>
              </w:rPr>
            </w:pPr>
            <w:r w:rsidRPr="00DE0FBF">
              <w:rPr>
                <w:rFonts w:ascii="Calibri" w:eastAsia="Calibri" w:hAnsi="Calibri" w:cs="Calibri"/>
                <w:color w:val="000000"/>
                <w:sz w:val="18"/>
              </w:rPr>
              <w:t xml:space="preserve">1,2 s </w:t>
            </w:r>
          </w:p>
        </w:tc>
      </w:tr>
      <w:tr w:rsidR="00DE0FBF" w:rsidRPr="00DE0FBF" w14:paraId="0579C2EC" w14:textId="77777777" w:rsidTr="00D40FBC">
        <w:trPr>
          <w:trHeight w:val="350"/>
        </w:trPr>
        <w:tc>
          <w:tcPr>
            <w:tcW w:w="0" w:type="auto"/>
            <w:vMerge/>
            <w:tcBorders>
              <w:top w:val="nil"/>
              <w:left w:val="single" w:sz="4" w:space="0" w:color="000000"/>
              <w:bottom w:val="nil"/>
              <w:right w:val="single" w:sz="4" w:space="0" w:color="000000"/>
            </w:tcBorders>
          </w:tcPr>
          <w:p w14:paraId="40D36D91" w14:textId="77777777" w:rsidR="00DE0FBF" w:rsidRPr="00DE0FBF" w:rsidRDefault="00DE0FBF" w:rsidP="00DE0FBF">
            <w:pPr>
              <w:spacing w:after="160" w:line="259" w:lineRule="auto"/>
              <w:rPr>
                <w:rFonts w:ascii="Times New Roman" w:eastAsia="Times New Roman" w:hAnsi="Times New Roman" w:cs="Times New Roman"/>
                <w:color w:val="000000"/>
              </w:rPr>
            </w:pPr>
          </w:p>
        </w:tc>
        <w:tc>
          <w:tcPr>
            <w:tcW w:w="2268" w:type="dxa"/>
            <w:gridSpan w:val="2"/>
            <w:tcBorders>
              <w:top w:val="single" w:sz="4" w:space="0" w:color="000000"/>
              <w:left w:val="single" w:sz="4" w:space="0" w:color="000000"/>
              <w:bottom w:val="single" w:sz="4" w:space="0" w:color="000000"/>
              <w:right w:val="single" w:sz="4" w:space="0" w:color="000000"/>
            </w:tcBorders>
          </w:tcPr>
          <w:p w14:paraId="0A1F1E88" w14:textId="77777777" w:rsidR="00DE0FBF" w:rsidRPr="00DE0FBF" w:rsidRDefault="00DE0FBF" w:rsidP="00DE0FBF">
            <w:pPr>
              <w:spacing w:line="259" w:lineRule="auto"/>
              <w:ind w:left="2"/>
              <w:rPr>
                <w:rFonts w:ascii="Times New Roman" w:eastAsia="Times New Roman" w:hAnsi="Times New Roman" w:cs="Times New Roman"/>
                <w:color w:val="000000"/>
              </w:rPr>
            </w:pPr>
            <w:r w:rsidRPr="00DE0FBF">
              <w:rPr>
                <w:rFonts w:ascii="Calibri" w:eastAsia="Calibri" w:hAnsi="Calibri" w:cs="Calibri"/>
                <w:color w:val="000000"/>
                <w:sz w:val="18"/>
              </w:rPr>
              <w:t>Wzrost napięcia stopień 1</w:t>
            </w:r>
            <w:r w:rsidRPr="00DE0FBF">
              <w:rPr>
                <w:rFonts w:ascii="Calibri" w:eastAsia="Calibri" w:hAnsi="Calibri" w:cs="Calibri"/>
                <w:color w:val="000000"/>
                <w:sz w:val="18"/>
                <w:vertAlign w:val="superscript"/>
              </w:rPr>
              <w:t xml:space="preserve">1) </w:t>
            </w:r>
          </w:p>
        </w:tc>
        <w:tc>
          <w:tcPr>
            <w:tcW w:w="994" w:type="dxa"/>
            <w:tcBorders>
              <w:top w:val="single" w:sz="4" w:space="0" w:color="000000"/>
              <w:left w:val="single" w:sz="4" w:space="0" w:color="000000"/>
              <w:bottom w:val="single" w:sz="4" w:space="0" w:color="000000"/>
              <w:right w:val="single" w:sz="4" w:space="0" w:color="000000"/>
            </w:tcBorders>
          </w:tcPr>
          <w:p w14:paraId="66E30C7D" w14:textId="77777777" w:rsidR="00DE0FBF" w:rsidRPr="00DE0FBF" w:rsidRDefault="00DE0FBF" w:rsidP="00DE0FBF">
            <w:pPr>
              <w:spacing w:line="259" w:lineRule="auto"/>
              <w:ind w:right="37"/>
              <w:jc w:val="center"/>
              <w:rPr>
                <w:rFonts w:ascii="Times New Roman" w:eastAsia="Times New Roman" w:hAnsi="Times New Roman" w:cs="Times New Roman"/>
                <w:color w:val="000000"/>
              </w:rPr>
            </w:pPr>
            <w:r w:rsidRPr="00DE0FBF">
              <w:rPr>
                <w:rFonts w:ascii="Calibri" w:eastAsia="Calibri" w:hAnsi="Calibri" w:cs="Calibri"/>
                <w:color w:val="000000"/>
                <w:sz w:val="18"/>
              </w:rPr>
              <w:t xml:space="preserve">1,1 </w:t>
            </w:r>
            <w:proofErr w:type="spellStart"/>
            <w:r w:rsidRPr="00DE0FBF">
              <w:rPr>
                <w:rFonts w:ascii="Calibri" w:eastAsia="Calibri" w:hAnsi="Calibri" w:cs="Calibri"/>
                <w:color w:val="000000"/>
                <w:sz w:val="18"/>
              </w:rPr>
              <w:t>Un</w:t>
            </w:r>
            <w:proofErr w:type="spellEnd"/>
            <w:r w:rsidRPr="00DE0FBF">
              <w:rPr>
                <w:rFonts w:ascii="Calibri" w:eastAsia="Calibri" w:hAnsi="Calibri" w:cs="Calibri"/>
                <w:color w:val="000000"/>
                <w:sz w:val="18"/>
              </w:rPr>
              <w:t xml:space="preserve"> </w:t>
            </w:r>
          </w:p>
        </w:tc>
        <w:tc>
          <w:tcPr>
            <w:tcW w:w="1085" w:type="dxa"/>
            <w:tcBorders>
              <w:top w:val="single" w:sz="4" w:space="0" w:color="000000"/>
              <w:left w:val="single" w:sz="4" w:space="0" w:color="000000"/>
              <w:bottom w:val="single" w:sz="4" w:space="0" w:color="000000"/>
              <w:right w:val="single" w:sz="4" w:space="0" w:color="000000"/>
            </w:tcBorders>
          </w:tcPr>
          <w:p w14:paraId="2F630362" w14:textId="77777777" w:rsidR="00DE0FBF" w:rsidRPr="00DE0FBF" w:rsidRDefault="00DE0FBF" w:rsidP="00DE0FBF">
            <w:pPr>
              <w:spacing w:line="259" w:lineRule="auto"/>
              <w:ind w:right="39"/>
              <w:jc w:val="center"/>
              <w:rPr>
                <w:rFonts w:ascii="Times New Roman" w:eastAsia="Times New Roman" w:hAnsi="Times New Roman" w:cs="Times New Roman"/>
                <w:color w:val="000000"/>
              </w:rPr>
            </w:pPr>
            <w:r w:rsidRPr="00DE0FBF">
              <w:rPr>
                <w:rFonts w:ascii="Calibri" w:eastAsia="Calibri" w:hAnsi="Calibri" w:cs="Calibri"/>
                <w:color w:val="000000"/>
                <w:sz w:val="18"/>
              </w:rPr>
              <w:t xml:space="preserve">440,0 V </w:t>
            </w:r>
          </w:p>
        </w:tc>
        <w:tc>
          <w:tcPr>
            <w:tcW w:w="1418" w:type="dxa"/>
            <w:tcBorders>
              <w:top w:val="single" w:sz="4" w:space="0" w:color="000000"/>
              <w:left w:val="single" w:sz="4" w:space="0" w:color="000000"/>
              <w:bottom w:val="single" w:sz="4" w:space="0" w:color="000000"/>
              <w:right w:val="single" w:sz="4" w:space="0" w:color="000000"/>
            </w:tcBorders>
          </w:tcPr>
          <w:p w14:paraId="048596A1" w14:textId="77777777" w:rsidR="00DE0FBF" w:rsidRPr="00DE0FBF" w:rsidRDefault="00DE0FBF" w:rsidP="00DE0FBF">
            <w:pPr>
              <w:spacing w:line="259" w:lineRule="auto"/>
              <w:ind w:right="40"/>
              <w:jc w:val="center"/>
              <w:rPr>
                <w:rFonts w:ascii="Times New Roman" w:eastAsia="Times New Roman" w:hAnsi="Times New Roman" w:cs="Times New Roman"/>
                <w:color w:val="000000"/>
              </w:rPr>
            </w:pPr>
            <w:r w:rsidRPr="00DE0FBF">
              <w:rPr>
                <w:rFonts w:ascii="Calibri" w:eastAsia="Calibri" w:hAnsi="Calibri" w:cs="Calibri"/>
                <w:color w:val="000000"/>
                <w:sz w:val="18"/>
              </w:rPr>
              <w:t xml:space="preserve">3,0 s </w:t>
            </w:r>
          </w:p>
        </w:tc>
        <w:tc>
          <w:tcPr>
            <w:tcW w:w="1430" w:type="dxa"/>
            <w:tcBorders>
              <w:top w:val="single" w:sz="4" w:space="0" w:color="000000"/>
              <w:left w:val="single" w:sz="4" w:space="0" w:color="000000"/>
              <w:bottom w:val="single" w:sz="4" w:space="0" w:color="000000"/>
              <w:right w:val="single" w:sz="4" w:space="0" w:color="000000"/>
            </w:tcBorders>
          </w:tcPr>
          <w:p w14:paraId="13F051AB" w14:textId="77777777" w:rsidR="00DE0FBF" w:rsidRPr="00DE0FBF" w:rsidRDefault="00DE0FBF" w:rsidP="00DE0FBF">
            <w:pPr>
              <w:spacing w:line="259" w:lineRule="auto"/>
              <w:ind w:right="43"/>
              <w:jc w:val="center"/>
              <w:rPr>
                <w:rFonts w:ascii="Times New Roman" w:eastAsia="Times New Roman" w:hAnsi="Times New Roman" w:cs="Times New Roman"/>
                <w:color w:val="000000"/>
              </w:rPr>
            </w:pPr>
            <w:r w:rsidRPr="00DE0FBF">
              <w:rPr>
                <w:rFonts w:ascii="Calibri" w:eastAsia="Calibri" w:hAnsi="Calibri" w:cs="Calibri"/>
                <w:color w:val="000000"/>
                <w:sz w:val="18"/>
              </w:rPr>
              <w:t xml:space="preserve">- </w:t>
            </w:r>
          </w:p>
        </w:tc>
      </w:tr>
      <w:tr w:rsidR="00DE0FBF" w:rsidRPr="00DE0FBF" w14:paraId="43C22193" w14:textId="77777777" w:rsidTr="00D40FBC">
        <w:trPr>
          <w:trHeight w:val="350"/>
        </w:trPr>
        <w:tc>
          <w:tcPr>
            <w:tcW w:w="0" w:type="auto"/>
            <w:vMerge/>
            <w:tcBorders>
              <w:top w:val="nil"/>
              <w:left w:val="single" w:sz="4" w:space="0" w:color="000000"/>
              <w:bottom w:val="single" w:sz="4" w:space="0" w:color="000000"/>
              <w:right w:val="single" w:sz="4" w:space="0" w:color="000000"/>
            </w:tcBorders>
          </w:tcPr>
          <w:p w14:paraId="2B379B3F" w14:textId="77777777" w:rsidR="00DE0FBF" w:rsidRPr="00DE0FBF" w:rsidRDefault="00DE0FBF" w:rsidP="00DE0FBF">
            <w:pPr>
              <w:spacing w:after="160" w:line="259" w:lineRule="auto"/>
              <w:rPr>
                <w:rFonts w:ascii="Times New Roman" w:eastAsia="Times New Roman" w:hAnsi="Times New Roman" w:cs="Times New Roman"/>
                <w:color w:val="000000"/>
              </w:rPr>
            </w:pPr>
          </w:p>
        </w:tc>
        <w:tc>
          <w:tcPr>
            <w:tcW w:w="2268" w:type="dxa"/>
            <w:gridSpan w:val="2"/>
            <w:tcBorders>
              <w:top w:val="single" w:sz="4" w:space="0" w:color="000000"/>
              <w:left w:val="single" w:sz="4" w:space="0" w:color="000000"/>
              <w:bottom w:val="single" w:sz="4" w:space="0" w:color="000000"/>
              <w:right w:val="single" w:sz="4" w:space="0" w:color="000000"/>
            </w:tcBorders>
          </w:tcPr>
          <w:p w14:paraId="0F4B8C9E" w14:textId="77777777" w:rsidR="00DE0FBF" w:rsidRPr="00DE0FBF" w:rsidRDefault="00DE0FBF" w:rsidP="00DE0FBF">
            <w:pPr>
              <w:spacing w:line="259" w:lineRule="auto"/>
              <w:ind w:left="2"/>
              <w:rPr>
                <w:rFonts w:ascii="Times New Roman" w:eastAsia="Times New Roman" w:hAnsi="Times New Roman" w:cs="Times New Roman"/>
                <w:color w:val="000000"/>
              </w:rPr>
            </w:pPr>
            <w:r w:rsidRPr="00DE0FBF">
              <w:rPr>
                <w:rFonts w:ascii="Calibri" w:eastAsia="Calibri" w:hAnsi="Calibri" w:cs="Calibri"/>
                <w:color w:val="000000"/>
                <w:sz w:val="18"/>
              </w:rPr>
              <w:t xml:space="preserve">Wzrost napięcia stopień 2 </w:t>
            </w:r>
          </w:p>
        </w:tc>
        <w:tc>
          <w:tcPr>
            <w:tcW w:w="994" w:type="dxa"/>
            <w:tcBorders>
              <w:top w:val="single" w:sz="4" w:space="0" w:color="000000"/>
              <w:left w:val="single" w:sz="4" w:space="0" w:color="000000"/>
              <w:bottom w:val="single" w:sz="4" w:space="0" w:color="000000"/>
              <w:right w:val="single" w:sz="4" w:space="0" w:color="000000"/>
            </w:tcBorders>
          </w:tcPr>
          <w:p w14:paraId="605E3CDF" w14:textId="77777777" w:rsidR="00DE0FBF" w:rsidRPr="00DE0FBF" w:rsidRDefault="00DE0FBF" w:rsidP="00DE0FBF">
            <w:pPr>
              <w:spacing w:line="259" w:lineRule="auto"/>
              <w:ind w:right="37"/>
              <w:jc w:val="center"/>
              <w:rPr>
                <w:rFonts w:ascii="Times New Roman" w:eastAsia="Times New Roman" w:hAnsi="Times New Roman" w:cs="Times New Roman"/>
                <w:color w:val="000000"/>
              </w:rPr>
            </w:pPr>
            <w:r w:rsidRPr="00DE0FBF">
              <w:rPr>
                <w:rFonts w:ascii="Calibri" w:eastAsia="Calibri" w:hAnsi="Calibri" w:cs="Calibri"/>
                <w:color w:val="000000"/>
                <w:sz w:val="18"/>
              </w:rPr>
              <w:t xml:space="preserve">1,15 </w:t>
            </w:r>
            <w:proofErr w:type="spellStart"/>
            <w:r w:rsidRPr="00DE0FBF">
              <w:rPr>
                <w:rFonts w:ascii="Calibri" w:eastAsia="Calibri" w:hAnsi="Calibri" w:cs="Calibri"/>
                <w:color w:val="000000"/>
                <w:sz w:val="18"/>
              </w:rPr>
              <w:t>Un</w:t>
            </w:r>
            <w:proofErr w:type="spellEnd"/>
            <w:r w:rsidRPr="00DE0FBF">
              <w:rPr>
                <w:rFonts w:ascii="Calibri" w:eastAsia="Calibri" w:hAnsi="Calibri" w:cs="Calibri"/>
                <w:color w:val="000000"/>
                <w:sz w:val="18"/>
              </w:rPr>
              <w:t xml:space="preserve"> </w:t>
            </w:r>
          </w:p>
        </w:tc>
        <w:tc>
          <w:tcPr>
            <w:tcW w:w="1085" w:type="dxa"/>
            <w:tcBorders>
              <w:top w:val="single" w:sz="4" w:space="0" w:color="000000"/>
              <w:left w:val="single" w:sz="4" w:space="0" w:color="000000"/>
              <w:bottom w:val="single" w:sz="4" w:space="0" w:color="000000"/>
              <w:right w:val="single" w:sz="4" w:space="0" w:color="000000"/>
            </w:tcBorders>
          </w:tcPr>
          <w:p w14:paraId="1A522F0D" w14:textId="77777777" w:rsidR="00DE0FBF" w:rsidRPr="00DE0FBF" w:rsidRDefault="00DE0FBF" w:rsidP="00DE0FBF">
            <w:pPr>
              <w:spacing w:line="259" w:lineRule="auto"/>
              <w:ind w:right="39"/>
              <w:jc w:val="center"/>
              <w:rPr>
                <w:rFonts w:ascii="Times New Roman" w:eastAsia="Times New Roman" w:hAnsi="Times New Roman" w:cs="Times New Roman"/>
                <w:color w:val="000000"/>
              </w:rPr>
            </w:pPr>
            <w:r w:rsidRPr="00DE0FBF">
              <w:rPr>
                <w:rFonts w:ascii="Calibri" w:eastAsia="Calibri" w:hAnsi="Calibri" w:cs="Calibri"/>
                <w:color w:val="000000"/>
                <w:sz w:val="18"/>
              </w:rPr>
              <w:t xml:space="preserve">460,0 V </w:t>
            </w:r>
          </w:p>
        </w:tc>
        <w:tc>
          <w:tcPr>
            <w:tcW w:w="1418" w:type="dxa"/>
            <w:tcBorders>
              <w:top w:val="single" w:sz="4" w:space="0" w:color="000000"/>
              <w:left w:val="single" w:sz="4" w:space="0" w:color="000000"/>
              <w:bottom w:val="single" w:sz="4" w:space="0" w:color="000000"/>
              <w:right w:val="single" w:sz="4" w:space="0" w:color="000000"/>
            </w:tcBorders>
          </w:tcPr>
          <w:p w14:paraId="5DE3B8BF" w14:textId="77777777" w:rsidR="00DE0FBF" w:rsidRPr="00DE0FBF" w:rsidRDefault="00DE0FBF" w:rsidP="00DE0FBF">
            <w:pPr>
              <w:spacing w:line="259" w:lineRule="auto"/>
              <w:ind w:right="40"/>
              <w:jc w:val="center"/>
              <w:rPr>
                <w:rFonts w:ascii="Times New Roman" w:eastAsia="Times New Roman" w:hAnsi="Times New Roman" w:cs="Times New Roman"/>
                <w:color w:val="000000"/>
              </w:rPr>
            </w:pPr>
            <w:r w:rsidRPr="00DE0FBF">
              <w:rPr>
                <w:rFonts w:ascii="Calibri" w:eastAsia="Calibri" w:hAnsi="Calibri" w:cs="Calibri"/>
                <w:color w:val="000000"/>
                <w:sz w:val="18"/>
              </w:rPr>
              <w:t xml:space="preserve">0,2 s </w:t>
            </w:r>
          </w:p>
        </w:tc>
        <w:tc>
          <w:tcPr>
            <w:tcW w:w="1430" w:type="dxa"/>
            <w:tcBorders>
              <w:top w:val="single" w:sz="4" w:space="0" w:color="000000"/>
              <w:left w:val="single" w:sz="4" w:space="0" w:color="000000"/>
              <w:bottom w:val="single" w:sz="4" w:space="0" w:color="000000"/>
              <w:right w:val="single" w:sz="4" w:space="0" w:color="000000"/>
            </w:tcBorders>
          </w:tcPr>
          <w:p w14:paraId="04336BFB" w14:textId="77777777" w:rsidR="00DE0FBF" w:rsidRPr="00DE0FBF" w:rsidRDefault="00DE0FBF" w:rsidP="00DE0FBF">
            <w:pPr>
              <w:spacing w:line="259" w:lineRule="auto"/>
              <w:ind w:right="42"/>
              <w:jc w:val="center"/>
              <w:rPr>
                <w:rFonts w:ascii="Times New Roman" w:eastAsia="Times New Roman" w:hAnsi="Times New Roman" w:cs="Times New Roman"/>
                <w:color w:val="000000"/>
              </w:rPr>
            </w:pPr>
            <w:r w:rsidRPr="00DE0FBF">
              <w:rPr>
                <w:rFonts w:ascii="Calibri" w:eastAsia="Calibri" w:hAnsi="Calibri" w:cs="Calibri"/>
                <w:color w:val="000000"/>
                <w:sz w:val="18"/>
              </w:rPr>
              <w:t xml:space="preserve">0,1 s </w:t>
            </w:r>
          </w:p>
        </w:tc>
      </w:tr>
      <w:tr w:rsidR="00DE0FBF" w:rsidRPr="00DE0FBF" w14:paraId="55E70E0D" w14:textId="77777777" w:rsidTr="00D40FBC">
        <w:trPr>
          <w:trHeight w:val="350"/>
        </w:trPr>
        <w:tc>
          <w:tcPr>
            <w:tcW w:w="2762" w:type="dxa"/>
            <w:gridSpan w:val="3"/>
            <w:tcBorders>
              <w:top w:val="single" w:sz="4" w:space="0" w:color="000000"/>
              <w:left w:val="single" w:sz="4" w:space="0" w:color="000000"/>
              <w:bottom w:val="single" w:sz="4" w:space="0" w:color="000000"/>
              <w:right w:val="single" w:sz="4" w:space="0" w:color="000000"/>
            </w:tcBorders>
          </w:tcPr>
          <w:p w14:paraId="098ED062" w14:textId="77777777" w:rsidR="00DE0FBF" w:rsidRPr="00DE0FBF" w:rsidRDefault="00DE0FBF" w:rsidP="00DE0FBF">
            <w:pPr>
              <w:spacing w:line="259" w:lineRule="auto"/>
              <w:rPr>
                <w:rFonts w:ascii="Times New Roman" w:eastAsia="Times New Roman" w:hAnsi="Times New Roman" w:cs="Times New Roman"/>
                <w:color w:val="000000"/>
              </w:rPr>
            </w:pPr>
            <w:r w:rsidRPr="00DE0FBF">
              <w:rPr>
                <w:rFonts w:ascii="Calibri" w:eastAsia="Calibri" w:hAnsi="Calibri" w:cs="Calibri"/>
                <w:color w:val="000000"/>
                <w:sz w:val="18"/>
              </w:rPr>
              <w:t xml:space="preserve">Obniżenie częstotliwości </w:t>
            </w:r>
          </w:p>
        </w:tc>
        <w:tc>
          <w:tcPr>
            <w:tcW w:w="2078" w:type="dxa"/>
            <w:gridSpan w:val="2"/>
            <w:tcBorders>
              <w:top w:val="single" w:sz="4" w:space="0" w:color="000000"/>
              <w:left w:val="single" w:sz="4" w:space="0" w:color="000000"/>
              <w:bottom w:val="single" w:sz="4" w:space="0" w:color="000000"/>
              <w:right w:val="single" w:sz="4" w:space="0" w:color="000000"/>
            </w:tcBorders>
          </w:tcPr>
          <w:p w14:paraId="46DCFA1F" w14:textId="77777777" w:rsidR="00DE0FBF" w:rsidRPr="00DE0FBF" w:rsidRDefault="00DE0FBF" w:rsidP="00DE0FBF">
            <w:pPr>
              <w:spacing w:line="259" w:lineRule="auto"/>
              <w:ind w:right="34"/>
              <w:jc w:val="center"/>
              <w:rPr>
                <w:rFonts w:ascii="Times New Roman" w:eastAsia="Times New Roman" w:hAnsi="Times New Roman" w:cs="Times New Roman"/>
                <w:color w:val="000000"/>
              </w:rPr>
            </w:pPr>
            <w:r w:rsidRPr="00DE0FBF">
              <w:rPr>
                <w:rFonts w:ascii="Calibri" w:eastAsia="Calibri" w:hAnsi="Calibri" w:cs="Calibri"/>
                <w:color w:val="000000"/>
                <w:sz w:val="18"/>
              </w:rPr>
              <w:t xml:space="preserve">47,5 </w:t>
            </w:r>
            <w:proofErr w:type="spellStart"/>
            <w:r w:rsidRPr="00DE0FBF">
              <w:rPr>
                <w:rFonts w:ascii="Calibri" w:eastAsia="Calibri" w:hAnsi="Calibri" w:cs="Calibri"/>
                <w:color w:val="000000"/>
                <w:sz w:val="18"/>
              </w:rPr>
              <w:t>Hz</w:t>
            </w:r>
            <w:proofErr w:type="spellEnd"/>
            <w:r w:rsidRPr="00DE0FBF">
              <w:rPr>
                <w:rFonts w:ascii="Calibri" w:eastAsia="Calibri" w:hAnsi="Calibri" w:cs="Calibri"/>
                <w:color w:val="000000"/>
                <w:sz w:val="18"/>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26744BC8" w14:textId="77777777" w:rsidR="00DE0FBF" w:rsidRPr="00DE0FBF" w:rsidRDefault="00DE0FBF" w:rsidP="00DE0FBF">
            <w:pPr>
              <w:spacing w:line="259" w:lineRule="auto"/>
              <w:ind w:right="40"/>
              <w:jc w:val="center"/>
              <w:rPr>
                <w:rFonts w:ascii="Times New Roman" w:eastAsia="Times New Roman" w:hAnsi="Times New Roman" w:cs="Times New Roman"/>
                <w:color w:val="000000"/>
              </w:rPr>
            </w:pPr>
            <w:r w:rsidRPr="00DE0FBF">
              <w:rPr>
                <w:rFonts w:ascii="Calibri" w:eastAsia="Calibri" w:hAnsi="Calibri" w:cs="Calibri"/>
                <w:color w:val="000000"/>
                <w:sz w:val="18"/>
              </w:rPr>
              <w:t xml:space="preserve">0,5 s </w:t>
            </w:r>
          </w:p>
        </w:tc>
        <w:tc>
          <w:tcPr>
            <w:tcW w:w="1430" w:type="dxa"/>
            <w:tcBorders>
              <w:top w:val="single" w:sz="4" w:space="0" w:color="000000"/>
              <w:left w:val="single" w:sz="4" w:space="0" w:color="000000"/>
              <w:bottom w:val="single" w:sz="4" w:space="0" w:color="000000"/>
              <w:right w:val="single" w:sz="4" w:space="0" w:color="000000"/>
            </w:tcBorders>
          </w:tcPr>
          <w:p w14:paraId="568C0D4C" w14:textId="77777777" w:rsidR="00DE0FBF" w:rsidRPr="00DE0FBF" w:rsidRDefault="00DE0FBF" w:rsidP="00DE0FBF">
            <w:pPr>
              <w:spacing w:line="259" w:lineRule="auto"/>
              <w:ind w:right="42"/>
              <w:jc w:val="center"/>
              <w:rPr>
                <w:rFonts w:ascii="Times New Roman" w:eastAsia="Times New Roman" w:hAnsi="Times New Roman" w:cs="Times New Roman"/>
                <w:color w:val="000000"/>
              </w:rPr>
            </w:pPr>
            <w:r w:rsidRPr="00DE0FBF">
              <w:rPr>
                <w:rFonts w:ascii="Calibri" w:eastAsia="Calibri" w:hAnsi="Calibri" w:cs="Calibri"/>
                <w:color w:val="000000"/>
                <w:sz w:val="18"/>
              </w:rPr>
              <w:t xml:space="preserve">0,3 s </w:t>
            </w:r>
          </w:p>
        </w:tc>
      </w:tr>
      <w:tr w:rsidR="00DE0FBF" w:rsidRPr="00DE0FBF" w14:paraId="4C28E4FF" w14:textId="77777777" w:rsidTr="00D40FBC">
        <w:trPr>
          <w:trHeight w:val="348"/>
        </w:trPr>
        <w:tc>
          <w:tcPr>
            <w:tcW w:w="2762" w:type="dxa"/>
            <w:gridSpan w:val="3"/>
            <w:tcBorders>
              <w:top w:val="single" w:sz="4" w:space="0" w:color="000000"/>
              <w:left w:val="single" w:sz="4" w:space="0" w:color="000000"/>
              <w:bottom w:val="single" w:sz="4" w:space="0" w:color="000000"/>
              <w:right w:val="single" w:sz="4" w:space="0" w:color="000000"/>
            </w:tcBorders>
          </w:tcPr>
          <w:p w14:paraId="1C12E2B7" w14:textId="77777777" w:rsidR="00DE0FBF" w:rsidRPr="00DE0FBF" w:rsidRDefault="00DE0FBF" w:rsidP="00DE0FBF">
            <w:pPr>
              <w:spacing w:line="259" w:lineRule="auto"/>
              <w:rPr>
                <w:rFonts w:ascii="Times New Roman" w:eastAsia="Times New Roman" w:hAnsi="Times New Roman" w:cs="Times New Roman"/>
                <w:color w:val="000000"/>
              </w:rPr>
            </w:pPr>
            <w:r w:rsidRPr="00DE0FBF">
              <w:rPr>
                <w:rFonts w:ascii="Calibri" w:eastAsia="Calibri" w:hAnsi="Calibri" w:cs="Calibri"/>
                <w:color w:val="000000"/>
                <w:sz w:val="18"/>
              </w:rPr>
              <w:t xml:space="preserve">Podwyższenie częstotliwości </w:t>
            </w:r>
          </w:p>
        </w:tc>
        <w:tc>
          <w:tcPr>
            <w:tcW w:w="2078" w:type="dxa"/>
            <w:gridSpan w:val="2"/>
            <w:tcBorders>
              <w:top w:val="single" w:sz="4" w:space="0" w:color="000000"/>
              <w:left w:val="single" w:sz="4" w:space="0" w:color="000000"/>
              <w:bottom w:val="single" w:sz="4" w:space="0" w:color="000000"/>
              <w:right w:val="single" w:sz="4" w:space="0" w:color="000000"/>
            </w:tcBorders>
          </w:tcPr>
          <w:p w14:paraId="1B903FBA" w14:textId="77777777" w:rsidR="00DE0FBF" w:rsidRPr="00DE0FBF" w:rsidRDefault="00DE0FBF" w:rsidP="00DE0FBF">
            <w:pPr>
              <w:spacing w:line="259" w:lineRule="auto"/>
              <w:ind w:right="37"/>
              <w:jc w:val="center"/>
              <w:rPr>
                <w:rFonts w:ascii="Times New Roman" w:eastAsia="Times New Roman" w:hAnsi="Times New Roman" w:cs="Times New Roman"/>
                <w:color w:val="000000"/>
              </w:rPr>
            </w:pPr>
            <w:r w:rsidRPr="00DE0FBF">
              <w:rPr>
                <w:rFonts w:ascii="Calibri" w:eastAsia="Calibri" w:hAnsi="Calibri" w:cs="Calibri"/>
                <w:color w:val="000000"/>
                <w:sz w:val="18"/>
              </w:rPr>
              <w:t xml:space="preserve">52 </w:t>
            </w:r>
            <w:proofErr w:type="spellStart"/>
            <w:r w:rsidRPr="00DE0FBF">
              <w:rPr>
                <w:rFonts w:ascii="Calibri" w:eastAsia="Calibri" w:hAnsi="Calibri" w:cs="Calibri"/>
                <w:color w:val="000000"/>
                <w:sz w:val="18"/>
              </w:rPr>
              <w:t>Hz</w:t>
            </w:r>
            <w:proofErr w:type="spellEnd"/>
            <w:r w:rsidRPr="00DE0FBF">
              <w:rPr>
                <w:rFonts w:ascii="Calibri" w:eastAsia="Calibri" w:hAnsi="Calibri" w:cs="Calibri"/>
                <w:color w:val="000000"/>
                <w:sz w:val="18"/>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07E993B9" w14:textId="77777777" w:rsidR="00DE0FBF" w:rsidRPr="00DE0FBF" w:rsidRDefault="00DE0FBF" w:rsidP="00DE0FBF">
            <w:pPr>
              <w:spacing w:line="259" w:lineRule="auto"/>
              <w:ind w:right="40"/>
              <w:jc w:val="center"/>
              <w:rPr>
                <w:rFonts w:ascii="Times New Roman" w:eastAsia="Times New Roman" w:hAnsi="Times New Roman" w:cs="Times New Roman"/>
                <w:color w:val="000000"/>
              </w:rPr>
            </w:pPr>
            <w:r w:rsidRPr="00DE0FBF">
              <w:rPr>
                <w:rFonts w:ascii="Calibri" w:eastAsia="Calibri" w:hAnsi="Calibri" w:cs="Calibri"/>
                <w:color w:val="000000"/>
                <w:sz w:val="18"/>
              </w:rPr>
              <w:t xml:space="preserve">0,5 s </w:t>
            </w:r>
          </w:p>
        </w:tc>
        <w:tc>
          <w:tcPr>
            <w:tcW w:w="1430" w:type="dxa"/>
            <w:tcBorders>
              <w:top w:val="single" w:sz="4" w:space="0" w:color="000000"/>
              <w:left w:val="single" w:sz="4" w:space="0" w:color="000000"/>
              <w:bottom w:val="single" w:sz="4" w:space="0" w:color="000000"/>
              <w:right w:val="single" w:sz="4" w:space="0" w:color="000000"/>
            </w:tcBorders>
          </w:tcPr>
          <w:p w14:paraId="26D4C8D2" w14:textId="77777777" w:rsidR="00DE0FBF" w:rsidRPr="00DE0FBF" w:rsidRDefault="00DE0FBF" w:rsidP="00DE0FBF">
            <w:pPr>
              <w:spacing w:line="259" w:lineRule="auto"/>
              <w:ind w:right="42"/>
              <w:jc w:val="center"/>
              <w:rPr>
                <w:rFonts w:ascii="Times New Roman" w:eastAsia="Times New Roman" w:hAnsi="Times New Roman" w:cs="Times New Roman"/>
                <w:color w:val="000000"/>
              </w:rPr>
            </w:pPr>
            <w:r w:rsidRPr="00DE0FBF">
              <w:rPr>
                <w:rFonts w:ascii="Calibri" w:eastAsia="Calibri" w:hAnsi="Calibri" w:cs="Calibri"/>
                <w:color w:val="000000"/>
                <w:sz w:val="18"/>
              </w:rPr>
              <w:t xml:space="preserve">0,3 s </w:t>
            </w:r>
          </w:p>
        </w:tc>
      </w:tr>
      <w:tr w:rsidR="00DE0FBF" w:rsidRPr="00DE0FBF" w14:paraId="115799EA" w14:textId="77777777" w:rsidTr="00D40FBC">
        <w:trPr>
          <w:trHeight w:val="350"/>
        </w:trPr>
        <w:tc>
          <w:tcPr>
            <w:tcW w:w="1630" w:type="dxa"/>
            <w:gridSpan w:val="2"/>
            <w:vMerge w:val="restart"/>
            <w:tcBorders>
              <w:top w:val="single" w:sz="4" w:space="0" w:color="000000"/>
              <w:left w:val="single" w:sz="4" w:space="0" w:color="000000"/>
              <w:bottom w:val="single" w:sz="4" w:space="0" w:color="000000"/>
              <w:right w:val="single" w:sz="4" w:space="0" w:color="000000"/>
            </w:tcBorders>
            <w:vAlign w:val="center"/>
          </w:tcPr>
          <w:p w14:paraId="57E5FA21" w14:textId="77777777" w:rsidR="00DE0FBF" w:rsidRPr="00DE0FBF" w:rsidRDefault="00DE0FBF" w:rsidP="00DE0FBF">
            <w:pPr>
              <w:spacing w:line="259" w:lineRule="auto"/>
              <w:rPr>
                <w:rFonts w:ascii="Times New Roman" w:eastAsia="Times New Roman" w:hAnsi="Times New Roman" w:cs="Times New Roman"/>
                <w:color w:val="000000"/>
              </w:rPr>
            </w:pPr>
            <w:r w:rsidRPr="00DE0FBF">
              <w:rPr>
                <w:rFonts w:ascii="Calibri" w:eastAsia="Calibri" w:hAnsi="Calibri" w:cs="Calibri"/>
                <w:color w:val="000000"/>
                <w:sz w:val="18"/>
              </w:rPr>
              <w:t xml:space="preserve">Zabezpieczenie od pracy wyspowej </w:t>
            </w:r>
          </w:p>
        </w:tc>
        <w:tc>
          <w:tcPr>
            <w:tcW w:w="1133" w:type="dxa"/>
            <w:tcBorders>
              <w:top w:val="single" w:sz="4" w:space="0" w:color="000000"/>
              <w:left w:val="single" w:sz="4" w:space="0" w:color="000000"/>
              <w:bottom w:val="single" w:sz="4" w:space="0" w:color="000000"/>
              <w:right w:val="single" w:sz="4" w:space="0" w:color="000000"/>
            </w:tcBorders>
          </w:tcPr>
          <w:p w14:paraId="2CB9A89E" w14:textId="77777777" w:rsidR="00DE0FBF" w:rsidRPr="00DE0FBF" w:rsidRDefault="00DE0FBF" w:rsidP="00DE0FBF">
            <w:pPr>
              <w:spacing w:line="259" w:lineRule="auto"/>
              <w:rPr>
                <w:rFonts w:ascii="Times New Roman" w:eastAsia="Times New Roman" w:hAnsi="Times New Roman" w:cs="Times New Roman"/>
                <w:color w:val="000000"/>
              </w:rPr>
            </w:pPr>
            <w:r w:rsidRPr="00DE0FBF">
              <w:rPr>
                <w:rFonts w:ascii="Calibri" w:eastAsia="Calibri" w:hAnsi="Calibri" w:cs="Calibri"/>
                <w:color w:val="000000"/>
                <w:sz w:val="18"/>
              </w:rPr>
              <w:t xml:space="preserve">ROCOF </w:t>
            </w:r>
          </w:p>
        </w:tc>
        <w:tc>
          <w:tcPr>
            <w:tcW w:w="2078" w:type="dxa"/>
            <w:gridSpan w:val="2"/>
            <w:tcBorders>
              <w:top w:val="single" w:sz="4" w:space="0" w:color="000000"/>
              <w:left w:val="single" w:sz="4" w:space="0" w:color="000000"/>
              <w:bottom w:val="single" w:sz="4" w:space="0" w:color="000000"/>
              <w:right w:val="single" w:sz="4" w:space="0" w:color="000000"/>
            </w:tcBorders>
          </w:tcPr>
          <w:p w14:paraId="69868D10" w14:textId="77777777" w:rsidR="00DE0FBF" w:rsidRPr="00DE0FBF" w:rsidRDefault="00DE0FBF" w:rsidP="00DE0FBF">
            <w:pPr>
              <w:spacing w:line="259" w:lineRule="auto"/>
              <w:ind w:right="33"/>
              <w:jc w:val="center"/>
              <w:rPr>
                <w:rFonts w:ascii="Times New Roman" w:eastAsia="Times New Roman" w:hAnsi="Times New Roman" w:cs="Times New Roman"/>
                <w:color w:val="000000"/>
              </w:rPr>
            </w:pPr>
            <w:r w:rsidRPr="00DE0FBF">
              <w:rPr>
                <w:rFonts w:ascii="Calibri" w:eastAsia="Calibri" w:hAnsi="Calibri" w:cs="Calibri"/>
                <w:color w:val="000000"/>
                <w:sz w:val="18"/>
              </w:rPr>
              <w:t xml:space="preserve">2,5 </w:t>
            </w:r>
            <w:proofErr w:type="spellStart"/>
            <w:r w:rsidRPr="00DE0FBF">
              <w:rPr>
                <w:rFonts w:ascii="Calibri" w:eastAsia="Calibri" w:hAnsi="Calibri" w:cs="Calibri"/>
                <w:color w:val="000000"/>
                <w:sz w:val="18"/>
              </w:rPr>
              <w:t>Hz</w:t>
            </w:r>
            <w:proofErr w:type="spellEnd"/>
            <w:r w:rsidRPr="00DE0FBF">
              <w:rPr>
                <w:rFonts w:ascii="Calibri" w:eastAsia="Calibri" w:hAnsi="Calibri" w:cs="Calibri"/>
                <w:color w:val="000000"/>
                <w:sz w:val="18"/>
              </w:rPr>
              <w:t xml:space="preserve">/s </w:t>
            </w:r>
          </w:p>
        </w:tc>
        <w:tc>
          <w:tcPr>
            <w:tcW w:w="1418" w:type="dxa"/>
            <w:tcBorders>
              <w:top w:val="single" w:sz="4" w:space="0" w:color="000000"/>
              <w:left w:val="single" w:sz="4" w:space="0" w:color="000000"/>
              <w:bottom w:val="single" w:sz="4" w:space="0" w:color="000000"/>
              <w:right w:val="single" w:sz="4" w:space="0" w:color="000000"/>
            </w:tcBorders>
          </w:tcPr>
          <w:p w14:paraId="69DE8C95" w14:textId="77777777" w:rsidR="00DE0FBF" w:rsidRPr="00DE0FBF" w:rsidRDefault="00DE0FBF" w:rsidP="00DE0FBF">
            <w:pPr>
              <w:spacing w:line="259" w:lineRule="auto"/>
              <w:ind w:right="40"/>
              <w:jc w:val="center"/>
              <w:rPr>
                <w:rFonts w:ascii="Times New Roman" w:eastAsia="Times New Roman" w:hAnsi="Times New Roman" w:cs="Times New Roman"/>
                <w:color w:val="000000"/>
              </w:rPr>
            </w:pPr>
            <w:r w:rsidRPr="00DE0FBF">
              <w:rPr>
                <w:rFonts w:ascii="Calibri" w:eastAsia="Calibri" w:hAnsi="Calibri" w:cs="Calibri"/>
                <w:color w:val="000000"/>
                <w:sz w:val="18"/>
              </w:rPr>
              <w:t xml:space="preserve">0,5 s </w:t>
            </w:r>
          </w:p>
        </w:tc>
        <w:tc>
          <w:tcPr>
            <w:tcW w:w="1430" w:type="dxa"/>
            <w:tcBorders>
              <w:top w:val="single" w:sz="4" w:space="0" w:color="000000"/>
              <w:left w:val="single" w:sz="4" w:space="0" w:color="000000"/>
              <w:bottom w:val="single" w:sz="4" w:space="0" w:color="000000"/>
              <w:right w:val="single" w:sz="4" w:space="0" w:color="000000"/>
            </w:tcBorders>
          </w:tcPr>
          <w:p w14:paraId="19C40DF1" w14:textId="77777777" w:rsidR="00DE0FBF" w:rsidRPr="00DE0FBF" w:rsidRDefault="00DE0FBF" w:rsidP="00DE0FBF">
            <w:pPr>
              <w:spacing w:line="259" w:lineRule="auto"/>
              <w:ind w:right="43"/>
              <w:jc w:val="center"/>
              <w:rPr>
                <w:rFonts w:ascii="Times New Roman" w:eastAsia="Times New Roman" w:hAnsi="Times New Roman" w:cs="Times New Roman"/>
                <w:color w:val="000000"/>
              </w:rPr>
            </w:pPr>
            <w:r w:rsidRPr="00DE0FBF">
              <w:rPr>
                <w:rFonts w:ascii="Calibri" w:eastAsia="Calibri" w:hAnsi="Calibri" w:cs="Calibri"/>
                <w:color w:val="000000"/>
                <w:sz w:val="18"/>
              </w:rPr>
              <w:t xml:space="preserve">- </w:t>
            </w:r>
          </w:p>
        </w:tc>
      </w:tr>
      <w:tr w:rsidR="00DE0FBF" w:rsidRPr="00DE0FBF" w14:paraId="345753D3" w14:textId="77777777" w:rsidTr="00D40FBC">
        <w:trPr>
          <w:trHeight w:val="350"/>
        </w:trPr>
        <w:tc>
          <w:tcPr>
            <w:tcW w:w="0" w:type="auto"/>
            <w:gridSpan w:val="2"/>
            <w:vMerge/>
            <w:tcBorders>
              <w:top w:val="nil"/>
              <w:left w:val="single" w:sz="4" w:space="0" w:color="000000"/>
              <w:bottom w:val="single" w:sz="4" w:space="0" w:color="000000"/>
              <w:right w:val="single" w:sz="4" w:space="0" w:color="000000"/>
            </w:tcBorders>
          </w:tcPr>
          <w:p w14:paraId="68B864CC" w14:textId="77777777" w:rsidR="00DE0FBF" w:rsidRPr="00DE0FBF" w:rsidRDefault="00DE0FBF" w:rsidP="00DE0FBF">
            <w:pPr>
              <w:spacing w:after="160" w:line="259" w:lineRule="auto"/>
              <w:rPr>
                <w:rFonts w:ascii="Times New Roman" w:eastAsia="Times New Roman" w:hAnsi="Times New Roman" w:cs="Times New Roman"/>
                <w:color w:val="000000"/>
              </w:rPr>
            </w:pPr>
          </w:p>
        </w:tc>
        <w:tc>
          <w:tcPr>
            <w:tcW w:w="1133" w:type="dxa"/>
            <w:tcBorders>
              <w:top w:val="single" w:sz="4" w:space="0" w:color="000000"/>
              <w:left w:val="single" w:sz="4" w:space="0" w:color="000000"/>
              <w:bottom w:val="single" w:sz="4" w:space="0" w:color="000000"/>
              <w:right w:val="single" w:sz="4" w:space="0" w:color="000000"/>
            </w:tcBorders>
          </w:tcPr>
          <w:p w14:paraId="04FFC832" w14:textId="77777777" w:rsidR="00DE0FBF" w:rsidRPr="00DE0FBF" w:rsidRDefault="00DE0FBF" w:rsidP="00DE0FBF">
            <w:pPr>
              <w:spacing w:line="259" w:lineRule="auto"/>
              <w:rPr>
                <w:rFonts w:ascii="Times New Roman" w:eastAsia="Times New Roman" w:hAnsi="Times New Roman" w:cs="Times New Roman"/>
                <w:color w:val="000000"/>
              </w:rPr>
            </w:pPr>
            <w:r w:rsidRPr="00DE0FBF">
              <w:rPr>
                <w:rFonts w:ascii="Calibri" w:eastAsia="Calibri" w:hAnsi="Calibri" w:cs="Calibri"/>
                <w:color w:val="000000"/>
                <w:sz w:val="18"/>
              </w:rPr>
              <w:t xml:space="preserve">aktywne </w:t>
            </w:r>
          </w:p>
        </w:tc>
        <w:tc>
          <w:tcPr>
            <w:tcW w:w="2078" w:type="dxa"/>
            <w:gridSpan w:val="2"/>
            <w:tcBorders>
              <w:top w:val="single" w:sz="4" w:space="0" w:color="000000"/>
              <w:left w:val="single" w:sz="4" w:space="0" w:color="000000"/>
              <w:bottom w:val="single" w:sz="4" w:space="0" w:color="000000"/>
              <w:right w:val="single" w:sz="4" w:space="0" w:color="000000"/>
            </w:tcBorders>
          </w:tcPr>
          <w:p w14:paraId="63AFD0B9" w14:textId="77777777" w:rsidR="00DE0FBF" w:rsidRPr="00DE0FBF" w:rsidRDefault="00DE0FBF" w:rsidP="00DE0FBF">
            <w:pPr>
              <w:spacing w:line="259" w:lineRule="auto"/>
              <w:ind w:right="38"/>
              <w:jc w:val="center"/>
              <w:rPr>
                <w:rFonts w:ascii="Times New Roman" w:eastAsia="Times New Roman" w:hAnsi="Times New Roman" w:cs="Times New Roman"/>
                <w:color w:val="000000"/>
              </w:rPr>
            </w:pPr>
            <w:r w:rsidRPr="00DE0FBF">
              <w:rPr>
                <w:rFonts w:ascii="Calibri" w:eastAsia="Calibri" w:hAnsi="Calibri" w:cs="Calibri"/>
                <w:color w:val="000000"/>
                <w:sz w:val="18"/>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6AE729A3" w14:textId="77777777" w:rsidR="00DE0FBF" w:rsidRPr="00DE0FBF" w:rsidRDefault="00DE0FBF" w:rsidP="00DE0FBF">
            <w:pPr>
              <w:spacing w:line="259" w:lineRule="auto"/>
              <w:ind w:right="38"/>
              <w:jc w:val="center"/>
              <w:rPr>
                <w:rFonts w:ascii="Times New Roman" w:eastAsia="Times New Roman" w:hAnsi="Times New Roman" w:cs="Times New Roman"/>
                <w:color w:val="000000"/>
              </w:rPr>
            </w:pPr>
            <w:r w:rsidRPr="00DE0FBF">
              <w:rPr>
                <w:rFonts w:ascii="Calibri" w:eastAsia="Calibri" w:hAnsi="Calibri" w:cs="Calibri"/>
                <w:color w:val="000000"/>
                <w:sz w:val="18"/>
              </w:rPr>
              <w:t xml:space="preserve">5 s </w:t>
            </w:r>
          </w:p>
        </w:tc>
        <w:tc>
          <w:tcPr>
            <w:tcW w:w="1430" w:type="dxa"/>
            <w:tcBorders>
              <w:top w:val="single" w:sz="4" w:space="0" w:color="000000"/>
              <w:left w:val="single" w:sz="4" w:space="0" w:color="000000"/>
              <w:bottom w:val="single" w:sz="4" w:space="0" w:color="000000"/>
              <w:right w:val="single" w:sz="4" w:space="0" w:color="000000"/>
            </w:tcBorders>
          </w:tcPr>
          <w:p w14:paraId="413549A7" w14:textId="77777777" w:rsidR="00DE0FBF" w:rsidRPr="00DE0FBF" w:rsidRDefault="00DE0FBF" w:rsidP="00DE0FBF">
            <w:pPr>
              <w:spacing w:line="259" w:lineRule="auto"/>
              <w:ind w:right="43"/>
              <w:jc w:val="center"/>
              <w:rPr>
                <w:rFonts w:ascii="Times New Roman" w:eastAsia="Times New Roman" w:hAnsi="Times New Roman" w:cs="Times New Roman"/>
                <w:color w:val="000000"/>
              </w:rPr>
            </w:pPr>
            <w:r w:rsidRPr="00DE0FBF">
              <w:rPr>
                <w:rFonts w:ascii="Calibri" w:eastAsia="Calibri" w:hAnsi="Calibri" w:cs="Calibri"/>
                <w:color w:val="000000"/>
                <w:sz w:val="18"/>
              </w:rPr>
              <w:t xml:space="preserve">- </w:t>
            </w:r>
          </w:p>
        </w:tc>
      </w:tr>
      <w:tr w:rsidR="00DE0FBF" w:rsidRPr="00DE0FBF" w14:paraId="11789BC0" w14:textId="77777777" w:rsidTr="00D40FBC">
        <w:trPr>
          <w:trHeight w:val="485"/>
        </w:trPr>
        <w:tc>
          <w:tcPr>
            <w:tcW w:w="7690" w:type="dxa"/>
            <w:gridSpan w:val="7"/>
            <w:tcBorders>
              <w:top w:val="single" w:sz="4" w:space="0" w:color="000000"/>
              <w:left w:val="single" w:sz="4" w:space="0" w:color="000000"/>
              <w:bottom w:val="single" w:sz="4" w:space="0" w:color="000000"/>
              <w:right w:val="single" w:sz="4" w:space="0" w:color="000000"/>
            </w:tcBorders>
          </w:tcPr>
          <w:p w14:paraId="15379C6C" w14:textId="77777777" w:rsidR="00DE0FBF" w:rsidRPr="00DE0FBF" w:rsidRDefault="00DE0FBF" w:rsidP="00DE0FBF">
            <w:pPr>
              <w:spacing w:line="259" w:lineRule="auto"/>
              <w:rPr>
                <w:rFonts w:ascii="Times New Roman" w:eastAsia="Times New Roman" w:hAnsi="Times New Roman" w:cs="Times New Roman"/>
                <w:color w:val="000000"/>
              </w:rPr>
            </w:pPr>
            <w:r w:rsidRPr="00DE0FBF">
              <w:rPr>
                <w:rFonts w:ascii="Calibri" w:eastAsia="Calibri" w:hAnsi="Calibri" w:cs="Calibri"/>
                <w:i/>
                <w:color w:val="000000"/>
                <w:sz w:val="18"/>
                <w:vertAlign w:val="superscript"/>
              </w:rPr>
              <w:t>1)</w:t>
            </w:r>
            <w:r w:rsidRPr="00DE0FBF">
              <w:rPr>
                <w:rFonts w:ascii="Calibri" w:eastAsia="Calibri" w:hAnsi="Calibri" w:cs="Calibri"/>
                <w:i/>
                <w:color w:val="000000"/>
                <w:sz w:val="18"/>
              </w:rPr>
              <w:t xml:space="preserve"> 10-minutowa wartość średnia, zgodnie z EN 50160. Szczegółowe wymagania w zakresie pomiaru wartości średniej zawarte są w normie PN-EN 50438:2014-02. </w:t>
            </w:r>
          </w:p>
        </w:tc>
      </w:tr>
    </w:tbl>
    <w:p w14:paraId="5AFBD749" w14:textId="77777777" w:rsidR="00DE0FBF" w:rsidRPr="00DE0FBF" w:rsidRDefault="00DE0FBF" w:rsidP="00DE0FBF">
      <w:pPr>
        <w:spacing w:after="135" w:line="269" w:lineRule="auto"/>
        <w:ind w:left="1071" w:hanging="10"/>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lastRenderedPageBreak/>
        <w:t xml:space="preserve">Zabezpieczenia </w:t>
      </w:r>
      <w:proofErr w:type="spellStart"/>
      <w:r w:rsidRPr="00DE0FBF">
        <w:rPr>
          <w:rFonts w:ascii="Times New Roman" w:eastAsia="Times New Roman" w:hAnsi="Times New Roman" w:cs="Times New Roman"/>
          <w:color w:val="000000"/>
          <w:kern w:val="2"/>
          <w:sz w:val="24"/>
          <w:szCs w:val="24"/>
          <w:lang w:eastAsia="pl-PL"/>
        </w:rPr>
        <w:t>LoM</w:t>
      </w:r>
      <w:proofErr w:type="spellEnd"/>
      <w:r w:rsidRPr="00DE0FBF">
        <w:rPr>
          <w:rFonts w:ascii="Times New Roman" w:eastAsia="Times New Roman" w:hAnsi="Times New Roman" w:cs="Times New Roman"/>
          <w:color w:val="000000"/>
          <w:kern w:val="2"/>
          <w:sz w:val="24"/>
          <w:szCs w:val="24"/>
          <w:lang w:eastAsia="pl-PL"/>
        </w:rPr>
        <w:t xml:space="preserve"> wykorzystują uznane techniki, wykrywające w sposób pewny zanik zasilania z sieci dystrybucyjnej. Nie dopuszcza się stosowania zabezpieczeń wykorzystujących metody związane z iniekcją pulsów do sieci dystrybucyjnej. </w:t>
      </w:r>
    </w:p>
    <w:p w14:paraId="0A7EF0C0" w14:textId="77777777" w:rsidR="00DE0FBF" w:rsidRPr="00DE0FBF" w:rsidRDefault="00DE0FBF" w:rsidP="00DE0FBF">
      <w:pPr>
        <w:spacing w:after="135" w:line="269" w:lineRule="auto"/>
        <w:ind w:left="1071" w:hanging="10"/>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Informacje na temat nastaw zabezpieczeń powinny być możliwe do odczytania z mikroinstalacji w szczególności z wyświetlacza, interfejsu użytkownika lub przez port komunikacyjny oraz określone w technicznej dokumentacji indywidualnej dla danej mikroinstalacji, dołączonej przez producenta lub instalatora. </w:t>
      </w:r>
    </w:p>
    <w:p w14:paraId="42E6B870" w14:textId="77777777" w:rsidR="00DE0FBF" w:rsidRPr="00DE0FBF" w:rsidRDefault="00DE0FBF" w:rsidP="00DE0FBF">
      <w:pPr>
        <w:spacing w:after="135" w:line="269" w:lineRule="auto"/>
        <w:ind w:left="1118" w:hanging="1061"/>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9.1.4.3. </w:t>
      </w:r>
      <w:r w:rsidRPr="00DE0FBF">
        <w:rPr>
          <w:rFonts w:ascii="Times New Roman" w:eastAsia="Times New Roman" w:hAnsi="Times New Roman" w:cs="Times New Roman"/>
          <w:color w:val="000000"/>
          <w:kern w:val="2"/>
          <w:sz w:val="24"/>
          <w:szCs w:val="24"/>
          <w:lang w:eastAsia="pl-PL"/>
        </w:rPr>
        <w:tab/>
        <w:t xml:space="preserve">Dopuszcza się możliwość pracy mikroinstalacji na potrzeby własne instalacji odbiorczej przy zaniku napięcia w sieci OSD. Rozwiązanie takie jest możliwe wyłącznie w przypadku zastosowania w instalacji odbiorczej rozłącznika stwarzającego w sposób automatyczny, na okres braku napięcia w sieci OSD, przerwę izolacyjną pomiędzy instalacją odbiorczą, a siecią Industria Dystrybucja Sp. z o.o. </w:t>
      </w:r>
    </w:p>
    <w:p w14:paraId="283E6D7E" w14:textId="1E7054A3" w:rsidR="00DE0FBF" w:rsidRPr="00DE0FBF" w:rsidRDefault="00C67EB0" w:rsidP="00C67EB0">
      <w:pPr>
        <w:keepNext/>
        <w:keepLines/>
        <w:numPr>
          <w:ilvl w:val="2"/>
          <w:numId w:val="0"/>
        </w:numPr>
        <w:spacing w:after="149" w:line="259" w:lineRule="auto"/>
        <w:ind w:left="1134" w:hanging="1149"/>
        <w:jc w:val="left"/>
        <w:outlineLvl w:val="2"/>
        <w:rPr>
          <w:rFonts w:ascii="Times New Roman" w:eastAsia="Times New Roman" w:hAnsi="Times New Roman" w:cs="Times New Roman"/>
          <w:color w:val="000000"/>
          <w:kern w:val="2"/>
          <w:sz w:val="24"/>
          <w:szCs w:val="24"/>
          <w:u w:color="000000"/>
          <w:lang w:eastAsia="pl-PL"/>
        </w:rPr>
      </w:pPr>
      <w:r>
        <w:rPr>
          <w:rFonts w:ascii="Times New Roman" w:eastAsia="Times New Roman" w:hAnsi="Times New Roman" w:cs="Times New Roman"/>
          <w:color w:val="000000"/>
          <w:kern w:val="2"/>
          <w:sz w:val="24"/>
          <w:szCs w:val="24"/>
          <w:u w:color="000000"/>
          <w:lang w:eastAsia="pl-PL"/>
        </w:rPr>
        <w:t xml:space="preserve">9.1.5 </w:t>
      </w:r>
      <w:r>
        <w:rPr>
          <w:rFonts w:ascii="Times New Roman" w:eastAsia="Times New Roman" w:hAnsi="Times New Roman" w:cs="Times New Roman"/>
          <w:color w:val="000000"/>
          <w:kern w:val="2"/>
          <w:sz w:val="24"/>
          <w:szCs w:val="24"/>
          <w:u w:color="000000"/>
          <w:lang w:eastAsia="pl-PL"/>
        </w:rPr>
        <w:tab/>
      </w:r>
      <w:r w:rsidR="00DE0FBF" w:rsidRPr="00DE0FBF">
        <w:rPr>
          <w:rFonts w:ascii="Times New Roman" w:eastAsia="Times New Roman" w:hAnsi="Times New Roman" w:cs="Times New Roman"/>
          <w:color w:val="000000"/>
          <w:kern w:val="2"/>
          <w:sz w:val="24"/>
          <w:szCs w:val="24"/>
          <w:u w:color="000000"/>
          <w:lang w:eastAsia="pl-PL"/>
        </w:rPr>
        <w:t xml:space="preserve">Jakość energii </w:t>
      </w:r>
    </w:p>
    <w:p w14:paraId="7DFB3537" w14:textId="77777777" w:rsidR="00DE0FBF" w:rsidRPr="00DE0FBF" w:rsidRDefault="00DE0FBF" w:rsidP="00C67EB0">
      <w:pPr>
        <w:spacing w:after="135" w:line="269" w:lineRule="auto"/>
        <w:ind w:left="1134" w:right="77" w:hanging="16"/>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Mikroinstalacje muszą spełniać wymagania norm dotyczących jakości energii wprowadzanej do sieci oraz dyrektyw dotyczących kompatybilności elektromagnetycznej</w:t>
      </w:r>
      <w:r w:rsidRPr="00DE0FBF">
        <w:rPr>
          <w:rFonts w:ascii="Times New Roman" w:eastAsia="Times New Roman" w:hAnsi="Times New Roman" w:cs="Times New Roman"/>
          <w:b/>
          <w:color w:val="000000"/>
          <w:kern w:val="2"/>
          <w:sz w:val="24"/>
          <w:szCs w:val="24"/>
          <w:lang w:eastAsia="pl-PL"/>
        </w:rPr>
        <w:t xml:space="preserve"> </w:t>
      </w:r>
      <w:r w:rsidRPr="00DE0FBF">
        <w:rPr>
          <w:rFonts w:ascii="Times New Roman" w:eastAsia="Times New Roman" w:hAnsi="Times New Roman" w:cs="Times New Roman"/>
          <w:color w:val="000000"/>
          <w:kern w:val="2"/>
          <w:sz w:val="24"/>
          <w:szCs w:val="24"/>
          <w:lang w:eastAsia="pl-PL"/>
        </w:rPr>
        <w:t xml:space="preserve">i Ustawy. </w:t>
      </w:r>
    </w:p>
    <w:p w14:paraId="293572E5" w14:textId="454CDC18" w:rsidR="00DE0FBF" w:rsidRPr="00DE0FBF" w:rsidRDefault="00C67EB0" w:rsidP="00C67EB0">
      <w:pPr>
        <w:keepNext/>
        <w:keepLines/>
        <w:numPr>
          <w:ilvl w:val="1"/>
          <w:numId w:val="0"/>
        </w:numPr>
        <w:spacing w:after="155" w:line="249" w:lineRule="auto"/>
        <w:ind w:left="1118" w:hanging="1118"/>
        <w:jc w:val="left"/>
        <w:outlineLvl w:val="1"/>
        <w:rPr>
          <w:rFonts w:ascii="Times New Roman" w:eastAsia="Times New Roman" w:hAnsi="Times New Roman" w:cs="Times New Roman"/>
          <w:b/>
          <w:color w:val="000000"/>
          <w:kern w:val="2"/>
          <w:sz w:val="24"/>
          <w:szCs w:val="24"/>
          <w:lang w:eastAsia="pl-PL"/>
        </w:rPr>
      </w:pPr>
      <w:r>
        <w:rPr>
          <w:rFonts w:ascii="Times New Roman" w:eastAsia="Times New Roman" w:hAnsi="Times New Roman" w:cs="Times New Roman"/>
          <w:b/>
          <w:color w:val="000000"/>
          <w:kern w:val="2"/>
          <w:sz w:val="24"/>
          <w:szCs w:val="24"/>
          <w:lang w:eastAsia="pl-PL"/>
        </w:rPr>
        <w:t xml:space="preserve">9.2. </w:t>
      </w:r>
      <w:r>
        <w:rPr>
          <w:rFonts w:ascii="Times New Roman" w:eastAsia="Times New Roman" w:hAnsi="Times New Roman" w:cs="Times New Roman"/>
          <w:b/>
          <w:color w:val="000000"/>
          <w:kern w:val="2"/>
          <w:sz w:val="24"/>
          <w:szCs w:val="24"/>
          <w:lang w:eastAsia="pl-PL"/>
        </w:rPr>
        <w:tab/>
      </w:r>
      <w:r w:rsidR="00DE0FBF" w:rsidRPr="00DE0FBF">
        <w:rPr>
          <w:rFonts w:ascii="Times New Roman" w:eastAsia="Times New Roman" w:hAnsi="Times New Roman" w:cs="Times New Roman"/>
          <w:b/>
          <w:color w:val="000000"/>
          <w:kern w:val="2"/>
          <w:sz w:val="24"/>
          <w:szCs w:val="24"/>
          <w:lang w:eastAsia="pl-PL"/>
        </w:rPr>
        <w:t>Praca i bezpieczeństwo mikroinstalacji</w:t>
      </w:r>
      <w:r w:rsidR="00DE0FBF" w:rsidRPr="00DE0FBF">
        <w:rPr>
          <w:rFonts w:ascii="Times New Roman" w:eastAsia="Times New Roman" w:hAnsi="Times New Roman" w:cs="Times New Roman"/>
          <w:color w:val="000000"/>
          <w:kern w:val="2"/>
          <w:sz w:val="24"/>
          <w:szCs w:val="24"/>
          <w:lang w:eastAsia="pl-PL"/>
        </w:rPr>
        <w:t xml:space="preserve"> </w:t>
      </w:r>
    </w:p>
    <w:p w14:paraId="02859509" w14:textId="77777777" w:rsidR="00DE0FBF" w:rsidRPr="00DE0FBF" w:rsidRDefault="00DE0FBF" w:rsidP="00DE0FBF">
      <w:pPr>
        <w:spacing w:after="135" w:line="269" w:lineRule="auto"/>
        <w:ind w:left="1118" w:right="77" w:hanging="1061"/>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9.2.1. </w:t>
      </w:r>
      <w:r w:rsidRPr="00DE0FBF">
        <w:rPr>
          <w:rFonts w:ascii="Times New Roman" w:eastAsia="Times New Roman" w:hAnsi="Times New Roman" w:cs="Times New Roman"/>
          <w:color w:val="000000"/>
          <w:kern w:val="2"/>
          <w:sz w:val="24"/>
          <w:szCs w:val="24"/>
          <w:lang w:eastAsia="pl-PL"/>
        </w:rPr>
        <w:tab/>
        <w:t>Nastawy zadanych wartości, możliwych do ustawienia w mikroinstalacji, muszą być możliwe do odczytania z mikroinstalacji, np. z wyświetlacza, interfejsu użytkownika lub poprzez port</w:t>
      </w:r>
      <w:r w:rsidRPr="00DE0FBF">
        <w:rPr>
          <w:rFonts w:ascii="Calibri" w:eastAsia="Calibri" w:hAnsi="Calibri" w:cs="Calibri"/>
          <w:i/>
          <w:color w:val="000000"/>
          <w:kern w:val="2"/>
          <w:sz w:val="22"/>
          <w:szCs w:val="24"/>
          <w:lang w:eastAsia="pl-PL"/>
        </w:rPr>
        <w:t xml:space="preserve"> </w:t>
      </w:r>
      <w:r w:rsidRPr="00DE0FBF">
        <w:rPr>
          <w:rFonts w:ascii="Times New Roman" w:eastAsia="Times New Roman" w:hAnsi="Times New Roman" w:cs="Times New Roman"/>
          <w:color w:val="000000"/>
          <w:kern w:val="2"/>
          <w:sz w:val="24"/>
          <w:szCs w:val="24"/>
          <w:lang w:eastAsia="pl-PL"/>
        </w:rPr>
        <w:t xml:space="preserve">komunikacyjny. </w:t>
      </w:r>
    </w:p>
    <w:p w14:paraId="59B32594" w14:textId="77777777" w:rsidR="00DE0FBF" w:rsidRPr="00DE0FBF" w:rsidRDefault="00DE0FBF" w:rsidP="00DE0FBF">
      <w:pPr>
        <w:spacing w:after="135" w:line="269" w:lineRule="auto"/>
        <w:ind w:left="1134" w:hanging="10"/>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Tabliczka znamionowa mikroinstalacji ma posiadać co najmniej następujące informacje: </w:t>
      </w:r>
    </w:p>
    <w:p w14:paraId="48B57828" w14:textId="77777777" w:rsidR="00DE0FBF" w:rsidRPr="00DE0FBF" w:rsidRDefault="00DE0FBF">
      <w:pPr>
        <w:numPr>
          <w:ilvl w:val="0"/>
          <w:numId w:val="212"/>
        </w:numPr>
        <w:spacing w:after="0" w:line="269" w:lineRule="auto"/>
        <w:ind w:left="1701" w:right="4" w:hanging="283"/>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nazwę producenta lub znak firmowy, </w:t>
      </w:r>
    </w:p>
    <w:p w14:paraId="74CF7BC2" w14:textId="77777777" w:rsidR="00DE0FBF" w:rsidRPr="00DE0FBF" w:rsidRDefault="00DE0FBF">
      <w:pPr>
        <w:numPr>
          <w:ilvl w:val="0"/>
          <w:numId w:val="212"/>
        </w:numPr>
        <w:spacing w:after="0" w:line="269" w:lineRule="auto"/>
        <w:ind w:left="1701" w:right="4" w:hanging="283"/>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określenie typu, numer identyfikacyjny, oznaczenie serii lub partii i numer seryjny, </w:t>
      </w:r>
    </w:p>
    <w:p w14:paraId="56CBAA86" w14:textId="77777777" w:rsidR="00DE0FBF" w:rsidRPr="00DE0FBF" w:rsidRDefault="00DE0FBF">
      <w:pPr>
        <w:numPr>
          <w:ilvl w:val="0"/>
          <w:numId w:val="212"/>
        </w:numPr>
        <w:spacing w:after="0" w:line="269" w:lineRule="auto"/>
        <w:ind w:left="1701" w:right="4" w:hanging="283"/>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moc znamionową, </w:t>
      </w:r>
    </w:p>
    <w:p w14:paraId="5E59C9FE" w14:textId="77777777" w:rsidR="00DE0FBF" w:rsidRPr="00DE0FBF" w:rsidRDefault="00DE0FBF">
      <w:pPr>
        <w:numPr>
          <w:ilvl w:val="0"/>
          <w:numId w:val="212"/>
        </w:numPr>
        <w:spacing w:after="0" w:line="269" w:lineRule="auto"/>
        <w:ind w:left="1701" w:right="4" w:hanging="283"/>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napięcie znamionowe, </w:t>
      </w:r>
    </w:p>
    <w:p w14:paraId="35A70405" w14:textId="77777777" w:rsidR="00DE0FBF" w:rsidRPr="00DE0FBF" w:rsidRDefault="00DE0FBF">
      <w:pPr>
        <w:numPr>
          <w:ilvl w:val="0"/>
          <w:numId w:val="212"/>
        </w:numPr>
        <w:spacing w:after="0" w:line="269" w:lineRule="auto"/>
        <w:ind w:left="1701" w:right="4" w:hanging="283"/>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częstotliwość znamionowa, </w:t>
      </w:r>
    </w:p>
    <w:p w14:paraId="6351F920" w14:textId="77777777" w:rsidR="00DE0FBF" w:rsidRPr="00DE0FBF" w:rsidRDefault="00DE0FBF">
      <w:pPr>
        <w:numPr>
          <w:ilvl w:val="0"/>
          <w:numId w:val="212"/>
        </w:numPr>
        <w:spacing w:after="0" w:line="269" w:lineRule="auto"/>
        <w:ind w:left="1701" w:right="4" w:hanging="283"/>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zakres regulacji współczynnika przesunięcia fazowego podstawowych harmonicznych napięcia i prądu, </w:t>
      </w:r>
    </w:p>
    <w:p w14:paraId="5ACF1B23" w14:textId="77777777" w:rsidR="00DE0FBF" w:rsidRPr="00DE0FBF" w:rsidRDefault="00DE0FBF">
      <w:pPr>
        <w:numPr>
          <w:ilvl w:val="0"/>
          <w:numId w:val="212"/>
        </w:numPr>
        <w:spacing w:after="135" w:line="269" w:lineRule="auto"/>
        <w:ind w:left="1701" w:right="4" w:hanging="283"/>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oznakowanie CE. </w:t>
      </w:r>
    </w:p>
    <w:p w14:paraId="5650F7BD" w14:textId="77777777" w:rsidR="00DE0FBF" w:rsidRPr="00DE0FBF" w:rsidRDefault="00DE0FBF" w:rsidP="00DE0FBF">
      <w:pPr>
        <w:spacing w:after="135" w:line="269" w:lineRule="auto"/>
        <w:ind w:left="1071" w:hanging="10"/>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Informacje te muszą być umieszczone również w instrukcji obsługi. Dodatkowo na tabliczce znamionowej powinien być umieszczony numer seryjny. </w:t>
      </w:r>
    </w:p>
    <w:p w14:paraId="7B3CE852" w14:textId="77777777" w:rsidR="00DE0FBF" w:rsidRPr="00DE0FBF" w:rsidRDefault="00DE0FBF" w:rsidP="00DE0FBF">
      <w:pPr>
        <w:spacing w:after="135" w:line="269" w:lineRule="auto"/>
        <w:ind w:left="1071" w:hanging="10"/>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Wszystkie informacje powinny być podane w języku polskim. </w:t>
      </w:r>
    </w:p>
    <w:p w14:paraId="6AA989BF" w14:textId="77777777" w:rsidR="00DE0FBF" w:rsidRPr="00DE0FBF" w:rsidRDefault="00DE0FBF" w:rsidP="00DE0FBF">
      <w:pPr>
        <w:spacing w:after="135" w:line="269" w:lineRule="auto"/>
        <w:ind w:left="1071" w:hanging="10"/>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W miejscach z dostępnymi elementami pod napięciem należy stosować etykiety ostrzegawcze. </w:t>
      </w:r>
    </w:p>
    <w:p w14:paraId="05165D40" w14:textId="77777777" w:rsidR="00DE0FBF" w:rsidRPr="00DE0FBF" w:rsidRDefault="00DE0FBF" w:rsidP="00DE0FBF">
      <w:pPr>
        <w:spacing w:after="135" w:line="269" w:lineRule="auto"/>
        <w:ind w:left="1071" w:hanging="10"/>
        <w:rPr>
          <w:rFonts w:ascii="Times New Roman" w:eastAsia="Times New Roman" w:hAnsi="Times New Roman" w:cs="Times New Roman"/>
          <w:color w:val="000000"/>
          <w:kern w:val="2"/>
          <w:sz w:val="24"/>
          <w:szCs w:val="24"/>
          <w:lang w:eastAsia="pl-PL"/>
        </w:rPr>
      </w:pPr>
    </w:p>
    <w:p w14:paraId="46041334" w14:textId="77777777" w:rsidR="00DE0FBF" w:rsidRPr="00DE0FBF" w:rsidRDefault="00DE0FBF" w:rsidP="00DE0FBF">
      <w:pPr>
        <w:spacing w:after="135" w:line="269" w:lineRule="auto"/>
        <w:ind w:left="1071" w:hanging="10"/>
        <w:rPr>
          <w:rFonts w:ascii="Times New Roman" w:eastAsia="Times New Roman" w:hAnsi="Times New Roman" w:cs="Times New Roman"/>
          <w:color w:val="000000"/>
          <w:kern w:val="2"/>
          <w:sz w:val="24"/>
          <w:szCs w:val="24"/>
          <w:lang w:eastAsia="pl-PL"/>
        </w:rPr>
      </w:pPr>
    </w:p>
    <w:p w14:paraId="25617926" w14:textId="77777777" w:rsidR="00DE0FBF" w:rsidRPr="00DE0FBF" w:rsidRDefault="00DE0FBF" w:rsidP="00DE0FBF">
      <w:pPr>
        <w:tabs>
          <w:tab w:val="center" w:pos="4507"/>
        </w:tabs>
        <w:spacing w:after="135" w:line="269" w:lineRule="auto"/>
        <w:jc w:val="left"/>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lastRenderedPageBreak/>
        <w:t xml:space="preserve">9.2.2. </w:t>
      </w:r>
      <w:r w:rsidRPr="00DE0FBF">
        <w:rPr>
          <w:rFonts w:ascii="Times New Roman" w:eastAsia="Times New Roman" w:hAnsi="Times New Roman" w:cs="Times New Roman"/>
          <w:color w:val="000000"/>
          <w:kern w:val="2"/>
          <w:sz w:val="24"/>
          <w:szCs w:val="24"/>
          <w:lang w:eastAsia="pl-PL"/>
        </w:rPr>
        <w:tab/>
        <w:t xml:space="preserve">Inne wymagania dotyczące przekazania mikroinstalacji do eksploatacji: </w:t>
      </w:r>
    </w:p>
    <w:p w14:paraId="277176AE" w14:textId="77777777" w:rsidR="00DE0FBF" w:rsidRPr="00DE0FBF" w:rsidRDefault="00DE0FBF" w:rsidP="00007264">
      <w:pPr>
        <w:numPr>
          <w:ilvl w:val="0"/>
          <w:numId w:val="213"/>
        </w:numPr>
        <w:spacing w:after="0" w:line="269" w:lineRule="auto"/>
        <w:ind w:left="1701" w:right="4" w:hanging="211"/>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Producent musi dostarczyć instrukcję montażu zgodnie z normami i wymaganiami krajowymi, </w:t>
      </w:r>
    </w:p>
    <w:p w14:paraId="46E2BCD0" w14:textId="77777777" w:rsidR="00DE0FBF" w:rsidRPr="00DE0FBF" w:rsidRDefault="00DE0FBF" w:rsidP="00007264">
      <w:pPr>
        <w:numPr>
          <w:ilvl w:val="0"/>
          <w:numId w:val="213"/>
        </w:numPr>
        <w:spacing w:after="0" w:line="269" w:lineRule="auto"/>
        <w:ind w:left="1701" w:right="4" w:hanging="211"/>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Urządzenia wchodzące w skład mikroinstalacji muszą podlegać badaniom typu pod względem wymagań odpowiednich norm w zakresie współpracy z siecią, w przypadku braku stosownych norm wyrobu, </w:t>
      </w:r>
    </w:p>
    <w:p w14:paraId="03725BF8" w14:textId="77777777" w:rsidR="00DE0FBF" w:rsidRPr="00DE0FBF" w:rsidRDefault="00DE0FBF" w:rsidP="00007264">
      <w:pPr>
        <w:numPr>
          <w:ilvl w:val="0"/>
          <w:numId w:val="213"/>
        </w:numPr>
        <w:spacing w:after="0" w:line="269" w:lineRule="auto"/>
        <w:ind w:left="1701" w:right="4" w:hanging="211"/>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Montaż musi być wykonany przez instalatorów posiadających odpowiednie i potwierdzone kwalifikacje, </w:t>
      </w:r>
    </w:p>
    <w:p w14:paraId="553EFBDB" w14:textId="77777777" w:rsidR="00DE0FBF" w:rsidRPr="00DE0FBF" w:rsidRDefault="00DE0FBF" w:rsidP="00007264">
      <w:pPr>
        <w:numPr>
          <w:ilvl w:val="0"/>
          <w:numId w:val="213"/>
        </w:numPr>
        <w:spacing w:after="135" w:line="269" w:lineRule="auto"/>
        <w:ind w:left="1701" w:right="4" w:hanging="211"/>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Właściciel mikroinstalacji musi dysponować przygotowanym przez instalatora schematem jednokresowym mikroinstalacji. </w:t>
      </w:r>
    </w:p>
    <w:p w14:paraId="6C50D453" w14:textId="07B6EC9E" w:rsidR="00DE0FBF" w:rsidRPr="00DE0FBF" w:rsidRDefault="00C67EB0" w:rsidP="00DE0FBF">
      <w:pPr>
        <w:keepNext/>
        <w:keepLines/>
        <w:numPr>
          <w:ilvl w:val="1"/>
          <w:numId w:val="0"/>
        </w:numPr>
        <w:spacing w:after="155" w:line="249" w:lineRule="auto"/>
        <w:ind w:left="1118" w:hanging="1061"/>
        <w:jc w:val="left"/>
        <w:outlineLvl w:val="1"/>
        <w:rPr>
          <w:rFonts w:ascii="Times New Roman" w:eastAsia="Times New Roman" w:hAnsi="Times New Roman" w:cs="Times New Roman"/>
          <w:b/>
          <w:color w:val="000000"/>
          <w:kern w:val="2"/>
          <w:sz w:val="24"/>
          <w:szCs w:val="24"/>
          <w:lang w:eastAsia="pl-PL"/>
        </w:rPr>
      </w:pPr>
      <w:r>
        <w:rPr>
          <w:rFonts w:ascii="Times New Roman" w:eastAsia="Times New Roman" w:hAnsi="Times New Roman" w:cs="Times New Roman"/>
          <w:b/>
          <w:color w:val="000000"/>
          <w:kern w:val="2"/>
          <w:sz w:val="24"/>
          <w:szCs w:val="24"/>
          <w:lang w:eastAsia="pl-PL"/>
        </w:rPr>
        <w:t xml:space="preserve">9.3. </w:t>
      </w:r>
      <w:r>
        <w:rPr>
          <w:rFonts w:ascii="Times New Roman" w:eastAsia="Times New Roman" w:hAnsi="Times New Roman" w:cs="Times New Roman"/>
          <w:b/>
          <w:color w:val="000000"/>
          <w:kern w:val="2"/>
          <w:sz w:val="24"/>
          <w:szCs w:val="24"/>
          <w:lang w:eastAsia="pl-PL"/>
        </w:rPr>
        <w:tab/>
      </w:r>
      <w:r w:rsidR="00DE0FBF" w:rsidRPr="00DE0FBF">
        <w:rPr>
          <w:rFonts w:ascii="Times New Roman" w:eastAsia="Times New Roman" w:hAnsi="Times New Roman" w:cs="Times New Roman"/>
          <w:b/>
          <w:color w:val="000000"/>
          <w:kern w:val="2"/>
          <w:sz w:val="24"/>
          <w:szCs w:val="24"/>
          <w:lang w:eastAsia="pl-PL"/>
        </w:rPr>
        <w:t>Zestawienie zbiorcze wymagań i uwagi końcowe</w:t>
      </w:r>
      <w:r w:rsidR="00DE0FBF" w:rsidRPr="00DE0FBF">
        <w:rPr>
          <w:rFonts w:ascii="Times New Roman" w:eastAsia="Times New Roman" w:hAnsi="Times New Roman" w:cs="Times New Roman"/>
          <w:color w:val="000000"/>
          <w:kern w:val="2"/>
          <w:sz w:val="24"/>
          <w:szCs w:val="24"/>
          <w:lang w:eastAsia="pl-PL"/>
        </w:rPr>
        <w:t xml:space="preserve"> </w:t>
      </w:r>
    </w:p>
    <w:p w14:paraId="73EE7733" w14:textId="77777777" w:rsidR="00DE0FBF" w:rsidRPr="00DE0FBF" w:rsidRDefault="00DE0FBF" w:rsidP="00C67EB0">
      <w:pPr>
        <w:spacing w:after="135" w:line="269" w:lineRule="auto"/>
        <w:ind w:left="1149" w:hanging="57"/>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 Zbiorcze zestawienie wymagań dla systemów generacji w zależności o zainstalowanej mocy przedstawiono w Tabeli 2. </w:t>
      </w:r>
    </w:p>
    <w:p w14:paraId="1E5FD3E5" w14:textId="77777777" w:rsidR="00DE0FBF" w:rsidRPr="00DE0FBF" w:rsidRDefault="00DE0FBF" w:rsidP="00DE0FBF">
      <w:pPr>
        <w:spacing w:after="89" w:line="269" w:lineRule="auto"/>
        <w:ind w:left="1102" w:hanging="10"/>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W przypadku wątpliwości interpretacyjnych należy wystąpić ze stosowanym zapytaniem do Industria Dystrybucja Sp. z o.o. </w:t>
      </w:r>
    </w:p>
    <w:p w14:paraId="5D50AF1D" w14:textId="77777777" w:rsidR="00DE0FBF" w:rsidRPr="00DE0FBF" w:rsidRDefault="00DE0FBF" w:rsidP="00DE0FBF">
      <w:pPr>
        <w:spacing w:after="144" w:line="259" w:lineRule="auto"/>
        <w:ind w:left="1092"/>
        <w:jc w:val="left"/>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i/>
          <w:color w:val="000000"/>
          <w:kern w:val="2"/>
          <w:sz w:val="24"/>
          <w:szCs w:val="24"/>
          <w:lang w:eastAsia="pl-PL"/>
        </w:rPr>
        <w:t xml:space="preserve"> </w:t>
      </w:r>
    </w:p>
    <w:p w14:paraId="7B5ACAD7" w14:textId="77777777" w:rsidR="00DE0FBF" w:rsidRPr="00DE0FBF" w:rsidRDefault="00DE0FBF" w:rsidP="00DE0FBF">
      <w:pPr>
        <w:spacing w:after="110" w:line="249" w:lineRule="auto"/>
        <w:ind w:left="1056" w:hanging="10"/>
        <w:jc w:val="left"/>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i/>
          <w:color w:val="000000"/>
          <w:kern w:val="2"/>
          <w:sz w:val="24"/>
          <w:szCs w:val="24"/>
          <w:lang w:eastAsia="pl-PL"/>
        </w:rPr>
        <w:t xml:space="preserve">Tabela nr 2. Zbiorcze zestawienie wymagań dla mikroinstalacji w zależności od mocy zainstalowanej. </w:t>
      </w:r>
    </w:p>
    <w:tbl>
      <w:tblPr>
        <w:tblStyle w:val="TableGrid4"/>
        <w:tblW w:w="7457" w:type="dxa"/>
        <w:tblInd w:w="1594" w:type="dxa"/>
        <w:tblCellMar>
          <w:top w:w="43" w:type="dxa"/>
          <w:left w:w="39" w:type="dxa"/>
          <w:right w:w="43" w:type="dxa"/>
        </w:tblCellMar>
        <w:tblLook w:val="04A0" w:firstRow="1" w:lastRow="0" w:firstColumn="1" w:lastColumn="0" w:noHBand="0" w:noVBand="1"/>
      </w:tblPr>
      <w:tblGrid>
        <w:gridCol w:w="3312"/>
        <w:gridCol w:w="1282"/>
        <w:gridCol w:w="1358"/>
        <w:gridCol w:w="1505"/>
      </w:tblGrid>
      <w:tr w:rsidR="00DE0FBF" w:rsidRPr="00DE0FBF" w14:paraId="690C9340" w14:textId="77777777" w:rsidTr="00D40FBC">
        <w:trPr>
          <w:trHeight w:val="595"/>
        </w:trPr>
        <w:tc>
          <w:tcPr>
            <w:tcW w:w="3312" w:type="dxa"/>
            <w:tcBorders>
              <w:top w:val="single" w:sz="4" w:space="0" w:color="000000"/>
              <w:left w:val="single" w:sz="4" w:space="0" w:color="000000"/>
              <w:bottom w:val="single" w:sz="4" w:space="0" w:color="000000"/>
              <w:right w:val="single" w:sz="4" w:space="0" w:color="000000"/>
            </w:tcBorders>
            <w:vAlign w:val="center"/>
          </w:tcPr>
          <w:p w14:paraId="65249C1B" w14:textId="77777777" w:rsidR="00DE0FBF" w:rsidRPr="00DE0FBF" w:rsidRDefault="00DE0FBF" w:rsidP="00DE0FBF">
            <w:pPr>
              <w:spacing w:line="259" w:lineRule="auto"/>
              <w:ind w:left="2"/>
              <w:jc w:val="center"/>
              <w:rPr>
                <w:rFonts w:ascii="Times New Roman" w:eastAsia="Times New Roman" w:hAnsi="Times New Roman" w:cs="Times New Roman"/>
                <w:color w:val="000000"/>
              </w:rPr>
            </w:pPr>
            <w:proofErr w:type="spellStart"/>
            <w:r w:rsidRPr="00DE0FBF">
              <w:rPr>
                <w:rFonts w:ascii="Calibri" w:eastAsia="Calibri" w:hAnsi="Calibri" w:cs="Calibri"/>
                <w:b/>
                <w:color w:val="000000"/>
              </w:rPr>
              <w:t>P</w:t>
            </w:r>
            <w:r w:rsidRPr="00DE0FBF">
              <w:rPr>
                <w:rFonts w:ascii="Calibri" w:eastAsia="Calibri" w:hAnsi="Calibri" w:cs="Calibri"/>
                <w:b/>
                <w:color w:val="000000"/>
                <w:vertAlign w:val="subscript"/>
              </w:rPr>
              <w:t>n</w:t>
            </w:r>
            <w:proofErr w:type="spellEnd"/>
            <w:r w:rsidRPr="00DE0FBF">
              <w:rPr>
                <w:rFonts w:ascii="Calibri" w:eastAsia="Calibri" w:hAnsi="Calibri" w:cs="Calibri"/>
                <w:b/>
                <w:color w:val="000000"/>
              </w:rPr>
              <w:t xml:space="preserve"> [kW] </w:t>
            </w:r>
          </w:p>
        </w:tc>
        <w:tc>
          <w:tcPr>
            <w:tcW w:w="1282" w:type="dxa"/>
            <w:tcBorders>
              <w:top w:val="single" w:sz="4" w:space="0" w:color="000000"/>
              <w:left w:val="single" w:sz="4" w:space="0" w:color="000000"/>
              <w:bottom w:val="single" w:sz="4" w:space="0" w:color="000000"/>
              <w:right w:val="single" w:sz="4" w:space="0" w:color="000000"/>
            </w:tcBorders>
            <w:vAlign w:val="center"/>
          </w:tcPr>
          <w:p w14:paraId="48859758" w14:textId="77777777" w:rsidR="00DE0FBF" w:rsidRPr="00DE0FBF" w:rsidRDefault="00DE0FBF" w:rsidP="00DE0FBF">
            <w:pPr>
              <w:spacing w:line="259" w:lineRule="auto"/>
              <w:ind w:left="46"/>
              <w:jc w:val="center"/>
              <w:rPr>
                <w:rFonts w:ascii="Times New Roman" w:eastAsia="Times New Roman" w:hAnsi="Times New Roman" w:cs="Times New Roman"/>
                <w:color w:val="000000"/>
              </w:rPr>
            </w:pPr>
            <w:proofErr w:type="spellStart"/>
            <w:r w:rsidRPr="00DE0FBF">
              <w:rPr>
                <w:rFonts w:ascii="Calibri" w:eastAsia="Calibri" w:hAnsi="Calibri" w:cs="Calibri"/>
                <w:b/>
                <w:color w:val="000000"/>
              </w:rPr>
              <w:t>P</w:t>
            </w:r>
            <w:r w:rsidRPr="00DE0FBF">
              <w:rPr>
                <w:rFonts w:ascii="Calibri" w:eastAsia="Calibri" w:hAnsi="Calibri" w:cs="Calibri"/>
                <w:b/>
                <w:color w:val="000000"/>
                <w:vertAlign w:val="subscript"/>
              </w:rPr>
              <w:t>n</w:t>
            </w:r>
            <w:proofErr w:type="spellEnd"/>
            <w:r w:rsidRPr="00DE0FBF">
              <w:rPr>
                <w:rFonts w:ascii="Calibri" w:eastAsia="Calibri" w:hAnsi="Calibri" w:cs="Calibri"/>
                <w:b/>
                <w:color w:val="000000"/>
              </w:rPr>
              <w:t xml:space="preserve"> </w:t>
            </w:r>
            <w:r w:rsidRPr="00DE0FBF">
              <w:rPr>
                <w:rFonts w:ascii="Segoe UI Symbol" w:eastAsia="Segoe UI Symbol" w:hAnsi="Segoe UI Symbol" w:cs="Segoe UI Symbol"/>
                <w:color w:val="000000"/>
              </w:rPr>
              <w:t>≤</w:t>
            </w:r>
            <w:r w:rsidRPr="00DE0FBF">
              <w:rPr>
                <w:rFonts w:ascii="Calibri" w:eastAsia="Calibri" w:hAnsi="Calibri" w:cs="Calibri"/>
                <w:b/>
                <w:color w:val="000000"/>
              </w:rPr>
              <w:t xml:space="preserve"> 3,68 </w:t>
            </w:r>
          </w:p>
        </w:tc>
        <w:tc>
          <w:tcPr>
            <w:tcW w:w="1358" w:type="dxa"/>
            <w:tcBorders>
              <w:top w:val="single" w:sz="4" w:space="0" w:color="000000"/>
              <w:left w:val="single" w:sz="4" w:space="0" w:color="000000"/>
              <w:bottom w:val="single" w:sz="4" w:space="0" w:color="000000"/>
              <w:right w:val="single" w:sz="4" w:space="0" w:color="000000"/>
            </w:tcBorders>
            <w:vAlign w:val="center"/>
          </w:tcPr>
          <w:p w14:paraId="480BD526" w14:textId="77777777" w:rsidR="00DE0FBF" w:rsidRPr="00DE0FBF" w:rsidRDefault="00DE0FBF" w:rsidP="00DE0FBF">
            <w:pPr>
              <w:spacing w:line="259" w:lineRule="auto"/>
              <w:ind w:left="89"/>
              <w:rPr>
                <w:rFonts w:ascii="Times New Roman" w:eastAsia="Times New Roman" w:hAnsi="Times New Roman" w:cs="Times New Roman"/>
                <w:color w:val="000000"/>
              </w:rPr>
            </w:pPr>
            <w:r w:rsidRPr="00DE0FBF">
              <w:rPr>
                <w:rFonts w:ascii="Calibri" w:eastAsia="Calibri" w:hAnsi="Calibri" w:cs="Calibri"/>
                <w:b/>
                <w:color w:val="000000"/>
              </w:rPr>
              <w:t xml:space="preserve">3,68 &lt; </w:t>
            </w:r>
            <w:proofErr w:type="spellStart"/>
            <w:r w:rsidRPr="00DE0FBF">
              <w:rPr>
                <w:rFonts w:ascii="Calibri" w:eastAsia="Calibri" w:hAnsi="Calibri" w:cs="Calibri"/>
                <w:b/>
                <w:color w:val="000000"/>
              </w:rPr>
              <w:t>P</w:t>
            </w:r>
            <w:r w:rsidRPr="00DE0FBF">
              <w:rPr>
                <w:rFonts w:ascii="Calibri" w:eastAsia="Calibri" w:hAnsi="Calibri" w:cs="Calibri"/>
                <w:b/>
                <w:color w:val="000000"/>
                <w:vertAlign w:val="subscript"/>
              </w:rPr>
              <w:t>n</w:t>
            </w:r>
            <w:proofErr w:type="spellEnd"/>
            <w:r w:rsidRPr="00DE0FBF">
              <w:rPr>
                <w:rFonts w:ascii="Calibri" w:eastAsia="Calibri" w:hAnsi="Calibri" w:cs="Calibri"/>
                <w:b/>
                <w:color w:val="000000"/>
                <w:vertAlign w:val="subscript"/>
              </w:rPr>
              <w:t xml:space="preserve"> </w:t>
            </w:r>
            <w:r w:rsidRPr="00DE0FBF">
              <w:rPr>
                <w:rFonts w:ascii="Segoe UI Symbol" w:eastAsia="Segoe UI Symbol" w:hAnsi="Segoe UI Symbol" w:cs="Segoe UI Symbol"/>
                <w:color w:val="000000"/>
              </w:rPr>
              <w:t>≤</w:t>
            </w:r>
            <w:r w:rsidRPr="00DE0FBF">
              <w:rPr>
                <w:rFonts w:ascii="Calibri" w:eastAsia="Calibri" w:hAnsi="Calibri" w:cs="Calibri"/>
                <w:b/>
                <w:color w:val="000000"/>
              </w:rPr>
              <w:t xml:space="preserve"> 10 </w:t>
            </w:r>
          </w:p>
        </w:tc>
        <w:tc>
          <w:tcPr>
            <w:tcW w:w="1505" w:type="dxa"/>
            <w:tcBorders>
              <w:top w:val="single" w:sz="4" w:space="0" w:color="000000"/>
              <w:left w:val="single" w:sz="4" w:space="0" w:color="000000"/>
              <w:bottom w:val="single" w:sz="4" w:space="0" w:color="000000"/>
              <w:right w:val="single" w:sz="4" w:space="0" w:color="000000"/>
            </w:tcBorders>
            <w:vAlign w:val="center"/>
          </w:tcPr>
          <w:p w14:paraId="08FCE5E7" w14:textId="77777777" w:rsidR="00DE0FBF" w:rsidRPr="00DE0FBF" w:rsidRDefault="00DE0FBF" w:rsidP="00DE0FBF">
            <w:pPr>
              <w:spacing w:line="259" w:lineRule="auto"/>
              <w:ind w:left="115"/>
              <w:jc w:val="center"/>
              <w:rPr>
                <w:rFonts w:ascii="Times New Roman" w:eastAsia="Times New Roman" w:hAnsi="Times New Roman" w:cs="Times New Roman"/>
                <w:color w:val="000000"/>
              </w:rPr>
            </w:pPr>
            <w:r w:rsidRPr="00DE0FBF">
              <w:rPr>
                <w:rFonts w:ascii="Calibri" w:eastAsia="Calibri" w:hAnsi="Calibri" w:cs="Calibri"/>
                <w:b/>
                <w:color w:val="000000"/>
              </w:rPr>
              <w:t xml:space="preserve">10 &lt; </w:t>
            </w:r>
            <w:proofErr w:type="spellStart"/>
            <w:r w:rsidRPr="00DE0FBF">
              <w:rPr>
                <w:rFonts w:ascii="Calibri" w:eastAsia="Calibri" w:hAnsi="Calibri" w:cs="Calibri"/>
                <w:b/>
                <w:color w:val="000000"/>
              </w:rPr>
              <w:t>P</w:t>
            </w:r>
            <w:r w:rsidRPr="00DE0FBF">
              <w:rPr>
                <w:rFonts w:ascii="Calibri" w:eastAsia="Calibri" w:hAnsi="Calibri" w:cs="Calibri"/>
                <w:b/>
                <w:color w:val="000000"/>
                <w:vertAlign w:val="subscript"/>
              </w:rPr>
              <w:t>n</w:t>
            </w:r>
            <w:proofErr w:type="spellEnd"/>
            <w:r w:rsidRPr="00DE0FBF">
              <w:rPr>
                <w:rFonts w:ascii="Calibri" w:eastAsia="Calibri" w:hAnsi="Calibri" w:cs="Calibri"/>
                <w:b/>
                <w:color w:val="000000"/>
              </w:rPr>
              <w:t xml:space="preserve"> </w:t>
            </w:r>
            <w:r w:rsidRPr="00DE0FBF">
              <w:rPr>
                <w:rFonts w:ascii="Segoe UI Symbol" w:eastAsia="Segoe UI Symbol" w:hAnsi="Segoe UI Symbol" w:cs="Segoe UI Symbol"/>
                <w:color w:val="000000"/>
              </w:rPr>
              <w:t>≤</w:t>
            </w:r>
            <w:r w:rsidRPr="00DE0FBF">
              <w:rPr>
                <w:rFonts w:ascii="Calibri" w:eastAsia="Calibri" w:hAnsi="Calibri" w:cs="Calibri"/>
                <w:b/>
                <w:color w:val="000000"/>
              </w:rPr>
              <w:t xml:space="preserve"> 50 </w:t>
            </w:r>
          </w:p>
        </w:tc>
      </w:tr>
      <w:tr w:rsidR="00DE0FBF" w:rsidRPr="00DE0FBF" w14:paraId="53EA4989" w14:textId="77777777" w:rsidTr="00D40FBC">
        <w:trPr>
          <w:trHeight w:val="2647"/>
        </w:trPr>
        <w:tc>
          <w:tcPr>
            <w:tcW w:w="3312" w:type="dxa"/>
            <w:tcBorders>
              <w:top w:val="single" w:sz="4" w:space="0" w:color="000000"/>
              <w:left w:val="single" w:sz="4" w:space="0" w:color="000000"/>
              <w:bottom w:val="single" w:sz="4" w:space="0" w:color="000000"/>
              <w:right w:val="single" w:sz="4" w:space="0" w:color="000000"/>
            </w:tcBorders>
            <w:vAlign w:val="center"/>
          </w:tcPr>
          <w:p w14:paraId="2279F144" w14:textId="77777777" w:rsidR="00DE0FBF" w:rsidRPr="00DE0FBF" w:rsidRDefault="00DE0FBF" w:rsidP="00DE0FBF">
            <w:pPr>
              <w:spacing w:line="259" w:lineRule="auto"/>
              <w:ind w:left="31"/>
              <w:rPr>
                <w:rFonts w:ascii="Times New Roman" w:eastAsia="Times New Roman" w:hAnsi="Times New Roman" w:cs="Times New Roman"/>
                <w:color w:val="000000"/>
              </w:rPr>
            </w:pPr>
            <w:r w:rsidRPr="00DE0FBF">
              <w:rPr>
                <w:rFonts w:ascii="Calibri" w:eastAsia="Calibri" w:hAnsi="Calibri" w:cs="Calibri"/>
                <w:color w:val="000000"/>
                <w:sz w:val="18"/>
              </w:rPr>
              <w:t xml:space="preserve">Wymagania w zakresie zdalnego sterowania przez Industria Dystrybucja Sp. z o.o. </w:t>
            </w:r>
          </w:p>
        </w:tc>
        <w:tc>
          <w:tcPr>
            <w:tcW w:w="1282" w:type="dxa"/>
            <w:tcBorders>
              <w:top w:val="single" w:sz="4" w:space="0" w:color="000000"/>
              <w:left w:val="single" w:sz="4" w:space="0" w:color="000000"/>
              <w:bottom w:val="single" w:sz="4" w:space="0" w:color="000000"/>
              <w:right w:val="nil"/>
            </w:tcBorders>
          </w:tcPr>
          <w:p w14:paraId="3B299093" w14:textId="77777777" w:rsidR="00DE0FBF" w:rsidRPr="00DE0FBF" w:rsidRDefault="00DE0FBF" w:rsidP="00DE0FBF">
            <w:pPr>
              <w:spacing w:after="160" w:line="259" w:lineRule="auto"/>
              <w:rPr>
                <w:rFonts w:ascii="Times New Roman" w:eastAsia="Times New Roman" w:hAnsi="Times New Roman" w:cs="Times New Roman"/>
                <w:color w:val="000000"/>
              </w:rPr>
            </w:pPr>
          </w:p>
        </w:tc>
        <w:tc>
          <w:tcPr>
            <w:tcW w:w="1358" w:type="dxa"/>
            <w:tcBorders>
              <w:top w:val="single" w:sz="4" w:space="0" w:color="000000"/>
              <w:left w:val="nil"/>
              <w:bottom w:val="single" w:sz="4" w:space="0" w:color="000000"/>
              <w:right w:val="single" w:sz="4" w:space="0" w:color="000000"/>
            </w:tcBorders>
            <w:vAlign w:val="center"/>
          </w:tcPr>
          <w:p w14:paraId="449C2D32" w14:textId="77777777" w:rsidR="00DE0FBF" w:rsidRPr="00DE0FBF" w:rsidRDefault="00DE0FBF" w:rsidP="00DE0FBF">
            <w:pPr>
              <w:spacing w:line="259" w:lineRule="auto"/>
              <w:rPr>
                <w:rFonts w:ascii="Times New Roman" w:eastAsia="Times New Roman" w:hAnsi="Times New Roman" w:cs="Times New Roman"/>
                <w:color w:val="000000"/>
              </w:rPr>
            </w:pPr>
            <w:r w:rsidRPr="00DE0FBF">
              <w:rPr>
                <w:rFonts w:ascii="Calibri" w:eastAsia="Calibri" w:hAnsi="Calibri" w:cs="Calibri"/>
                <w:color w:val="000000"/>
                <w:sz w:val="18"/>
              </w:rPr>
              <w:t xml:space="preserve"> </w:t>
            </w:r>
          </w:p>
        </w:tc>
        <w:tc>
          <w:tcPr>
            <w:tcW w:w="1505" w:type="dxa"/>
            <w:tcBorders>
              <w:top w:val="single" w:sz="4" w:space="0" w:color="000000"/>
              <w:left w:val="single" w:sz="4" w:space="0" w:color="000000"/>
              <w:bottom w:val="single" w:sz="4" w:space="0" w:color="000000"/>
              <w:right w:val="single" w:sz="4" w:space="0" w:color="000000"/>
            </w:tcBorders>
          </w:tcPr>
          <w:p w14:paraId="367EB02E" w14:textId="77777777" w:rsidR="00DE0FBF" w:rsidRPr="00DE0FBF" w:rsidRDefault="00DE0FBF" w:rsidP="00DE0FBF">
            <w:pPr>
              <w:spacing w:line="241" w:lineRule="auto"/>
              <w:jc w:val="center"/>
              <w:rPr>
                <w:rFonts w:ascii="Times New Roman" w:eastAsia="Times New Roman" w:hAnsi="Times New Roman" w:cs="Times New Roman"/>
                <w:color w:val="000000"/>
              </w:rPr>
            </w:pPr>
            <w:r w:rsidRPr="00DE0FBF">
              <w:rPr>
                <w:rFonts w:ascii="Calibri" w:eastAsia="Calibri" w:hAnsi="Calibri" w:cs="Calibri"/>
                <w:color w:val="000000"/>
                <w:sz w:val="18"/>
              </w:rPr>
              <w:t xml:space="preserve">Możliwość zdalnego </w:t>
            </w:r>
          </w:p>
          <w:p w14:paraId="3539A675" w14:textId="77777777" w:rsidR="00DE0FBF" w:rsidRPr="00DE0FBF" w:rsidRDefault="00DE0FBF" w:rsidP="00DE0FBF">
            <w:pPr>
              <w:spacing w:after="1"/>
              <w:ind w:left="59" w:hanging="55"/>
              <w:jc w:val="center"/>
              <w:rPr>
                <w:rFonts w:ascii="Times New Roman" w:eastAsia="Times New Roman" w:hAnsi="Times New Roman" w:cs="Times New Roman"/>
                <w:color w:val="000000"/>
              </w:rPr>
            </w:pPr>
            <w:r w:rsidRPr="00DE0FBF">
              <w:rPr>
                <w:rFonts w:ascii="Calibri" w:eastAsia="Calibri" w:hAnsi="Calibri" w:cs="Calibri"/>
                <w:color w:val="000000"/>
                <w:sz w:val="18"/>
              </w:rPr>
              <w:t xml:space="preserve">sterowania mocą czynną oraz możliwość zdalnego </w:t>
            </w:r>
          </w:p>
          <w:p w14:paraId="7FB3B6DC" w14:textId="77777777" w:rsidR="00DE0FBF" w:rsidRPr="00DE0FBF" w:rsidRDefault="00DE0FBF" w:rsidP="00DE0FBF">
            <w:pPr>
              <w:spacing w:line="259" w:lineRule="auto"/>
              <w:ind w:left="5"/>
              <w:jc w:val="center"/>
              <w:rPr>
                <w:rFonts w:ascii="Times New Roman" w:eastAsia="Times New Roman" w:hAnsi="Times New Roman" w:cs="Times New Roman"/>
                <w:color w:val="000000"/>
              </w:rPr>
            </w:pPr>
            <w:r w:rsidRPr="00DE0FBF">
              <w:rPr>
                <w:rFonts w:ascii="Calibri" w:eastAsia="Calibri" w:hAnsi="Calibri" w:cs="Calibri"/>
                <w:color w:val="000000"/>
                <w:sz w:val="18"/>
              </w:rPr>
              <w:t xml:space="preserve">odłączenia </w:t>
            </w:r>
          </w:p>
          <w:p w14:paraId="2C7B0664" w14:textId="77777777" w:rsidR="00DE0FBF" w:rsidRPr="00DE0FBF" w:rsidRDefault="00DE0FBF" w:rsidP="00DE0FBF">
            <w:pPr>
              <w:spacing w:line="241" w:lineRule="auto"/>
              <w:jc w:val="center"/>
              <w:rPr>
                <w:rFonts w:ascii="Times New Roman" w:eastAsia="Times New Roman" w:hAnsi="Times New Roman" w:cs="Times New Roman"/>
                <w:color w:val="000000"/>
              </w:rPr>
            </w:pPr>
            <w:r w:rsidRPr="00DE0FBF">
              <w:rPr>
                <w:rFonts w:ascii="Calibri" w:eastAsia="Calibri" w:hAnsi="Calibri" w:cs="Calibri"/>
                <w:color w:val="000000"/>
                <w:sz w:val="18"/>
              </w:rPr>
              <w:t xml:space="preserve">mikroinstalacji tj. zaprzestania </w:t>
            </w:r>
          </w:p>
          <w:p w14:paraId="06B0F689" w14:textId="77777777" w:rsidR="00DE0FBF" w:rsidRPr="00DE0FBF" w:rsidRDefault="00DE0FBF" w:rsidP="00DE0FBF">
            <w:pPr>
              <w:spacing w:line="241" w:lineRule="auto"/>
              <w:jc w:val="center"/>
              <w:rPr>
                <w:rFonts w:ascii="Times New Roman" w:eastAsia="Times New Roman" w:hAnsi="Times New Roman" w:cs="Times New Roman"/>
                <w:color w:val="000000"/>
              </w:rPr>
            </w:pPr>
            <w:r w:rsidRPr="00DE0FBF">
              <w:rPr>
                <w:rFonts w:ascii="Calibri" w:eastAsia="Calibri" w:hAnsi="Calibri" w:cs="Calibri"/>
                <w:color w:val="000000"/>
                <w:sz w:val="18"/>
              </w:rPr>
              <w:t xml:space="preserve">generacji mocy do sieci </w:t>
            </w:r>
          </w:p>
          <w:p w14:paraId="4DEE8ED4" w14:textId="77777777" w:rsidR="00DE0FBF" w:rsidRPr="00DE0FBF" w:rsidRDefault="00DE0FBF" w:rsidP="00DE0FBF">
            <w:pPr>
              <w:spacing w:line="259" w:lineRule="auto"/>
              <w:ind w:left="2"/>
              <w:jc w:val="center"/>
              <w:rPr>
                <w:rFonts w:ascii="Times New Roman" w:eastAsia="Times New Roman" w:hAnsi="Times New Roman" w:cs="Times New Roman"/>
                <w:color w:val="000000"/>
              </w:rPr>
            </w:pPr>
            <w:r w:rsidRPr="00DE0FBF">
              <w:rPr>
                <w:rFonts w:ascii="Calibri" w:eastAsia="Calibri" w:hAnsi="Calibri" w:cs="Calibri"/>
                <w:color w:val="000000"/>
                <w:sz w:val="18"/>
              </w:rPr>
              <w:t xml:space="preserve">dystrybucyjnej </w:t>
            </w:r>
          </w:p>
        </w:tc>
      </w:tr>
      <w:tr w:rsidR="00DE0FBF" w:rsidRPr="00DE0FBF" w14:paraId="1415C456" w14:textId="77777777" w:rsidTr="00D40FBC">
        <w:trPr>
          <w:trHeight w:val="708"/>
        </w:trPr>
        <w:tc>
          <w:tcPr>
            <w:tcW w:w="3312" w:type="dxa"/>
            <w:tcBorders>
              <w:top w:val="single" w:sz="4" w:space="0" w:color="000000"/>
              <w:left w:val="single" w:sz="4" w:space="0" w:color="000000"/>
              <w:bottom w:val="single" w:sz="4" w:space="0" w:color="000000"/>
              <w:right w:val="single" w:sz="4" w:space="0" w:color="000000"/>
            </w:tcBorders>
            <w:vAlign w:val="center"/>
          </w:tcPr>
          <w:p w14:paraId="5E13E389" w14:textId="77777777" w:rsidR="00DE0FBF" w:rsidRPr="00DE0FBF" w:rsidRDefault="00DE0FBF" w:rsidP="00DE0FBF">
            <w:pPr>
              <w:spacing w:line="259" w:lineRule="auto"/>
              <w:ind w:left="31" w:right="3"/>
              <w:rPr>
                <w:rFonts w:ascii="Times New Roman" w:eastAsia="Times New Roman" w:hAnsi="Times New Roman" w:cs="Times New Roman"/>
                <w:color w:val="000000"/>
              </w:rPr>
            </w:pPr>
            <w:r w:rsidRPr="00DE0FBF">
              <w:rPr>
                <w:rFonts w:ascii="Calibri" w:eastAsia="Calibri" w:hAnsi="Calibri" w:cs="Calibri"/>
                <w:color w:val="000000"/>
                <w:sz w:val="18"/>
              </w:rPr>
              <w:t xml:space="preserve">Automatyczna redukcja mocy czynnej przy f &gt;50,2 </w:t>
            </w:r>
            <w:proofErr w:type="spellStart"/>
            <w:r w:rsidRPr="00DE0FBF">
              <w:rPr>
                <w:rFonts w:ascii="Calibri" w:eastAsia="Calibri" w:hAnsi="Calibri" w:cs="Calibri"/>
                <w:color w:val="000000"/>
                <w:sz w:val="18"/>
              </w:rPr>
              <w:t>Hz</w:t>
            </w:r>
            <w:proofErr w:type="spellEnd"/>
            <w:r w:rsidRPr="00DE0FBF">
              <w:rPr>
                <w:rFonts w:ascii="Calibri" w:eastAsia="Calibri" w:hAnsi="Calibri" w:cs="Calibri"/>
                <w:color w:val="000000"/>
                <w:sz w:val="18"/>
              </w:rPr>
              <w:t xml:space="preserve"> wg zadanej charakterystyki P(f) </w:t>
            </w:r>
          </w:p>
        </w:tc>
        <w:tc>
          <w:tcPr>
            <w:tcW w:w="1282" w:type="dxa"/>
            <w:tcBorders>
              <w:top w:val="single" w:sz="4" w:space="0" w:color="000000"/>
              <w:left w:val="single" w:sz="4" w:space="0" w:color="000000"/>
              <w:bottom w:val="single" w:sz="4" w:space="0" w:color="000000"/>
              <w:right w:val="nil"/>
            </w:tcBorders>
          </w:tcPr>
          <w:p w14:paraId="3C0CE5A6" w14:textId="77777777" w:rsidR="00DE0FBF" w:rsidRPr="00DE0FBF" w:rsidRDefault="00DE0FBF" w:rsidP="00DE0FBF">
            <w:pPr>
              <w:spacing w:after="160" w:line="259" w:lineRule="auto"/>
              <w:rPr>
                <w:rFonts w:ascii="Times New Roman" w:eastAsia="Times New Roman" w:hAnsi="Times New Roman" w:cs="Times New Roman"/>
                <w:color w:val="000000"/>
              </w:rPr>
            </w:pPr>
          </w:p>
        </w:tc>
        <w:tc>
          <w:tcPr>
            <w:tcW w:w="2863" w:type="dxa"/>
            <w:gridSpan w:val="2"/>
            <w:tcBorders>
              <w:top w:val="single" w:sz="4" w:space="0" w:color="000000"/>
              <w:left w:val="nil"/>
              <w:bottom w:val="single" w:sz="4" w:space="0" w:color="000000"/>
              <w:right w:val="single" w:sz="4" w:space="0" w:color="000000"/>
            </w:tcBorders>
            <w:vAlign w:val="center"/>
          </w:tcPr>
          <w:p w14:paraId="55D2D3D7" w14:textId="77777777" w:rsidR="00DE0FBF" w:rsidRPr="00DE0FBF" w:rsidRDefault="00DE0FBF" w:rsidP="00DE0FBF">
            <w:pPr>
              <w:spacing w:line="259" w:lineRule="auto"/>
              <w:ind w:left="609"/>
              <w:rPr>
                <w:rFonts w:ascii="Times New Roman" w:eastAsia="Times New Roman" w:hAnsi="Times New Roman" w:cs="Times New Roman"/>
                <w:color w:val="000000"/>
              </w:rPr>
            </w:pPr>
            <w:r w:rsidRPr="00DE0FBF">
              <w:rPr>
                <w:rFonts w:ascii="Calibri" w:eastAsia="Calibri" w:hAnsi="Calibri" w:cs="Calibri"/>
                <w:color w:val="000000"/>
                <w:sz w:val="18"/>
              </w:rPr>
              <w:t xml:space="preserve">TAK </w:t>
            </w:r>
          </w:p>
        </w:tc>
      </w:tr>
      <w:tr w:rsidR="00DE0FBF" w:rsidRPr="00DE0FBF" w14:paraId="7A398A5A" w14:textId="77777777" w:rsidTr="00D40FBC">
        <w:trPr>
          <w:trHeight w:val="593"/>
        </w:trPr>
        <w:tc>
          <w:tcPr>
            <w:tcW w:w="3312" w:type="dxa"/>
            <w:tcBorders>
              <w:top w:val="single" w:sz="4" w:space="0" w:color="000000"/>
              <w:left w:val="single" w:sz="4" w:space="0" w:color="000000"/>
              <w:bottom w:val="single" w:sz="4" w:space="0" w:color="000000"/>
              <w:right w:val="single" w:sz="4" w:space="0" w:color="000000"/>
            </w:tcBorders>
          </w:tcPr>
          <w:p w14:paraId="2219D9EE" w14:textId="77777777" w:rsidR="00DE0FBF" w:rsidRPr="00DE0FBF" w:rsidRDefault="00DE0FBF" w:rsidP="00DE0FBF">
            <w:pPr>
              <w:spacing w:line="259" w:lineRule="auto"/>
              <w:ind w:left="31"/>
              <w:rPr>
                <w:rFonts w:ascii="Times New Roman" w:eastAsia="Times New Roman" w:hAnsi="Times New Roman" w:cs="Times New Roman"/>
                <w:color w:val="000000"/>
              </w:rPr>
            </w:pPr>
            <w:r w:rsidRPr="00DE0FBF">
              <w:rPr>
                <w:rFonts w:ascii="Calibri" w:eastAsia="Calibri" w:hAnsi="Calibri" w:cs="Calibri"/>
                <w:color w:val="000000"/>
                <w:sz w:val="18"/>
              </w:rPr>
              <w:t>Regulacja mocy biernej według zadanej charakterystyki Q(U) i cos</w:t>
            </w:r>
            <w:r w:rsidRPr="00DE0FBF">
              <w:rPr>
                <w:rFonts w:ascii="Calibri" w:eastAsia="Calibri" w:hAnsi="Calibri" w:cs="Calibri"/>
                <w:color w:val="000000"/>
                <w:sz w:val="18"/>
                <w:vertAlign w:val="subscript"/>
              </w:rPr>
              <w:t xml:space="preserve"> </w:t>
            </w:r>
            <w:r w:rsidRPr="00DE0FBF">
              <w:rPr>
                <w:rFonts w:ascii="Times New Roman" w:eastAsia="Times New Roman" w:hAnsi="Times New Roman" w:cs="Times New Roman"/>
                <w:i/>
                <w:color w:val="000000"/>
                <w:sz w:val="18"/>
              </w:rPr>
              <w:t>φ</w:t>
            </w:r>
            <w:r w:rsidRPr="00DE0FBF">
              <w:rPr>
                <w:rFonts w:ascii="Calibri" w:eastAsia="Calibri" w:hAnsi="Calibri" w:cs="Calibri"/>
                <w:color w:val="000000"/>
                <w:sz w:val="18"/>
              </w:rPr>
              <w:t xml:space="preserve"> (P) </w:t>
            </w:r>
          </w:p>
        </w:tc>
        <w:tc>
          <w:tcPr>
            <w:tcW w:w="1282" w:type="dxa"/>
            <w:tcBorders>
              <w:top w:val="single" w:sz="4" w:space="0" w:color="000000"/>
              <w:left w:val="single" w:sz="4" w:space="0" w:color="000000"/>
              <w:bottom w:val="single" w:sz="4" w:space="0" w:color="000000"/>
              <w:right w:val="nil"/>
            </w:tcBorders>
          </w:tcPr>
          <w:p w14:paraId="54CA4C43" w14:textId="77777777" w:rsidR="00DE0FBF" w:rsidRPr="00DE0FBF" w:rsidRDefault="00DE0FBF" w:rsidP="00DE0FBF">
            <w:pPr>
              <w:spacing w:after="160" w:line="259" w:lineRule="auto"/>
              <w:rPr>
                <w:rFonts w:ascii="Times New Roman" w:eastAsia="Times New Roman" w:hAnsi="Times New Roman" w:cs="Times New Roman"/>
                <w:color w:val="000000"/>
              </w:rPr>
            </w:pPr>
          </w:p>
        </w:tc>
        <w:tc>
          <w:tcPr>
            <w:tcW w:w="2863" w:type="dxa"/>
            <w:gridSpan w:val="2"/>
            <w:tcBorders>
              <w:top w:val="single" w:sz="4" w:space="0" w:color="000000"/>
              <w:left w:val="nil"/>
              <w:bottom w:val="single" w:sz="4" w:space="0" w:color="000000"/>
              <w:right w:val="single" w:sz="4" w:space="0" w:color="000000"/>
            </w:tcBorders>
            <w:vAlign w:val="center"/>
          </w:tcPr>
          <w:p w14:paraId="6FDC8725" w14:textId="77777777" w:rsidR="00DE0FBF" w:rsidRPr="00DE0FBF" w:rsidRDefault="00DE0FBF" w:rsidP="00DE0FBF">
            <w:pPr>
              <w:spacing w:line="259" w:lineRule="auto"/>
              <w:ind w:left="610"/>
              <w:rPr>
                <w:rFonts w:ascii="Times New Roman" w:eastAsia="Times New Roman" w:hAnsi="Times New Roman" w:cs="Times New Roman"/>
                <w:color w:val="000000"/>
              </w:rPr>
            </w:pPr>
            <w:r w:rsidRPr="00DE0FBF">
              <w:rPr>
                <w:rFonts w:ascii="Calibri" w:eastAsia="Calibri" w:hAnsi="Calibri" w:cs="Calibri"/>
                <w:color w:val="000000"/>
                <w:sz w:val="18"/>
              </w:rPr>
              <w:t xml:space="preserve">TAK </w:t>
            </w:r>
          </w:p>
        </w:tc>
      </w:tr>
      <w:tr w:rsidR="00DE0FBF" w:rsidRPr="00DE0FBF" w14:paraId="40DDE2C0" w14:textId="77777777" w:rsidTr="00D40FBC">
        <w:trPr>
          <w:trHeight w:val="1109"/>
        </w:trPr>
        <w:tc>
          <w:tcPr>
            <w:tcW w:w="3312" w:type="dxa"/>
            <w:tcBorders>
              <w:top w:val="single" w:sz="4" w:space="0" w:color="000000"/>
              <w:left w:val="single" w:sz="4" w:space="0" w:color="000000"/>
              <w:bottom w:val="single" w:sz="4" w:space="0" w:color="000000"/>
              <w:right w:val="single" w:sz="4" w:space="0" w:color="000000"/>
            </w:tcBorders>
          </w:tcPr>
          <w:p w14:paraId="0C7D9EE7" w14:textId="77777777" w:rsidR="00DE0FBF" w:rsidRPr="00DE0FBF" w:rsidRDefault="00DE0FBF" w:rsidP="00DE0FBF">
            <w:pPr>
              <w:spacing w:line="259" w:lineRule="auto"/>
              <w:ind w:left="31"/>
              <w:rPr>
                <w:rFonts w:ascii="Times New Roman" w:eastAsia="Times New Roman" w:hAnsi="Times New Roman" w:cs="Times New Roman"/>
                <w:color w:val="000000"/>
              </w:rPr>
            </w:pPr>
            <w:r w:rsidRPr="00DE0FBF">
              <w:rPr>
                <w:rFonts w:ascii="Calibri" w:eastAsia="Calibri" w:hAnsi="Calibri" w:cs="Calibri"/>
                <w:color w:val="000000"/>
                <w:sz w:val="18"/>
              </w:rPr>
              <w:t xml:space="preserve">Układ zabezpieczeń:  </w:t>
            </w:r>
          </w:p>
          <w:p w14:paraId="4A45AF4D" w14:textId="77777777" w:rsidR="00DE0FBF" w:rsidRPr="00DE0FBF" w:rsidRDefault="00DE0FBF" w:rsidP="00DE0FBF">
            <w:pPr>
              <w:spacing w:line="259" w:lineRule="auto"/>
              <w:ind w:left="31"/>
              <w:rPr>
                <w:rFonts w:ascii="Times New Roman" w:eastAsia="Times New Roman" w:hAnsi="Times New Roman" w:cs="Times New Roman"/>
                <w:color w:val="000000"/>
              </w:rPr>
            </w:pPr>
            <w:r w:rsidRPr="00DE0FBF">
              <w:rPr>
                <w:rFonts w:ascii="Calibri" w:eastAsia="Calibri" w:hAnsi="Calibri" w:cs="Calibri"/>
                <w:color w:val="000000"/>
                <w:sz w:val="18"/>
              </w:rPr>
              <w:t xml:space="preserve">komplet zabezpieczeń nad- i podnapięciowych, nad- i </w:t>
            </w:r>
            <w:proofErr w:type="spellStart"/>
            <w:r w:rsidRPr="00DE0FBF">
              <w:rPr>
                <w:rFonts w:ascii="Calibri" w:eastAsia="Calibri" w:hAnsi="Calibri" w:cs="Calibri"/>
                <w:color w:val="000000"/>
                <w:sz w:val="18"/>
              </w:rPr>
              <w:t>podczęstotliwościowych</w:t>
            </w:r>
            <w:proofErr w:type="spellEnd"/>
            <w:r w:rsidRPr="00DE0FBF">
              <w:rPr>
                <w:rFonts w:ascii="Calibri" w:eastAsia="Calibri" w:hAnsi="Calibri" w:cs="Calibri"/>
                <w:color w:val="000000"/>
                <w:sz w:val="18"/>
              </w:rPr>
              <w:t xml:space="preserve"> oraz od pracy wyspowej </w:t>
            </w:r>
          </w:p>
        </w:tc>
        <w:tc>
          <w:tcPr>
            <w:tcW w:w="1282" w:type="dxa"/>
            <w:tcBorders>
              <w:top w:val="single" w:sz="4" w:space="0" w:color="000000"/>
              <w:left w:val="single" w:sz="4" w:space="0" w:color="000000"/>
              <w:bottom w:val="single" w:sz="4" w:space="0" w:color="000000"/>
              <w:right w:val="nil"/>
            </w:tcBorders>
          </w:tcPr>
          <w:p w14:paraId="6E62FD54" w14:textId="77777777" w:rsidR="00DE0FBF" w:rsidRPr="00DE0FBF" w:rsidRDefault="00DE0FBF" w:rsidP="00DE0FBF">
            <w:pPr>
              <w:spacing w:after="160" w:line="259" w:lineRule="auto"/>
              <w:rPr>
                <w:rFonts w:ascii="Times New Roman" w:eastAsia="Times New Roman" w:hAnsi="Times New Roman" w:cs="Times New Roman"/>
                <w:color w:val="000000"/>
              </w:rPr>
            </w:pPr>
          </w:p>
        </w:tc>
        <w:tc>
          <w:tcPr>
            <w:tcW w:w="2863" w:type="dxa"/>
            <w:gridSpan w:val="2"/>
            <w:tcBorders>
              <w:top w:val="single" w:sz="4" w:space="0" w:color="000000"/>
              <w:left w:val="nil"/>
              <w:bottom w:val="single" w:sz="4" w:space="0" w:color="000000"/>
              <w:right w:val="single" w:sz="4" w:space="0" w:color="000000"/>
            </w:tcBorders>
            <w:vAlign w:val="center"/>
          </w:tcPr>
          <w:p w14:paraId="669D6FFB" w14:textId="77777777" w:rsidR="00DE0FBF" w:rsidRPr="00DE0FBF" w:rsidRDefault="00DE0FBF" w:rsidP="00DE0FBF">
            <w:pPr>
              <w:spacing w:line="259" w:lineRule="auto"/>
              <w:ind w:left="609"/>
              <w:rPr>
                <w:rFonts w:ascii="Times New Roman" w:eastAsia="Times New Roman" w:hAnsi="Times New Roman" w:cs="Times New Roman"/>
                <w:color w:val="000000"/>
              </w:rPr>
            </w:pPr>
            <w:r w:rsidRPr="00DE0FBF">
              <w:rPr>
                <w:rFonts w:ascii="Calibri" w:eastAsia="Calibri" w:hAnsi="Calibri" w:cs="Calibri"/>
                <w:color w:val="000000"/>
                <w:sz w:val="18"/>
              </w:rPr>
              <w:t xml:space="preserve">TAK </w:t>
            </w:r>
          </w:p>
        </w:tc>
      </w:tr>
      <w:tr w:rsidR="00DE0FBF" w:rsidRPr="00DE0FBF" w14:paraId="30C4475E" w14:textId="77777777" w:rsidTr="00D40FBC">
        <w:trPr>
          <w:trHeight w:val="571"/>
        </w:trPr>
        <w:tc>
          <w:tcPr>
            <w:tcW w:w="3312" w:type="dxa"/>
            <w:tcBorders>
              <w:top w:val="single" w:sz="4" w:space="0" w:color="000000"/>
              <w:left w:val="single" w:sz="4" w:space="0" w:color="000000"/>
              <w:bottom w:val="single" w:sz="4" w:space="0" w:color="000000"/>
              <w:right w:val="single" w:sz="4" w:space="0" w:color="000000"/>
            </w:tcBorders>
            <w:vAlign w:val="center"/>
          </w:tcPr>
          <w:p w14:paraId="1B50AF2D" w14:textId="77777777" w:rsidR="00DE0FBF" w:rsidRPr="00DE0FBF" w:rsidRDefault="00DE0FBF" w:rsidP="00DE0FBF">
            <w:pPr>
              <w:spacing w:line="259" w:lineRule="auto"/>
              <w:ind w:left="31"/>
              <w:rPr>
                <w:rFonts w:ascii="Times New Roman" w:eastAsia="Times New Roman" w:hAnsi="Times New Roman" w:cs="Times New Roman"/>
                <w:color w:val="000000"/>
              </w:rPr>
            </w:pPr>
            <w:r w:rsidRPr="00DE0FBF">
              <w:rPr>
                <w:rFonts w:ascii="Calibri" w:eastAsia="Calibri" w:hAnsi="Calibri" w:cs="Calibri"/>
                <w:color w:val="000000"/>
                <w:sz w:val="18"/>
              </w:rPr>
              <w:t xml:space="preserve">Sposób przyłączenia </w:t>
            </w:r>
          </w:p>
        </w:tc>
        <w:tc>
          <w:tcPr>
            <w:tcW w:w="1282" w:type="dxa"/>
            <w:tcBorders>
              <w:top w:val="single" w:sz="4" w:space="0" w:color="000000"/>
              <w:left w:val="single" w:sz="4" w:space="0" w:color="000000"/>
              <w:bottom w:val="single" w:sz="4" w:space="0" w:color="000000"/>
              <w:right w:val="single" w:sz="4" w:space="0" w:color="000000"/>
            </w:tcBorders>
          </w:tcPr>
          <w:p w14:paraId="015D1982" w14:textId="77777777" w:rsidR="00DE0FBF" w:rsidRPr="00DE0FBF" w:rsidRDefault="00DE0FBF" w:rsidP="00DE0FBF">
            <w:pPr>
              <w:spacing w:line="259" w:lineRule="auto"/>
              <w:jc w:val="center"/>
              <w:rPr>
                <w:rFonts w:ascii="Times New Roman" w:eastAsia="Times New Roman" w:hAnsi="Times New Roman" w:cs="Times New Roman"/>
                <w:color w:val="000000"/>
              </w:rPr>
            </w:pPr>
            <w:r w:rsidRPr="00DE0FBF">
              <w:rPr>
                <w:rFonts w:ascii="Calibri" w:eastAsia="Calibri" w:hAnsi="Calibri" w:cs="Calibri"/>
                <w:color w:val="000000"/>
                <w:sz w:val="18"/>
              </w:rPr>
              <w:t xml:space="preserve">1-fazowo lub 3fazowo </w:t>
            </w:r>
          </w:p>
        </w:tc>
        <w:tc>
          <w:tcPr>
            <w:tcW w:w="2863" w:type="dxa"/>
            <w:gridSpan w:val="2"/>
            <w:tcBorders>
              <w:top w:val="single" w:sz="4" w:space="0" w:color="000000"/>
              <w:left w:val="single" w:sz="4" w:space="0" w:color="000000"/>
              <w:bottom w:val="single" w:sz="4" w:space="0" w:color="000000"/>
              <w:right w:val="single" w:sz="4" w:space="0" w:color="000000"/>
            </w:tcBorders>
            <w:vAlign w:val="center"/>
          </w:tcPr>
          <w:p w14:paraId="6BA840A1" w14:textId="77777777" w:rsidR="00DE0FBF" w:rsidRPr="00DE0FBF" w:rsidRDefault="00DE0FBF" w:rsidP="00DE0FBF">
            <w:pPr>
              <w:spacing w:line="259" w:lineRule="auto"/>
              <w:ind w:left="8"/>
              <w:jc w:val="center"/>
              <w:rPr>
                <w:rFonts w:ascii="Times New Roman" w:eastAsia="Times New Roman" w:hAnsi="Times New Roman" w:cs="Times New Roman"/>
                <w:color w:val="000000"/>
              </w:rPr>
            </w:pPr>
            <w:r w:rsidRPr="00DE0FBF">
              <w:rPr>
                <w:rFonts w:ascii="Calibri" w:eastAsia="Calibri" w:hAnsi="Calibri" w:cs="Calibri"/>
                <w:color w:val="000000"/>
                <w:sz w:val="18"/>
              </w:rPr>
              <w:t xml:space="preserve">3-fazowo  </w:t>
            </w:r>
          </w:p>
        </w:tc>
      </w:tr>
    </w:tbl>
    <w:p w14:paraId="74F2AF4C" w14:textId="2BE4C203" w:rsidR="00DE0FBF" w:rsidRPr="00DE0FBF" w:rsidRDefault="00C67EB0" w:rsidP="00C67EB0">
      <w:pPr>
        <w:keepNext/>
        <w:keepLines/>
        <w:spacing w:after="155" w:line="249" w:lineRule="auto"/>
        <w:ind w:left="1118" w:hanging="1118"/>
        <w:jc w:val="left"/>
        <w:outlineLvl w:val="0"/>
        <w:rPr>
          <w:rFonts w:ascii="Times New Roman" w:eastAsia="Times New Roman" w:hAnsi="Times New Roman" w:cs="Times New Roman"/>
          <w:b/>
          <w:color w:val="000000"/>
          <w:kern w:val="2"/>
          <w:sz w:val="24"/>
          <w:szCs w:val="24"/>
          <w:lang w:eastAsia="pl-PL"/>
        </w:rPr>
      </w:pPr>
      <w:r>
        <w:rPr>
          <w:rFonts w:ascii="Times New Roman" w:eastAsia="Times New Roman" w:hAnsi="Times New Roman" w:cs="Times New Roman"/>
          <w:b/>
          <w:color w:val="000000"/>
          <w:kern w:val="2"/>
          <w:sz w:val="24"/>
          <w:szCs w:val="24"/>
          <w:lang w:eastAsia="pl-PL"/>
        </w:rPr>
        <w:lastRenderedPageBreak/>
        <w:t xml:space="preserve">10.  </w:t>
      </w:r>
      <w:r>
        <w:rPr>
          <w:rFonts w:ascii="Times New Roman" w:eastAsia="Times New Roman" w:hAnsi="Times New Roman" w:cs="Times New Roman"/>
          <w:b/>
          <w:color w:val="000000"/>
          <w:kern w:val="2"/>
          <w:sz w:val="24"/>
          <w:szCs w:val="24"/>
          <w:lang w:eastAsia="pl-PL"/>
        </w:rPr>
        <w:tab/>
      </w:r>
      <w:r w:rsidR="00DE0FBF" w:rsidRPr="00DE0FBF">
        <w:rPr>
          <w:rFonts w:ascii="Times New Roman" w:eastAsia="Times New Roman" w:hAnsi="Times New Roman" w:cs="Times New Roman"/>
          <w:b/>
          <w:color w:val="000000"/>
          <w:kern w:val="2"/>
          <w:sz w:val="24"/>
          <w:szCs w:val="24"/>
          <w:lang w:eastAsia="pl-PL"/>
        </w:rPr>
        <w:t xml:space="preserve">WYMAGANIA </w:t>
      </w:r>
      <w:r w:rsidR="00DE0FBF" w:rsidRPr="00DE0FBF">
        <w:rPr>
          <w:rFonts w:ascii="Times New Roman" w:eastAsia="Times New Roman" w:hAnsi="Times New Roman" w:cs="Times New Roman"/>
          <w:b/>
          <w:color w:val="000000"/>
          <w:kern w:val="2"/>
          <w:sz w:val="24"/>
          <w:szCs w:val="24"/>
          <w:lang w:eastAsia="pl-PL"/>
        </w:rPr>
        <w:tab/>
        <w:t xml:space="preserve">TECHNICZNE DLA MAGAZYNÓW ENERGII ELEKTRYCZNEJ PRZYŁĄCZANYCH LUB PRZYŁĄCZONYCH DO SIECI DYSTRYBUCYJNEJ INDUSTRIA DYSTRYBUCJA SP. Z O.O. </w:t>
      </w:r>
    </w:p>
    <w:p w14:paraId="1D3BE1C2" w14:textId="1FC58F9E" w:rsidR="00DE0FBF" w:rsidRPr="00DE0FBF" w:rsidRDefault="00C67EB0" w:rsidP="00DE0FBF">
      <w:pPr>
        <w:keepNext/>
        <w:keepLines/>
        <w:numPr>
          <w:ilvl w:val="1"/>
          <w:numId w:val="0"/>
        </w:numPr>
        <w:spacing w:after="155" w:line="249" w:lineRule="auto"/>
        <w:ind w:left="1118" w:hanging="1061"/>
        <w:jc w:val="left"/>
        <w:outlineLvl w:val="1"/>
        <w:rPr>
          <w:rFonts w:ascii="Times New Roman" w:eastAsia="Times New Roman" w:hAnsi="Times New Roman" w:cs="Times New Roman"/>
          <w:b/>
          <w:color w:val="000000"/>
          <w:kern w:val="2"/>
          <w:sz w:val="24"/>
          <w:szCs w:val="24"/>
          <w:lang w:eastAsia="pl-PL"/>
        </w:rPr>
      </w:pPr>
      <w:r>
        <w:rPr>
          <w:rFonts w:ascii="Times New Roman" w:eastAsia="Times New Roman" w:hAnsi="Times New Roman" w:cs="Times New Roman"/>
          <w:b/>
          <w:color w:val="000000"/>
          <w:kern w:val="2"/>
          <w:sz w:val="24"/>
          <w:szCs w:val="24"/>
          <w:lang w:eastAsia="pl-PL"/>
        </w:rPr>
        <w:t xml:space="preserve">10.1. </w:t>
      </w:r>
      <w:r>
        <w:rPr>
          <w:rFonts w:ascii="Times New Roman" w:eastAsia="Times New Roman" w:hAnsi="Times New Roman" w:cs="Times New Roman"/>
          <w:b/>
          <w:color w:val="000000"/>
          <w:kern w:val="2"/>
          <w:sz w:val="24"/>
          <w:szCs w:val="24"/>
          <w:lang w:eastAsia="pl-PL"/>
        </w:rPr>
        <w:tab/>
      </w:r>
      <w:r w:rsidR="00DE0FBF" w:rsidRPr="00DE0FBF">
        <w:rPr>
          <w:rFonts w:ascii="Times New Roman" w:eastAsia="Times New Roman" w:hAnsi="Times New Roman" w:cs="Times New Roman"/>
          <w:b/>
          <w:color w:val="000000"/>
          <w:kern w:val="2"/>
          <w:sz w:val="24"/>
          <w:szCs w:val="24"/>
          <w:lang w:eastAsia="pl-PL"/>
        </w:rPr>
        <w:t xml:space="preserve">Postanowienia ogólne </w:t>
      </w:r>
    </w:p>
    <w:p w14:paraId="1D509FBA" w14:textId="77777777" w:rsidR="00DE0FBF" w:rsidRPr="00DE0FBF" w:rsidRDefault="00DE0FBF" w:rsidP="00DE0FBF">
      <w:pPr>
        <w:spacing w:after="135" w:line="269" w:lineRule="auto"/>
        <w:ind w:left="1118"/>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Ze względu na charakter magazynów energii elektrycznej pracujących w trybie wytwarzania, należy traktować je jako jednostki wytwarzające energie elektryczną w module parku energii. Stąd też, dla magazynów energii elektrycznej obowiązują wymagania takie same jak dla odpowiednich typów modułów wytwarzania zgodnie z zapisami NC </w:t>
      </w:r>
      <w:proofErr w:type="spellStart"/>
      <w:r w:rsidRPr="00DE0FBF">
        <w:rPr>
          <w:rFonts w:ascii="Times New Roman" w:eastAsia="Times New Roman" w:hAnsi="Times New Roman" w:cs="Times New Roman"/>
          <w:color w:val="000000"/>
          <w:kern w:val="2"/>
          <w:sz w:val="24"/>
          <w:szCs w:val="24"/>
          <w:lang w:eastAsia="pl-PL"/>
        </w:rPr>
        <w:t>RfG</w:t>
      </w:r>
      <w:proofErr w:type="spellEnd"/>
      <w:r w:rsidRPr="00DE0FBF">
        <w:rPr>
          <w:rFonts w:ascii="Times New Roman" w:eastAsia="Times New Roman" w:hAnsi="Times New Roman" w:cs="Times New Roman"/>
          <w:color w:val="000000"/>
          <w:kern w:val="2"/>
          <w:sz w:val="24"/>
          <w:szCs w:val="24"/>
          <w:lang w:eastAsia="pl-PL"/>
        </w:rPr>
        <w:t xml:space="preserve"> oraz z zapisami wymogów ogólnego stosowania do NC </w:t>
      </w:r>
      <w:proofErr w:type="spellStart"/>
      <w:r w:rsidRPr="00DE0FBF">
        <w:rPr>
          <w:rFonts w:ascii="Times New Roman" w:eastAsia="Times New Roman" w:hAnsi="Times New Roman" w:cs="Times New Roman"/>
          <w:color w:val="000000"/>
          <w:kern w:val="2"/>
          <w:sz w:val="24"/>
          <w:szCs w:val="24"/>
          <w:lang w:eastAsia="pl-PL"/>
        </w:rPr>
        <w:t>RfG</w:t>
      </w:r>
      <w:proofErr w:type="spellEnd"/>
      <w:r w:rsidRPr="00DE0FBF">
        <w:rPr>
          <w:rFonts w:ascii="Times New Roman" w:eastAsia="Times New Roman" w:hAnsi="Times New Roman" w:cs="Times New Roman"/>
          <w:color w:val="000000"/>
          <w:kern w:val="2"/>
          <w:sz w:val="24"/>
          <w:szCs w:val="24"/>
          <w:lang w:eastAsia="pl-PL"/>
        </w:rPr>
        <w:t xml:space="preserve">, włącznie z poniższymi, szczegółowymi zapisami w zakresie aktywnej odpowiedzi na odchylenia częstotliwości (tryby: LFSM-O, LFSM-U). </w:t>
      </w:r>
    </w:p>
    <w:p w14:paraId="390C6AA7" w14:textId="7ECD65C3" w:rsidR="00DE0FBF" w:rsidRPr="00DE0FBF" w:rsidRDefault="00C67EB0" w:rsidP="00C67EB0">
      <w:pPr>
        <w:keepNext/>
        <w:keepLines/>
        <w:numPr>
          <w:ilvl w:val="1"/>
          <w:numId w:val="0"/>
        </w:numPr>
        <w:tabs>
          <w:tab w:val="left" w:pos="708"/>
          <w:tab w:val="left" w:pos="1416"/>
          <w:tab w:val="left" w:pos="2124"/>
          <w:tab w:val="left" w:pos="2832"/>
          <w:tab w:val="left" w:pos="3540"/>
          <w:tab w:val="left" w:pos="4248"/>
          <w:tab w:val="left" w:pos="4956"/>
          <w:tab w:val="left" w:pos="5664"/>
          <w:tab w:val="left" w:pos="7480"/>
        </w:tabs>
        <w:spacing w:after="155" w:line="249" w:lineRule="auto"/>
        <w:ind w:left="1118" w:hanging="1118"/>
        <w:jc w:val="left"/>
        <w:outlineLvl w:val="1"/>
        <w:rPr>
          <w:rFonts w:ascii="Times New Roman" w:eastAsia="Times New Roman" w:hAnsi="Times New Roman" w:cs="Times New Roman"/>
          <w:b/>
          <w:color w:val="000000"/>
          <w:kern w:val="2"/>
          <w:sz w:val="24"/>
          <w:szCs w:val="24"/>
          <w:lang w:eastAsia="pl-PL"/>
        </w:rPr>
      </w:pPr>
      <w:r>
        <w:rPr>
          <w:rFonts w:ascii="Times New Roman" w:eastAsia="Times New Roman" w:hAnsi="Times New Roman" w:cs="Times New Roman"/>
          <w:b/>
          <w:color w:val="000000"/>
          <w:kern w:val="2"/>
          <w:sz w:val="24"/>
          <w:szCs w:val="24"/>
          <w:lang w:eastAsia="pl-PL"/>
        </w:rPr>
        <w:t xml:space="preserve">10.2. </w:t>
      </w:r>
      <w:r>
        <w:rPr>
          <w:rFonts w:ascii="Times New Roman" w:eastAsia="Times New Roman" w:hAnsi="Times New Roman" w:cs="Times New Roman"/>
          <w:b/>
          <w:color w:val="000000"/>
          <w:kern w:val="2"/>
          <w:sz w:val="24"/>
          <w:szCs w:val="24"/>
          <w:lang w:eastAsia="pl-PL"/>
        </w:rPr>
        <w:tab/>
      </w:r>
      <w:r>
        <w:rPr>
          <w:rFonts w:ascii="Times New Roman" w:eastAsia="Times New Roman" w:hAnsi="Times New Roman" w:cs="Times New Roman"/>
          <w:b/>
          <w:color w:val="000000"/>
          <w:kern w:val="2"/>
          <w:sz w:val="24"/>
          <w:szCs w:val="24"/>
          <w:lang w:eastAsia="pl-PL"/>
        </w:rPr>
        <w:tab/>
      </w:r>
      <w:r w:rsidR="00DE0FBF" w:rsidRPr="00DE0FBF">
        <w:rPr>
          <w:rFonts w:ascii="Times New Roman" w:eastAsia="Times New Roman" w:hAnsi="Times New Roman" w:cs="Times New Roman"/>
          <w:b/>
          <w:color w:val="000000"/>
          <w:kern w:val="2"/>
          <w:sz w:val="24"/>
          <w:szCs w:val="24"/>
          <w:lang w:eastAsia="pl-PL"/>
        </w:rPr>
        <w:t>Aktywna odpowiedź na odchylenia częstotliwości</w:t>
      </w:r>
      <w:r w:rsidR="00DE0FBF" w:rsidRPr="00DE0FBF">
        <w:rPr>
          <w:rFonts w:ascii="Times New Roman" w:eastAsia="Times New Roman" w:hAnsi="Times New Roman" w:cs="Times New Roman"/>
          <w:color w:val="000000"/>
          <w:kern w:val="2"/>
          <w:sz w:val="24"/>
          <w:szCs w:val="24"/>
          <w:lang w:eastAsia="pl-PL"/>
        </w:rPr>
        <w:t xml:space="preserve"> </w:t>
      </w:r>
      <w:r>
        <w:rPr>
          <w:rFonts w:ascii="Times New Roman" w:eastAsia="Times New Roman" w:hAnsi="Times New Roman" w:cs="Times New Roman"/>
          <w:color w:val="000000"/>
          <w:kern w:val="2"/>
          <w:sz w:val="24"/>
          <w:szCs w:val="24"/>
          <w:lang w:eastAsia="pl-PL"/>
        </w:rPr>
        <w:tab/>
      </w:r>
    </w:p>
    <w:p w14:paraId="2C645878" w14:textId="03239C00" w:rsidR="00DE0FBF" w:rsidRPr="00C67EB0" w:rsidRDefault="00C67EB0" w:rsidP="00DE0FBF">
      <w:pPr>
        <w:keepNext/>
        <w:keepLines/>
        <w:numPr>
          <w:ilvl w:val="2"/>
          <w:numId w:val="0"/>
        </w:numPr>
        <w:spacing w:after="149" w:line="259" w:lineRule="auto"/>
        <w:ind w:left="1134" w:hanging="1134"/>
        <w:jc w:val="left"/>
        <w:outlineLvl w:val="2"/>
        <w:rPr>
          <w:rFonts w:ascii="Times New Roman" w:eastAsia="Times New Roman" w:hAnsi="Times New Roman" w:cs="Times New Roman"/>
          <w:color w:val="000000"/>
          <w:kern w:val="2"/>
          <w:sz w:val="24"/>
          <w:szCs w:val="24"/>
          <w:lang w:eastAsia="pl-PL"/>
        </w:rPr>
      </w:pPr>
      <w:r w:rsidRPr="00C67EB0">
        <w:rPr>
          <w:rFonts w:ascii="Times New Roman" w:eastAsia="Times New Roman" w:hAnsi="Times New Roman" w:cs="Times New Roman"/>
          <w:color w:val="000000"/>
          <w:kern w:val="2"/>
          <w:sz w:val="24"/>
          <w:szCs w:val="24"/>
          <w:lang w:eastAsia="pl-PL"/>
        </w:rPr>
        <w:t>10.2.1</w:t>
      </w:r>
      <w:r w:rsidR="00D77525">
        <w:rPr>
          <w:rFonts w:ascii="Times New Roman" w:eastAsia="Times New Roman" w:hAnsi="Times New Roman" w:cs="Times New Roman"/>
          <w:color w:val="000000"/>
          <w:kern w:val="2"/>
          <w:sz w:val="24"/>
          <w:szCs w:val="24"/>
          <w:lang w:eastAsia="pl-PL"/>
        </w:rPr>
        <w:t>.</w:t>
      </w:r>
      <w:r w:rsidRPr="00C67EB0">
        <w:rPr>
          <w:rFonts w:ascii="Times New Roman" w:eastAsia="Times New Roman" w:hAnsi="Times New Roman" w:cs="Times New Roman"/>
          <w:color w:val="000000"/>
          <w:kern w:val="2"/>
          <w:sz w:val="24"/>
          <w:szCs w:val="24"/>
          <w:lang w:eastAsia="pl-PL"/>
        </w:rPr>
        <w:t xml:space="preserve"> </w:t>
      </w:r>
      <w:r w:rsidRPr="00C67EB0">
        <w:rPr>
          <w:rFonts w:ascii="Times New Roman" w:eastAsia="Times New Roman" w:hAnsi="Times New Roman" w:cs="Times New Roman"/>
          <w:color w:val="000000"/>
          <w:kern w:val="2"/>
          <w:sz w:val="24"/>
          <w:szCs w:val="24"/>
          <w:lang w:eastAsia="pl-PL"/>
        </w:rPr>
        <w:tab/>
      </w:r>
      <w:r w:rsidR="00DE0FBF" w:rsidRPr="00C67EB0">
        <w:rPr>
          <w:rFonts w:ascii="Times New Roman" w:eastAsia="Times New Roman" w:hAnsi="Times New Roman" w:cs="Times New Roman"/>
          <w:color w:val="000000"/>
          <w:kern w:val="2"/>
          <w:sz w:val="24"/>
          <w:szCs w:val="24"/>
          <w:u w:val="single"/>
          <w:lang w:eastAsia="pl-PL"/>
        </w:rPr>
        <w:t>Odpowiedź mocą na podwyższoną częstotliwość (tryb LFSM-O)</w:t>
      </w:r>
      <w:r w:rsidR="00DE0FBF" w:rsidRPr="00C67EB0">
        <w:rPr>
          <w:rFonts w:ascii="Times New Roman" w:eastAsia="Times New Roman" w:hAnsi="Times New Roman" w:cs="Times New Roman"/>
          <w:color w:val="000000"/>
          <w:kern w:val="2"/>
          <w:sz w:val="24"/>
          <w:szCs w:val="24"/>
          <w:lang w:eastAsia="pl-PL"/>
        </w:rPr>
        <w:t xml:space="preserve"> </w:t>
      </w:r>
    </w:p>
    <w:p w14:paraId="20A2B83B" w14:textId="77777777" w:rsidR="00DE0FBF" w:rsidRPr="00DE0FBF" w:rsidRDefault="00DE0FBF" w:rsidP="00DE0FBF">
      <w:pPr>
        <w:spacing w:after="135" w:line="269" w:lineRule="auto"/>
        <w:ind w:left="1134"/>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Magazyny energii elektrycznej, które są w trybie rozładowania, powinny być zdolne do aktywacji odpowiedzi mocą czynną na podwyższoną częstotliwość, analogicznie jak moduły wytwarzania A, B, C i D.  </w:t>
      </w:r>
    </w:p>
    <w:p w14:paraId="1D827199" w14:textId="12FAD2F9" w:rsidR="00DE0FBF" w:rsidRPr="00DE0FBF" w:rsidRDefault="00DE0FBF" w:rsidP="00DE0FBF">
      <w:pPr>
        <w:spacing w:after="135" w:line="269" w:lineRule="auto"/>
        <w:ind w:left="1134"/>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Magazyny energii elektrycznej, które są w trybie ładowania, w momencie, gdy częstotliwość przekroczy próg częstotliwości dla trybu LFSM-O (50,2 </w:t>
      </w:r>
      <w:proofErr w:type="spellStart"/>
      <w:r w:rsidRPr="00DE0FBF">
        <w:rPr>
          <w:rFonts w:ascii="Times New Roman" w:eastAsia="Times New Roman" w:hAnsi="Times New Roman" w:cs="Times New Roman"/>
          <w:color w:val="000000"/>
          <w:kern w:val="2"/>
          <w:sz w:val="24"/>
          <w:szCs w:val="24"/>
          <w:lang w:eastAsia="pl-PL"/>
        </w:rPr>
        <w:t>Hz</w:t>
      </w:r>
      <w:proofErr w:type="spellEnd"/>
      <w:r w:rsidRPr="00DE0FBF">
        <w:rPr>
          <w:rFonts w:ascii="Times New Roman" w:eastAsia="Times New Roman" w:hAnsi="Times New Roman" w:cs="Times New Roman"/>
          <w:color w:val="000000"/>
          <w:kern w:val="2"/>
          <w:sz w:val="24"/>
          <w:szCs w:val="24"/>
          <w:lang w:eastAsia="pl-PL"/>
        </w:rPr>
        <w:t xml:space="preserve"> – 50,5 </w:t>
      </w:r>
      <w:proofErr w:type="spellStart"/>
      <w:r w:rsidRPr="00DE0FBF">
        <w:rPr>
          <w:rFonts w:ascii="Times New Roman" w:eastAsia="Times New Roman" w:hAnsi="Times New Roman" w:cs="Times New Roman"/>
          <w:color w:val="000000"/>
          <w:kern w:val="2"/>
          <w:sz w:val="24"/>
          <w:szCs w:val="24"/>
          <w:lang w:eastAsia="pl-PL"/>
        </w:rPr>
        <w:t>Hz</w:t>
      </w:r>
      <w:proofErr w:type="spellEnd"/>
      <w:r w:rsidRPr="00DE0FBF">
        <w:rPr>
          <w:rFonts w:ascii="Times New Roman" w:eastAsia="Times New Roman" w:hAnsi="Times New Roman" w:cs="Times New Roman"/>
          <w:color w:val="000000"/>
          <w:kern w:val="2"/>
          <w:sz w:val="24"/>
          <w:szCs w:val="24"/>
          <w:lang w:eastAsia="pl-PL"/>
        </w:rPr>
        <w:t xml:space="preserve">, wartość domyślna 50,2 </w:t>
      </w:r>
      <w:proofErr w:type="spellStart"/>
      <w:r w:rsidRPr="00DE0FBF">
        <w:rPr>
          <w:rFonts w:ascii="Times New Roman" w:eastAsia="Times New Roman" w:hAnsi="Times New Roman" w:cs="Times New Roman"/>
          <w:color w:val="000000"/>
          <w:kern w:val="2"/>
          <w:sz w:val="24"/>
          <w:szCs w:val="24"/>
          <w:lang w:eastAsia="pl-PL"/>
        </w:rPr>
        <w:t>Hz</w:t>
      </w:r>
      <w:proofErr w:type="spellEnd"/>
      <w:r w:rsidRPr="00DE0FBF">
        <w:rPr>
          <w:rFonts w:ascii="Times New Roman" w:eastAsia="Times New Roman" w:hAnsi="Times New Roman" w:cs="Times New Roman"/>
          <w:color w:val="000000"/>
          <w:kern w:val="2"/>
          <w:sz w:val="24"/>
          <w:szCs w:val="24"/>
          <w:lang w:eastAsia="pl-PL"/>
        </w:rPr>
        <w:t xml:space="preserve">) nie powinny zmniejszać mocy ładowania poniżej chwilowej mocy czynnej, dopóki częstotliwość nie powróci poniżej progu częstotliwości. Zaleca się, aby magazyny energii elektrycznej zwiększały moc ładowania zgodnie ze skonfigurowanym </w:t>
      </w:r>
      <w:proofErr w:type="spellStart"/>
      <w:r w:rsidRPr="00DE0FBF">
        <w:rPr>
          <w:rFonts w:ascii="Times New Roman" w:eastAsia="Times New Roman" w:hAnsi="Times New Roman" w:cs="Times New Roman"/>
          <w:color w:val="000000"/>
          <w:kern w:val="2"/>
          <w:sz w:val="24"/>
          <w:szCs w:val="24"/>
          <w:lang w:eastAsia="pl-PL"/>
        </w:rPr>
        <w:t>statyzmem</w:t>
      </w:r>
      <w:proofErr w:type="spellEnd"/>
      <w:r w:rsidRPr="00DE0FBF">
        <w:rPr>
          <w:rFonts w:ascii="Times New Roman" w:eastAsia="Times New Roman" w:hAnsi="Times New Roman" w:cs="Times New Roman"/>
          <w:color w:val="000000"/>
          <w:kern w:val="2"/>
          <w:sz w:val="24"/>
          <w:szCs w:val="24"/>
          <w:lang w:eastAsia="pl-PL"/>
        </w:rPr>
        <w:t xml:space="preserve"> (w zakresie 2 do 12%, wartość domyślna 5%). Dopuszcza się zmniejszenie mocy ładowania w przypadku osiągnięcia maksymalnej pojemności ładowania oraz w celu uniknięcia wystąpienia wzrostu </w:t>
      </w:r>
      <w:r w:rsidR="00007264" w:rsidRPr="00DE0FBF">
        <w:rPr>
          <w:rFonts w:ascii="Times New Roman" w:eastAsia="Times New Roman" w:hAnsi="Times New Roman" w:cs="Times New Roman"/>
          <w:color w:val="000000"/>
          <w:kern w:val="2"/>
          <w:sz w:val="24"/>
          <w:szCs w:val="24"/>
          <w:lang w:eastAsia="pl-PL"/>
        </w:rPr>
        <w:t>ryzyka</w:t>
      </w:r>
      <w:r w:rsidRPr="00DE0FBF">
        <w:rPr>
          <w:rFonts w:ascii="Times New Roman" w:eastAsia="Times New Roman" w:hAnsi="Times New Roman" w:cs="Times New Roman"/>
          <w:color w:val="000000"/>
          <w:kern w:val="2"/>
          <w:sz w:val="24"/>
          <w:szCs w:val="24"/>
          <w:lang w:eastAsia="pl-PL"/>
        </w:rPr>
        <w:t xml:space="preserve"> uszkodzenia sprzętu lub zagrożeń otoczenia. </w:t>
      </w:r>
    </w:p>
    <w:p w14:paraId="2A7539B1" w14:textId="77777777" w:rsidR="00D77525" w:rsidRDefault="00DE0FBF" w:rsidP="00D77525">
      <w:pPr>
        <w:spacing w:after="135" w:line="269" w:lineRule="auto"/>
        <w:ind w:left="1134"/>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Magazyny energii elektrycznej, które są w trybie rozładowania, w odpowiedzi na przekroczenie progu częstotliwości, powinny zmniejszać moc rozładowania zgodnie ze skonfigurowanym </w:t>
      </w:r>
      <w:proofErr w:type="spellStart"/>
      <w:r w:rsidRPr="00DE0FBF">
        <w:rPr>
          <w:rFonts w:ascii="Times New Roman" w:eastAsia="Times New Roman" w:hAnsi="Times New Roman" w:cs="Times New Roman"/>
          <w:color w:val="000000"/>
          <w:kern w:val="2"/>
          <w:sz w:val="24"/>
          <w:szCs w:val="24"/>
          <w:lang w:eastAsia="pl-PL"/>
        </w:rPr>
        <w:t>statyzmem</w:t>
      </w:r>
      <w:proofErr w:type="spellEnd"/>
      <w:r w:rsidRPr="00DE0FBF">
        <w:rPr>
          <w:rFonts w:ascii="Times New Roman" w:eastAsia="Times New Roman" w:hAnsi="Times New Roman" w:cs="Times New Roman"/>
          <w:color w:val="000000"/>
          <w:kern w:val="2"/>
          <w:sz w:val="24"/>
          <w:szCs w:val="24"/>
          <w:lang w:eastAsia="pl-PL"/>
        </w:rPr>
        <w:t xml:space="preserve">. </w:t>
      </w:r>
    </w:p>
    <w:p w14:paraId="0AFA4D64" w14:textId="05E5AC00" w:rsidR="00DE0FBF" w:rsidRPr="00D77525" w:rsidRDefault="00DE0FBF" w:rsidP="00D77525">
      <w:pPr>
        <w:pStyle w:val="Akapitzlist"/>
        <w:numPr>
          <w:ilvl w:val="2"/>
          <w:numId w:val="66"/>
        </w:numPr>
        <w:spacing w:after="135" w:line="269" w:lineRule="auto"/>
        <w:ind w:left="1134" w:hanging="1134"/>
        <w:rPr>
          <w:rFonts w:ascii="Times New Roman" w:eastAsia="Times New Roman" w:hAnsi="Times New Roman" w:cs="Times New Roman"/>
          <w:color w:val="000000"/>
          <w:kern w:val="2"/>
          <w:sz w:val="24"/>
          <w:szCs w:val="24"/>
          <w:lang w:eastAsia="pl-PL"/>
        </w:rPr>
      </w:pPr>
      <w:r w:rsidRPr="00D77525">
        <w:rPr>
          <w:rFonts w:ascii="Times New Roman" w:eastAsia="Times New Roman" w:hAnsi="Times New Roman" w:cs="Times New Roman"/>
          <w:color w:val="000000"/>
          <w:kern w:val="2"/>
          <w:sz w:val="24"/>
          <w:szCs w:val="24"/>
          <w:u w:val="single" w:color="000000"/>
          <w:lang w:eastAsia="pl-PL"/>
        </w:rPr>
        <w:t>Odpowiedź mocą na obniżoną częstotliwość (tryb LFSM-U)</w:t>
      </w:r>
      <w:r w:rsidRPr="00D77525">
        <w:rPr>
          <w:rFonts w:ascii="Times New Roman" w:eastAsia="Times New Roman" w:hAnsi="Times New Roman" w:cs="Times New Roman"/>
          <w:color w:val="000000"/>
          <w:kern w:val="2"/>
          <w:sz w:val="24"/>
          <w:szCs w:val="24"/>
          <w:u w:color="000000"/>
          <w:lang w:eastAsia="pl-PL"/>
        </w:rPr>
        <w:t xml:space="preserve"> </w:t>
      </w:r>
    </w:p>
    <w:p w14:paraId="3F7799E5" w14:textId="77777777" w:rsidR="00DE0FBF" w:rsidRPr="00DE0FBF" w:rsidRDefault="00DE0FBF" w:rsidP="00DE0FBF">
      <w:pPr>
        <w:spacing w:after="135" w:line="269" w:lineRule="auto"/>
        <w:ind w:left="1134"/>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Magazyny energii elektrycznej, które są w trybie rozładowania, powinny być zdolne do aktywacji odpowiedzi mocą czynną na obniżoną częstotliwość, analogicznie jak moduły wytwarzania C i D.  </w:t>
      </w:r>
    </w:p>
    <w:p w14:paraId="6A57B23E" w14:textId="77777777" w:rsidR="00DE0FBF" w:rsidRPr="00DE0FBF" w:rsidRDefault="00DE0FBF" w:rsidP="00DE0FBF">
      <w:pPr>
        <w:spacing w:after="135" w:line="269" w:lineRule="auto"/>
        <w:ind w:left="1134"/>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Magazyny energii elektrycznej, które są w trybie rozładowania, w momencie, gdy częstotliwość przekroczy próg częstotliwości dla trybu LFSM-U (49,8 </w:t>
      </w:r>
      <w:proofErr w:type="spellStart"/>
      <w:r w:rsidRPr="00DE0FBF">
        <w:rPr>
          <w:rFonts w:ascii="Times New Roman" w:eastAsia="Times New Roman" w:hAnsi="Times New Roman" w:cs="Times New Roman"/>
          <w:color w:val="000000"/>
          <w:kern w:val="2"/>
          <w:sz w:val="24"/>
          <w:szCs w:val="24"/>
          <w:lang w:eastAsia="pl-PL"/>
        </w:rPr>
        <w:t>Hz</w:t>
      </w:r>
      <w:proofErr w:type="spellEnd"/>
      <w:r w:rsidRPr="00DE0FBF">
        <w:rPr>
          <w:rFonts w:ascii="Times New Roman" w:eastAsia="Times New Roman" w:hAnsi="Times New Roman" w:cs="Times New Roman"/>
          <w:color w:val="000000"/>
          <w:kern w:val="2"/>
          <w:sz w:val="24"/>
          <w:szCs w:val="24"/>
          <w:lang w:eastAsia="pl-PL"/>
        </w:rPr>
        <w:t xml:space="preserve"> - 49,5 </w:t>
      </w:r>
      <w:proofErr w:type="spellStart"/>
      <w:r w:rsidRPr="00DE0FBF">
        <w:rPr>
          <w:rFonts w:ascii="Times New Roman" w:eastAsia="Times New Roman" w:hAnsi="Times New Roman" w:cs="Times New Roman"/>
          <w:color w:val="000000"/>
          <w:kern w:val="2"/>
          <w:sz w:val="24"/>
          <w:szCs w:val="24"/>
          <w:lang w:eastAsia="pl-PL"/>
        </w:rPr>
        <w:t>Hz</w:t>
      </w:r>
      <w:proofErr w:type="spellEnd"/>
      <w:r w:rsidRPr="00DE0FBF">
        <w:rPr>
          <w:rFonts w:ascii="Times New Roman" w:eastAsia="Times New Roman" w:hAnsi="Times New Roman" w:cs="Times New Roman"/>
          <w:color w:val="000000"/>
          <w:kern w:val="2"/>
          <w:sz w:val="24"/>
          <w:szCs w:val="24"/>
          <w:lang w:eastAsia="pl-PL"/>
        </w:rPr>
        <w:t xml:space="preserve">, wartość domyślna 49,8 </w:t>
      </w:r>
      <w:proofErr w:type="spellStart"/>
      <w:r w:rsidRPr="00DE0FBF">
        <w:rPr>
          <w:rFonts w:ascii="Times New Roman" w:eastAsia="Times New Roman" w:hAnsi="Times New Roman" w:cs="Times New Roman"/>
          <w:color w:val="000000"/>
          <w:kern w:val="2"/>
          <w:sz w:val="24"/>
          <w:szCs w:val="24"/>
          <w:lang w:eastAsia="pl-PL"/>
        </w:rPr>
        <w:t>Hz</w:t>
      </w:r>
      <w:proofErr w:type="spellEnd"/>
      <w:r w:rsidRPr="00DE0FBF">
        <w:rPr>
          <w:rFonts w:ascii="Times New Roman" w:eastAsia="Times New Roman" w:hAnsi="Times New Roman" w:cs="Times New Roman"/>
          <w:color w:val="000000"/>
          <w:kern w:val="2"/>
          <w:sz w:val="24"/>
          <w:szCs w:val="24"/>
          <w:lang w:eastAsia="pl-PL"/>
        </w:rPr>
        <w:t xml:space="preserve">) nie powinny zmniejszać mocy rozładowania poniżej chwilowej mocy czynnej, dopóki częstotliwość nie powróci powyżej progu częstotliwości. Zaleca się, aby magazyny energii elektrycznej zwiększały moc rozładowania zgodnie ze skonfigurowanym </w:t>
      </w:r>
      <w:proofErr w:type="spellStart"/>
      <w:r w:rsidRPr="00DE0FBF">
        <w:rPr>
          <w:rFonts w:ascii="Times New Roman" w:eastAsia="Times New Roman" w:hAnsi="Times New Roman" w:cs="Times New Roman"/>
          <w:color w:val="000000"/>
          <w:kern w:val="2"/>
          <w:sz w:val="24"/>
          <w:szCs w:val="24"/>
          <w:lang w:eastAsia="pl-PL"/>
        </w:rPr>
        <w:t>statyzmem</w:t>
      </w:r>
      <w:proofErr w:type="spellEnd"/>
      <w:r w:rsidRPr="00DE0FBF">
        <w:rPr>
          <w:rFonts w:ascii="Times New Roman" w:eastAsia="Times New Roman" w:hAnsi="Times New Roman" w:cs="Times New Roman"/>
          <w:color w:val="000000"/>
          <w:kern w:val="2"/>
          <w:sz w:val="24"/>
          <w:szCs w:val="24"/>
          <w:lang w:eastAsia="pl-PL"/>
        </w:rPr>
        <w:t xml:space="preserve"> (w zakresie 2 do 12%, wartość domyślna 5%). Dopuszcza się zmniejszenie mocy rozładowania w przypadku </w:t>
      </w:r>
      <w:r w:rsidRPr="00DE0FBF">
        <w:rPr>
          <w:rFonts w:ascii="Times New Roman" w:eastAsia="Times New Roman" w:hAnsi="Times New Roman" w:cs="Times New Roman"/>
          <w:color w:val="000000"/>
          <w:kern w:val="2"/>
          <w:sz w:val="24"/>
          <w:szCs w:val="24"/>
          <w:lang w:eastAsia="pl-PL"/>
        </w:rPr>
        <w:lastRenderedPageBreak/>
        <w:t xml:space="preserve">osiągnięcia minimalnej pojemności oraz w celu uniknięcia wystąpienia wzrostu ryzyk uszkodzenia sprzętu lub zagrożeń otoczenia.  </w:t>
      </w:r>
    </w:p>
    <w:p w14:paraId="48DC1F46" w14:textId="145C8213" w:rsidR="00DE0FBF" w:rsidRPr="00DE0FBF" w:rsidRDefault="00DE0FBF" w:rsidP="00A7128D">
      <w:pPr>
        <w:spacing w:after="135" w:line="269" w:lineRule="auto"/>
        <w:ind w:left="1134"/>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Magazyny energii elektrycznej, które są w trybie ładowania w odpowiedzi na przekroczenie progu częstotliwości powinny obniżać moc ładowania zgodnie ze skonfigurowanym </w:t>
      </w:r>
      <w:proofErr w:type="spellStart"/>
      <w:r w:rsidRPr="00DE0FBF">
        <w:rPr>
          <w:rFonts w:ascii="Times New Roman" w:eastAsia="Times New Roman" w:hAnsi="Times New Roman" w:cs="Times New Roman"/>
          <w:color w:val="000000"/>
          <w:kern w:val="2"/>
          <w:sz w:val="24"/>
          <w:szCs w:val="24"/>
          <w:lang w:eastAsia="pl-PL"/>
        </w:rPr>
        <w:t>statyzmem</w:t>
      </w:r>
      <w:proofErr w:type="spellEnd"/>
      <w:r w:rsidRPr="00DE0FBF">
        <w:rPr>
          <w:rFonts w:ascii="Times New Roman" w:eastAsia="Times New Roman" w:hAnsi="Times New Roman" w:cs="Times New Roman"/>
          <w:color w:val="000000"/>
          <w:kern w:val="2"/>
          <w:sz w:val="24"/>
          <w:szCs w:val="24"/>
          <w:lang w:eastAsia="pl-PL"/>
        </w:rPr>
        <w:t xml:space="preserve">.  </w:t>
      </w:r>
      <w:r w:rsidRPr="00DE0FBF">
        <w:rPr>
          <w:rFonts w:ascii="Times New Roman" w:eastAsia="Times New Roman" w:hAnsi="Times New Roman" w:cs="Times New Roman"/>
          <w:color w:val="000000"/>
          <w:kern w:val="2"/>
          <w:sz w:val="24"/>
          <w:szCs w:val="24"/>
          <w:lang w:eastAsia="pl-PL"/>
        </w:rPr>
        <w:tab/>
      </w:r>
    </w:p>
    <w:p w14:paraId="3FA89673" w14:textId="5EFB8075" w:rsidR="00DE0FBF" w:rsidRPr="00DE0FBF" w:rsidRDefault="00C926A8" w:rsidP="00A7128D">
      <w:pPr>
        <w:keepNext/>
        <w:keepLines/>
        <w:spacing w:before="240" w:after="155" w:line="249" w:lineRule="auto"/>
        <w:ind w:left="1118" w:hanging="1061"/>
        <w:jc w:val="left"/>
        <w:outlineLvl w:val="0"/>
        <w:rPr>
          <w:rFonts w:ascii="Times New Roman" w:eastAsia="Times New Roman" w:hAnsi="Times New Roman" w:cs="Times New Roman"/>
          <w:b/>
          <w:color w:val="000000"/>
          <w:kern w:val="2"/>
          <w:sz w:val="24"/>
          <w:szCs w:val="24"/>
          <w:lang w:eastAsia="pl-PL"/>
        </w:rPr>
      </w:pPr>
      <w:r>
        <w:rPr>
          <w:rFonts w:ascii="Times New Roman" w:eastAsia="Times New Roman" w:hAnsi="Times New Roman" w:cs="Times New Roman"/>
          <w:b/>
          <w:color w:val="000000"/>
          <w:kern w:val="2"/>
          <w:sz w:val="24"/>
          <w:szCs w:val="24"/>
          <w:lang w:eastAsia="pl-PL"/>
        </w:rPr>
        <w:t xml:space="preserve">11. </w:t>
      </w:r>
      <w:r>
        <w:rPr>
          <w:rFonts w:ascii="Times New Roman" w:eastAsia="Times New Roman" w:hAnsi="Times New Roman" w:cs="Times New Roman"/>
          <w:b/>
          <w:color w:val="000000"/>
          <w:kern w:val="2"/>
          <w:sz w:val="24"/>
          <w:szCs w:val="24"/>
          <w:lang w:eastAsia="pl-PL"/>
        </w:rPr>
        <w:tab/>
      </w:r>
      <w:r w:rsidR="00DE0FBF" w:rsidRPr="00DE0FBF">
        <w:rPr>
          <w:rFonts w:ascii="Times New Roman" w:eastAsia="Times New Roman" w:hAnsi="Times New Roman" w:cs="Times New Roman"/>
          <w:b/>
          <w:color w:val="000000"/>
          <w:kern w:val="2"/>
          <w:sz w:val="24"/>
          <w:szCs w:val="24"/>
          <w:lang w:eastAsia="pl-PL"/>
        </w:rPr>
        <w:t xml:space="preserve">DODATKOWE WYMAGANIA DLA FARM WIATROWYCH i FARM FOTOWOILTAICZNYCH </w:t>
      </w:r>
    </w:p>
    <w:p w14:paraId="41A08156" w14:textId="5A78482A" w:rsidR="00DE0FBF" w:rsidRPr="00DE0FBF" w:rsidRDefault="00C926A8" w:rsidP="00DE0FBF">
      <w:pPr>
        <w:keepNext/>
        <w:keepLines/>
        <w:numPr>
          <w:ilvl w:val="1"/>
          <w:numId w:val="0"/>
        </w:numPr>
        <w:spacing w:after="155" w:line="249" w:lineRule="auto"/>
        <w:ind w:left="1118" w:hanging="1061"/>
        <w:jc w:val="left"/>
        <w:outlineLvl w:val="1"/>
        <w:rPr>
          <w:rFonts w:ascii="Times New Roman" w:eastAsia="Times New Roman" w:hAnsi="Times New Roman" w:cs="Times New Roman"/>
          <w:b/>
          <w:color w:val="000000"/>
          <w:kern w:val="2"/>
          <w:sz w:val="24"/>
          <w:szCs w:val="24"/>
          <w:lang w:eastAsia="pl-PL"/>
        </w:rPr>
      </w:pPr>
      <w:r>
        <w:rPr>
          <w:rFonts w:ascii="Times New Roman" w:eastAsia="Times New Roman" w:hAnsi="Times New Roman" w:cs="Times New Roman"/>
          <w:b/>
          <w:color w:val="000000"/>
          <w:kern w:val="2"/>
          <w:sz w:val="24"/>
          <w:szCs w:val="24"/>
          <w:lang w:eastAsia="pl-PL"/>
        </w:rPr>
        <w:t xml:space="preserve">11.1. </w:t>
      </w:r>
      <w:r>
        <w:rPr>
          <w:rFonts w:ascii="Times New Roman" w:eastAsia="Times New Roman" w:hAnsi="Times New Roman" w:cs="Times New Roman"/>
          <w:b/>
          <w:color w:val="000000"/>
          <w:kern w:val="2"/>
          <w:sz w:val="24"/>
          <w:szCs w:val="24"/>
          <w:lang w:eastAsia="pl-PL"/>
        </w:rPr>
        <w:tab/>
      </w:r>
      <w:r w:rsidR="00DE0FBF" w:rsidRPr="00DE0FBF">
        <w:rPr>
          <w:rFonts w:ascii="Times New Roman" w:eastAsia="Times New Roman" w:hAnsi="Times New Roman" w:cs="Times New Roman"/>
          <w:b/>
          <w:color w:val="000000"/>
          <w:kern w:val="2"/>
          <w:sz w:val="24"/>
          <w:szCs w:val="24"/>
          <w:lang w:eastAsia="pl-PL"/>
        </w:rPr>
        <w:t xml:space="preserve">Zdalne sterowanie farmą wiatrową (interwencyjne) </w:t>
      </w:r>
    </w:p>
    <w:p w14:paraId="458E85A0" w14:textId="4F197D5C" w:rsidR="00DE0FBF" w:rsidRPr="00DE0FBF" w:rsidRDefault="00DE0FBF" w:rsidP="00DE0FBF">
      <w:pPr>
        <w:spacing w:after="135" w:line="269" w:lineRule="auto"/>
        <w:ind w:left="1118" w:hanging="1061"/>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11.1.1. </w:t>
      </w:r>
      <w:r w:rsidRPr="00DE0FBF">
        <w:rPr>
          <w:rFonts w:ascii="Times New Roman" w:eastAsia="Times New Roman" w:hAnsi="Times New Roman" w:cs="Times New Roman"/>
          <w:color w:val="000000"/>
          <w:kern w:val="2"/>
          <w:sz w:val="24"/>
          <w:szCs w:val="24"/>
          <w:lang w:eastAsia="pl-PL"/>
        </w:rPr>
        <w:tab/>
        <w:t>W celu zapewnienia możliwości wykorzystania farmy wiatrowej w procesie prowadzenia ruchu, wymaga się, aby farma wiatrowa przyłączona do sieci Industria Dystrybucja Sp. z o.o. lub operatora systemu dystrybucyjnego przyłączonego do sy</w:t>
      </w:r>
      <w:r w:rsidR="00D77525">
        <w:rPr>
          <w:rFonts w:ascii="Times New Roman" w:eastAsia="Times New Roman" w:hAnsi="Times New Roman" w:cs="Times New Roman"/>
          <w:color w:val="000000"/>
          <w:kern w:val="2"/>
          <w:sz w:val="24"/>
          <w:szCs w:val="24"/>
          <w:lang w:eastAsia="pl-PL"/>
        </w:rPr>
        <w:t>s</w:t>
      </w:r>
      <w:r w:rsidRPr="00DE0FBF">
        <w:rPr>
          <w:rFonts w:ascii="Times New Roman" w:eastAsia="Times New Roman" w:hAnsi="Times New Roman" w:cs="Times New Roman"/>
          <w:color w:val="000000"/>
          <w:kern w:val="2"/>
          <w:sz w:val="24"/>
          <w:szCs w:val="24"/>
          <w:lang w:eastAsia="pl-PL"/>
        </w:rPr>
        <w:t>temu Industria Dystrybucja Sp. z o.o.  była zdolna do zdalnego sterowania zgodnie ze standardami Industria Dystrybucja Sp. z o.o. lub standardami operatora systemu dystrybucyjnego przyłączonego do sy</w:t>
      </w:r>
      <w:r w:rsidR="00D77525">
        <w:rPr>
          <w:rFonts w:ascii="Times New Roman" w:eastAsia="Times New Roman" w:hAnsi="Times New Roman" w:cs="Times New Roman"/>
          <w:color w:val="000000"/>
          <w:kern w:val="2"/>
          <w:sz w:val="24"/>
          <w:szCs w:val="24"/>
          <w:lang w:eastAsia="pl-PL"/>
        </w:rPr>
        <w:t>s</w:t>
      </w:r>
      <w:r w:rsidRPr="00DE0FBF">
        <w:rPr>
          <w:rFonts w:ascii="Times New Roman" w:eastAsia="Times New Roman" w:hAnsi="Times New Roman" w:cs="Times New Roman"/>
          <w:color w:val="000000"/>
          <w:kern w:val="2"/>
          <w:sz w:val="24"/>
          <w:szCs w:val="24"/>
          <w:lang w:eastAsia="pl-PL"/>
        </w:rPr>
        <w:t xml:space="preserve">temu Industria Dystrybucja Sp. z o.o. jako właściwego ze względu na miejsce przyłączenia farmy wiatrowej. W ramach systemu zdalnego sterowania z właściwego ośrodka centrum dyspozytorskiego należy zapewnić możliwość: </w:t>
      </w:r>
    </w:p>
    <w:p w14:paraId="07A92C9C" w14:textId="77777777" w:rsidR="00DE0FBF" w:rsidRPr="00DE0FBF" w:rsidRDefault="00DE0FBF">
      <w:pPr>
        <w:numPr>
          <w:ilvl w:val="0"/>
          <w:numId w:val="214"/>
        </w:numPr>
        <w:spacing w:after="0" w:line="269" w:lineRule="auto"/>
        <w:ind w:left="1560" w:right="4" w:hanging="285"/>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zadawania maksymalnego, dopuszczalnego obciążenia mocą czynną (zmiany mocy czynnej), </w:t>
      </w:r>
    </w:p>
    <w:p w14:paraId="00211C37" w14:textId="77777777" w:rsidR="00DE0FBF" w:rsidRPr="00DE0FBF" w:rsidRDefault="00DE0FBF">
      <w:pPr>
        <w:numPr>
          <w:ilvl w:val="0"/>
          <w:numId w:val="214"/>
        </w:numPr>
        <w:spacing w:after="0" w:line="269" w:lineRule="auto"/>
        <w:ind w:left="1560" w:right="4" w:hanging="285"/>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zmiany mocy biernej (w pełnym zakresie dopuszczalnych obciążeń mocą bierną farmy wiatrowej), </w:t>
      </w:r>
    </w:p>
    <w:p w14:paraId="11441EA9" w14:textId="77777777" w:rsidR="00DE0FBF" w:rsidRPr="00DE0FBF" w:rsidRDefault="00DE0FBF">
      <w:pPr>
        <w:numPr>
          <w:ilvl w:val="0"/>
          <w:numId w:val="214"/>
        </w:numPr>
        <w:spacing w:after="135" w:line="269" w:lineRule="auto"/>
        <w:ind w:left="1560" w:right="4" w:hanging="285"/>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wyłączenia całkowitego farmy wiatrowej (oddziaływania na wyłącznik w torze wyprowadzenia mocy farmy wiatrowej). </w:t>
      </w:r>
    </w:p>
    <w:p w14:paraId="7D58E11B" w14:textId="77777777" w:rsidR="00DE0FBF" w:rsidRPr="00DE0FBF" w:rsidRDefault="00DE0FBF" w:rsidP="00DE0FBF">
      <w:pPr>
        <w:spacing w:after="135" w:line="269" w:lineRule="auto"/>
        <w:ind w:left="1071" w:hanging="10"/>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W ramach systemu zdalnego sterowania należy zapewnić zmianę trybu regulacji farmy wiatrowej w czasie rzeczywistym (on-line).  </w:t>
      </w:r>
    </w:p>
    <w:p w14:paraId="55C0BB5B" w14:textId="77777777" w:rsidR="00DE0FBF" w:rsidRPr="00DE0FBF" w:rsidRDefault="00DE0FBF" w:rsidP="00DE0FBF">
      <w:pPr>
        <w:spacing w:after="135" w:line="269" w:lineRule="auto"/>
        <w:ind w:left="1118" w:hanging="1061"/>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11.1.2. </w:t>
      </w:r>
      <w:r w:rsidRPr="00DE0FBF">
        <w:rPr>
          <w:rFonts w:ascii="Times New Roman" w:eastAsia="Times New Roman" w:hAnsi="Times New Roman" w:cs="Times New Roman"/>
          <w:color w:val="000000"/>
          <w:kern w:val="2"/>
          <w:sz w:val="24"/>
          <w:szCs w:val="24"/>
          <w:lang w:eastAsia="pl-PL"/>
        </w:rPr>
        <w:tab/>
        <w:t xml:space="preserve">Zadawanie wartości wielkości regulowanych powinno być możliwe w wielkościach bezwzględnych. Algorytm systemu sterowania i regulacji farmą wiatrową musi być dostosowany do realizacji tego wymagania. </w:t>
      </w:r>
    </w:p>
    <w:p w14:paraId="5DE06959" w14:textId="77777777" w:rsidR="00DE0FBF" w:rsidRPr="00DE0FBF" w:rsidRDefault="00DE0FBF" w:rsidP="00DE0FBF">
      <w:pPr>
        <w:spacing w:after="83" w:line="269" w:lineRule="auto"/>
        <w:ind w:left="1118" w:hanging="1061"/>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11.1.3. </w:t>
      </w:r>
      <w:r w:rsidRPr="00DE0FBF">
        <w:rPr>
          <w:rFonts w:ascii="Times New Roman" w:eastAsia="Times New Roman" w:hAnsi="Times New Roman" w:cs="Times New Roman"/>
          <w:color w:val="000000"/>
          <w:kern w:val="2"/>
          <w:sz w:val="24"/>
          <w:szCs w:val="24"/>
          <w:lang w:eastAsia="pl-PL"/>
        </w:rPr>
        <w:tab/>
        <w:t xml:space="preserve">Wymaganie zdalnego sterowania stosuje się, niezależnie od wymogu zapewnienia łączności dyspozytorskiej głosowej, zgodnie z IRiESD. </w:t>
      </w:r>
      <w:r w:rsidRPr="00DE0FBF">
        <w:rPr>
          <w:rFonts w:ascii="Times New Roman" w:eastAsia="Times New Roman" w:hAnsi="Times New Roman" w:cs="Times New Roman"/>
          <w:b/>
          <w:color w:val="000000"/>
          <w:kern w:val="2"/>
          <w:sz w:val="24"/>
          <w:szCs w:val="24"/>
          <w:lang w:eastAsia="pl-PL"/>
        </w:rPr>
        <w:t xml:space="preserve"> </w:t>
      </w:r>
    </w:p>
    <w:p w14:paraId="05366CA1" w14:textId="77777777" w:rsidR="00DE0FBF" w:rsidRPr="00DE0FBF" w:rsidRDefault="00DE0FBF" w:rsidP="00DE0FBF">
      <w:pPr>
        <w:spacing w:after="135" w:line="269" w:lineRule="auto"/>
        <w:ind w:left="1118" w:hanging="1061"/>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11.1.4. </w:t>
      </w:r>
      <w:r w:rsidRPr="00DE0FBF">
        <w:rPr>
          <w:rFonts w:ascii="Times New Roman" w:eastAsia="Times New Roman" w:hAnsi="Times New Roman" w:cs="Times New Roman"/>
          <w:color w:val="000000"/>
          <w:kern w:val="2"/>
          <w:sz w:val="24"/>
          <w:szCs w:val="24"/>
          <w:lang w:eastAsia="pl-PL"/>
        </w:rPr>
        <w:tab/>
      </w:r>
      <w:r w:rsidRPr="00DE0FBF">
        <w:rPr>
          <w:rFonts w:ascii="Garamond" w:eastAsia="Times New Roman" w:hAnsi="Garamond" w:cs="Times New Roman"/>
          <w:color w:val="000000"/>
          <w:kern w:val="2"/>
          <w:sz w:val="24"/>
          <w:szCs w:val="24"/>
          <w:lang w:eastAsia="pl-PL"/>
        </w:rPr>
        <w:t xml:space="preserve">Industria Dystrybucja Sp. z o.o. </w:t>
      </w:r>
      <w:r w:rsidRPr="00DE0FBF">
        <w:rPr>
          <w:rFonts w:ascii="Times New Roman" w:eastAsia="Times New Roman" w:hAnsi="Times New Roman" w:cs="Times New Roman"/>
          <w:color w:val="000000"/>
          <w:kern w:val="2"/>
          <w:sz w:val="24"/>
          <w:szCs w:val="24"/>
          <w:lang w:eastAsia="pl-PL"/>
        </w:rPr>
        <w:t xml:space="preserve">ma prawo do zmiany generacji mocy czynnej oraz biernej farmy wiatrowej w pełnym zakresie dopuszczalnych obciążeń, łącznie z całkowitym wyłączeniem farmy wiatrowej poprzez oddziaływania na wyłącznik w torze wyprowadzenia mocy farmy wiatrowej, przy czym wymagane funkcje zdalnego sterowania powinny być realizowane z poziomu służb dyspozytorskich Industria Dystrybucja Sp. z o.o. OSP, przy wykorzystaniu infrastruktury telekomunikacyjnej (drogą telefoniczną), zastrzega sobie możliwość, za pośrednictwem służb dyspozytorskich Industria Dystrybucja Sp. z o.o., interwencyjnej zmiany parametrów pracy farmy wiatrowej przyłączonej do sieci Industria Dystrybucja Sp. z o.o. </w:t>
      </w:r>
      <w:r w:rsidRPr="00DE0FBF">
        <w:rPr>
          <w:rFonts w:ascii="Times New Roman" w:eastAsia="Times New Roman" w:hAnsi="Times New Roman" w:cs="Times New Roman"/>
          <w:color w:val="000000"/>
          <w:kern w:val="2"/>
          <w:sz w:val="24"/>
          <w:szCs w:val="24"/>
          <w:lang w:eastAsia="pl-PL"/>
        </w:rPr>
        <w:lastRenderedPageBreak/>
        <w:t xml:space="preserve">wykorzystaniu infrastruktury telekomunikacyjnej (drogą telefoniczną), za pośrednictwem służb dyspozytorskich operatora.  </w:t>
      </w:r>
    </w:p>
    <w:p w14:paraId="13F2022E" w14:textId="2968CD39" w:rsidR="00DE0FBF" w:rsidRPr="00DE0FBF" w:rsidRDefault="00C926A8" w:rsidP="00DE0FBF">
      <w:pPr>
        <w:keepNext/>
        <w:keepLines/>
        <w:numPr>
          <w:ilvl w:val="1"/>
          <w:numId w:val="0"/>
        </w:numPr>
        <w:spacing w:after="108" w:line="249" w:lineRule="auto"/>
        <w:ind w:left="1118" w:hanging="1061"/>
        <w:jc w:val="left"/>
        <w:outlineLvl w:val="1"/>
        <w:rPr>
          <w:rFonts w:ascii="Times New Roman" w:eastAsia="Times New Roman" w:hAnsi="Times New Roman" w:cs="Times New Roman"/>
          <w:b/>
          <w:color w:val="000000"/>
          <w:kern w:val="2"/>
          <w:sz w:val="24"/>
          <w:szCs w:val="24"/>
          <w:lang w:eastAsia="pl-PL"/>
        </w:rPr>
      </w:pPr>
      <w:r>
        <w:rPr>
          <w:rFonts w:ascii="Times New Roman" w:eastAsia="Times New Roman" w:hAnsi="Times New Roman" w:cs="Times New Roman"/>
          <w:b/>
          <w:color w:val="000000"/>
          <w:kern w:val="2"/>
          <w:sz w:val="24"/>
          <w:szCs w:val="24"/>
          <w:lang w:eastAsia="pl-PL"/>
        </w:rPr>
        <w:t xml:space="preserve">11.2. </w:t>
      </w:r>
      <w:r>
        <w:rPr>
          <w:rFonts w:ascii="Times New Roman" w:eastAsia="Times New Roman" w:hAnsi="Times New Roman" w:cs="Times New Roman"/>
          <w:b/>
          <w:color w:val="000000"/>
          <w:kern w:val="2"/>
          <w:sz w:val="24"/>
          <w:szCs w:val="24"/>
          <w:lang w:eastAsia="pl-PL"/>
        </w:rPr>
        <w:tab/>
      </w:r>
      <w:r w:rsidR="00DE0FBF" w:rsidRPr="00DE0FBF">
        <w:rPr>
          <w:rFonts w:ascii="Times New Roman" w:eastAsia="Times New Roman" w:hAnsi="Times New Roman" w:cs="Times New Roman"/>
          <w:b/>
          <w:color w:val="000000"/>
          <w:kern w:val="2"/>
          <w:sz w:val="24"/>
          <w:szCs w:val="24"/>
          <w:lang w:eastAsia="pl-PL"/>
        </w:rPr>
        <w:t xml:space="preserve">Zdalne sterowanie farmą fotowoltaiczną (interwencyjne) przyłączoną </w:t>
      </w:r>
    </w:p>
    <w:p w14:paraId="464A6033" w14:textId="77777777" w:rsidR="00DE0FBF" w:rsidRPr="00DE0FBF" w:rsidRDefault="00DE0FBF" w:rsidP="00DE0FBF">
      <w:pPr>
        <w:spacing w:after="252" w:line="269" w:lineRule="auto"/>
        <w:ind w:left="1113" w:hanging="1056"/>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11.2.1. </w:t>
      </w:r>
      <w:r w:rsidRPr="00DE0FBF">
        <w:rPr>
          <w:rFonts w:ascii="Times New Roman" w:eastAsia="Times New Roman" w:hAnsi="Times New Roman" w:cs="Times New Roman"/>
          <w:color w:val="000000"/>
          <w:kern w:val="2"/>
          <w:sz w:val="24"/>
          <w:szCs w:val="24"/>
          <w:lang w:eastAsia="pl-PL"/>
        </w:rPr>
        <w:tab/>
        <w:t xml:space="preserve">Industria Dystrybucja Sp. z o.o. ma prawo do zmiany generacji mocy czynnej oraz biernej farmy fotowoltaicznej w pełnym zakresie dopuszczalnych obciążeń, łącznie z całkowitym wyłączeniem farmy fotowoltaicznej poprzez oddziaływania na wyłącznik w torze wyprowadzenia mocy farmy fotowoltaicznej, przy czym wymagane funkcje zdalnego sterowania powinny być realizowane w ramach systemu zdalnego sterowania z poziomu służb dyspozytorskich Industria Dystrybucja Sp. z o.o. OSP, dokonuje interwencyjnej zmiany parametrów pracy farmy fotowoltaicznej przyłączonej do sieci Industria Dystrybucja Sp. z o.o., przy wykorzystaniu infrastruktury telekomunikacyjnej (drogą telefoniczną), za pośrednictwem służb dyspozytorskich Industria Dystrybucja Sp. z o.o. </w:t>
      </w:r>
    </w:p>
    <w:p w14:paraId="73D82AF2" w14:textId="217A87D2" w:rsidR="00DE0FBF" w:rsidRPr="00DE0FBF" w:rsidRDefault="00DE0FBF" w:rsidP="006B6FA1">
      <w:pPr>
        <w:spacing w:after="238" w:line="269" w:lineRule="auto"/>
        <w:ind w:left="1113" w:hanging="1056"/>
        <w:rPr>
          <w:rFonts w:ascii="Times New Roman" w:eastAsia="Times New Roman" w:hAnsi="Times New Roman" w:cs="Times New Roman"/>
          <w:color w:val="000000"/>
          <w:kern w:val="2"/>
          <w:sz w:val="24"/>
          <w:szCs w:val="24"/>
          <w:lang w:eastAsia="pl-PL"/>
        </w:rPr>
      </w:pPr>
      <w:r w:rsidRPr="00DE0FBF">
        <w:rPr>
          <w:rFonts w:ascii="Times New Roman" w:eastAsia="Times New Roman" w:hAnsi="Times New Roman" w:cs="Times New Roman"/>
          <w:color w:val="000000"/>
          <w:kern w:val="2"/>
          <w:sz w:val="24"/>
          <w:szCs w:val="24"/>
          <w:lang w:eastAsia="pl-PL"/>
        </w:rPr>
        <w:t xml:space="preserve">11.2.2. </w:t>
      </w:r>
      <w:r w:rsidRPr="00DE0FBF">
        <w:rPr>
          <w:rFonts w:ascii="Times New Roman" w:eastAsia="Times New Roman" w:hAnsi="Times New Roman" w:cs="Times New Roman"/>
          <w:color w:val="000000"/>
          <w:kern w:val="2"/>
          <w:sz w:val="24"/>
          <w:szCs w:val="24"/>
          <w:lang w:eastAsia="pl-PL"/>
        </w:rPr>
        <w:tab/>
        <w:t>Postanowienia dotyczące zdalnego (interwencyjnego) sterowania farmą wiatrową, określone w pkt 11.1.1. - 11.1.3., stosuje się odpowiednio w odniesieniu do farmy fotowoltaicznej.</w:t>
      </w:r>
      <w:r w:rsidRPr="00DE0FBF">
        <w:rPr>
          <w:rFonts w:ascii="Times New Roman" w:eastAsia="Times New Roman" w:hAnsi="Times New Roman" w:cs="Times New Roman"/>
          <w:b/>
          <w:i/>
          <w:color w:val="000000"/>
          <w:kern w:val="2"/>
          <w:sz w:val="32"/>
          <w:szCs w:val="24"/>
          <w:lang w:eastAsia="pl-PL"/>
        </w:rPr>
        <w:t xml:space="preserve"> </w:t>
      </w:r>
    </w:p>
    <w:p w14:paraId="22DCC105" w14:textId="77777777" w:rsidR="0066416E" w:rsidRPr="00AE3F1B" w:rsidRDefault="0066416E" w:rsidP="00175586">
      <w:pPr>
        <w:ind w:left="567" w:right="-3" w:hanging="567"/>
        <w:jc w:val="left"/>
        <w:rPr>
          <w:rFonts w:ascii="Garamond" w:hAnsi="Garamond"/>
          <w:sz w:val="24"/>
          <w:szCs w:val="24"/>
        </w:rPr>
      </w:pPr>
    </w:p>
    <w:sectPr w:rsidR="0066416E" w:rsidRPr="00AE3F1B" w:rsidSect="00A15D3D">
      <w:headerReference w:type="even" r:id="rId51"/>
      <w:headerReference w:type="default" r:id="rId52"/>
      <w:footerReference w:type="even" r:id="rId53"/>
      <w:footerReference w:type="default" r:id="rId54"/>
      <w:headerReference w:type="first" r:id="rId55"/>
      <w:footerReference w:type="first" r:id="rId56"/>
      <w:pgSz w:w="11904" w:h="16834"/>
      <w:pgMar w:top="1418" w:right="1134" w:bottom="1418" w:left="1134" w:header="754"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5DB72F" w14:textId="77777777" w:rsidR="00057E16" w:rsidRDefault="00057E16">
      <w:pPr>
        <w:spacing w:after="0"/>
      </w:pPr>
      <w:r>
        <w:separator/>
      </w:r>
    </w:p>
  </w:endnote>
  <w:endnote w:type="continuationSeparator" w:id="0">
    <w:p w14:paraId="1360A72A" w14:textId="77777777" w:rsidR="00057E16" w:rsidRDefault="00057E1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aramond">
    <w:panose1 w:val="02020404030301010803"/>
    <w:charset w:val="EE"/>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EE"/>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9764250"/>
      <w:docPartObj>
        <w:docPartGallery w:val="Page Numbers (Bottom of Page)"/>
        <w:docPartUnique/>
      </w:docPartObj>
    </w:sdtPr>
    <w:sdtContent>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35"/>
          <w:gridCol w:w="4321"/>
          <w:gridCol w:w="3413"/>
          <w:gridCol w:w="8"/>
        </w:tblGrid>
        <w:tr w:rsidR="00D63016" w:rsidRPr="00003089" w14:paraId="68EA44B2" w14:textId="77777777" w:rsidTr="00E62076">
          <w:trPr>
            <w:gridAfter w:val="1"/>
            <w:wAfter w:w="8" w:type="dxa"/>
            <w:trHeight w:val="416"/>
          </w:trPr>
          <w:tc>
            <w:tcPr>
              <w:tcW w:w="5956" w:type="dxa"/>
              <w:gridSpan w:val="2"/>
              <w:vAlign w:val="center"/>
            </w:tcPr>
            <w:p w14:paraId="4B021454" w14:textId="77777777" w:rsidR="00D63016" w:rsidRPr="00003089" w:rsidRDefault="00D63016" w:rsidP="00D63016">
              <w:pPr>
                <w:spacing w:after="0" w:line="259" w:lineRule="auto"/>
                <w:ind w:right="623"/>
                <w:jc w:val="left"/>
              </w:pPr>
              <w:r w:rsidRPr="00003089">
                <w:t>Instrukcja Ruchu i Eksploatacji Sieci Dystrybucyjnej</w:t>
              </w:r>
            </w:p>
          </w:tc>
          <w:tc>
            <w:tcPr>
              <w:tcW w:w="3413" w:type="dxa"/>
            </w:tcPr>
            <w:sdt>
              <w:sdtPr>
                <w:rPr>
                  <w:rFonts w:ascii="Garamond" w:hAnsi="Garamond"/>
                </w:rPr>
                <w:id w:val="-1383097941"/>
                <w:docPartObj>
                  <w:docPartGallery w:val="Page Numbers (Top of Page)"/>
                  <w:docPartUnique/>
                </w:docPartObj>
              </w:sdtPr>
              <w:sdtEndPr>
                <w:rPr>
                  <w:rFonts w:asciiTheme="minorHAnsi" w:hAnsiTheme="minorHAnsi"/>
                </w:rPr>
              </w:sdtEndPr>
              <w:sdtContent>
                <w:p w14:paraId="29D2B628" w14:textId="77777777" w:rsidR="00D63016" w:rsidRPr="00003089" w:rsidRDefault="00D63016" w:rsidP="00D63016">
                  <w:pPr>
                    <w:pStyle w:val="Stopka"/>
                    <w:tabs>
                      <w:tab w:val="left" w:pos="2204"/>
                    </w:tabs>
                    <w:ind w:left="-6159" w:right="88"/>
                    <w:jc w:val="right"/>
                  </w:pPr>
                  <w:r w:rsidRPr="00003089">
                    <w:rPr>
                      <w:rFonts w:ascii="Garamond" w:hAnsi="Garamond"/>
                    </w:rPr>
                    <w:t xml:space="preserve">Strona </w:t>
                  </w:r>
                  <w:r w:rsidRPr="00003089">
                    <w:rPr>
                      <w:rFonts w:ascii="Garamond" w:hAnsi="Garamond"/>
                      <w:b/>
                      <w:bCs/>
                    </w:rPr>
                    <w:fldChar w:fldCharType="begin"/>
                  </w:r>
                  <w:r w:rsidRPr="00003089">
                    <w:rPr>
                      <w:rFonts w:ascii="Garamond" w:hAnsi="Garamond"/>
                      <w:b/>
                      <w:bCs/>
                    </w:rPr>
                    <w:instrText>PAGE</w:instrText>
                  </w:r>
                  <w:r w:rsidRPr="00003089">
                    <w:rPr>
                      <w:rFonts w:ascii="Garamond" w:hAnsi="Garamond"/>
                      <w:b/>
                      <w:bCs/>
                    </w:rPr>
                    <w:fldChar w:fldCharType="separate"/>
                  </w:r>
                  <w:r>
                    <w:rPr>
                      <w:rFonts w:ascii="Garamond" w:hAnsi="Garamond"/>
                      <w:b/>
                      <w:bCs/>
                      <w:noProof/>
                    </w:rPr>
                    <w:t>105</w:t>
                  </w:r>
                  <w:r w:rsidRPr="00003089">
                    <w:rPr>
                      <w:rFonts w:ascii="Garamond" w:hAnsi="Garamond"/>
                      <w:b/>
                      <w:bCs/>
                    </w:rPr>
                    <w:fldChar w:fldCharType="end"/>
                  </w:r>
                  <w:r w:rsidRPr="00003089">
                    <w:rPr>
                      <w:rFonts w:ascii="Garamond" w:hAnsi="Garamond"/>
                    </w:rPr>
                    <w:t xml:space="preserve"> z </w:t>
                  </w:r>
                  <w:r w:rsidRPr="00003089">
                    <w:rPr>
                      <w:rFonts w:ascii="Garamond" w:hAnsi="Garamond"/>
                      <w:b/>
                      <w:bCs/>
                    </w:rPr>
                    <w:fldChar w:fldCharType="begin"/>
                  </w:r>
                  <w:r w:rsidRPr="00003089">
                    <w:rPr>
                      <w:rFonts w:ascii="Garamond" w:hAnsi="Garamond"/>
                      <w:b/>
                      <w:bCs/>
                    </w:rPr>
                    <w:instrText>NUMPAGES</w:instrText>
                  </w:r>
                  <w:r w:rsidRPr="00003089">
                    <w:rPr>
                      <w:rFonts w:ascii="Garamond" w:hAnsi="Garamond"/>
                      <w:b/>
                      <w:bCs/>
                    </w:rPr>
                    <w:fldChar w:fldCharType="separate"/>
                  </w:r>
                  <w:r>
                    <w:rPr>
                      <w:rFonts w:ascii="Garamond" w:hAnsi="Garamond"/>
                      <w:b/>
                      <w:bCs/>
                      <w:noProof/>
                    </w:rPr>
                    <w:t>113</w:t>
                  </w:r>
                  <w:r w:rsidRPr="00003089">
                    <w:rPr>
                      <w:rFonts w:ascii="Garamond" w:hAnsi="Garamond"/>
                      <w:b/>
                      <w:bCs/>
                    </w:rPr>
                    <w:fldChar w:fldCharType="end"/>
                  </w:r>
                </w:p>
              </w:sdtContent>
            </w:sdt>
            <w:p w14:paraId="13A2D5A1" w14:textId="77777777" w:rsidR="00D63016" w:rsidRPr="00003089" w:rsidRDefault="00D63016" w:rsidP="00D63016">
              <w:pPr>
                <w:spacing w:after="100" w:afterAutospacing="1" w:line="259" w:lineRule="auto"/>
                <w:ind w:left="-34"/>
                <w:jc w:val="left"/>
              </w:pPr>
            </w:p>
          </w:tc>
        </w:tr>
        <w:tr w:rsidR="00D63016" w:rsidRPr="00003089" w14:paraId="4C500714" w14:textId="77777777" w:rsidTr="00E62076">
          <w:trPr>
            <w:trHeight w:val="221"/>
          </w:trPr>
          <w:tc>
            <w:tcPr>
              <w:tcW w:w="1635" w:type="dxa"/>
              <w:vAlign w:val="center"/>
            </w:tcPr>
            <w:p w14:paraId="7E5A5E3E" w14:textId="77777777" w:rsidR="00D63016" w:rsidRPr="00003089" w:rsidRDefault="00D63016" w:rsidP="00D63016">
              <w:pPr>
                <w:spacing w:after="160" w:line="259" w:lineRule="auto"/>
                <w:jc w:val="left"/>
              </w:pPr>
              <w:r w:rsidRPr="00003089">
                <w:t>Zatwierdzonej:</w:t>
              </w:r>
            </w:p>
          </w:tc>
          <w:tc>
            <w:tcPr>
              <w:tcW w:w="7742" w:type="dxa"/>
              <w:gridSpan w:val="3"/>
              <w:vAlign w:val="center"/>
            </w:tcPr>
            <w:p w14:paraId="6BDE5AD8" w14:textId="77777777" w:rsidR="00D63016" w:rsidRPr="00003089" w:rsidRDefault="00D63016" w:rsidP="00D63016">
              <w:pPr>
                <w:spacing w:after="160" w:line="259" w:lineRule="auto"/>
                <w:jc w:val="left"/>
              </w:pPr>
              <w:r w:rsidRPr="00003089">
                <w:t xml:space="preserve">Uchwała Zarządu Industria Dystrybucja Sp. z o.o. Nr </w:t>
              </w:r>
              <w:r>
                <w:t>1/V/2024</w:t>
              </w:r>
              <w:r w:rsidRPr="00003089">
                <w:t xml:space="preserve"> z dnia </w:t>
              </w:r>
              <w:r>
                <w:t>30.09.2024</w:t>
              </w:r>
            </w:p>
          </w:tc>
        </w:tr>
      </w:tbl>
    </w:sdtContent>
  </w:sdt>
  <w:p w14:paraId="2A313ADE" w14:textId="77777777" w:rsidR="00DA12DF" w:rsidRDefault="00DA12DF" w:rsidP="00003089">
    <w:pPr>
      <w:pStyle w:val="Stopka"/>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73664690"/>
      <w:docPartObj>
        <w:docPartGallery w:val="Page Numbers (Bottom of Page)"/>
        <w:docPartUnique/>
      </w:docPartObj>
    </w:sdtPr>
    <w:sdtContent>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35"/>
          <w:gridCol w:w="4321"/>
          <w:gridCol w:w="3413"/>
          <w:gridCol w:w="8"/>
        </w:tblGrid>
        <w:tr w:rsidR="00DA12DF" w:rsidRPr="00003089" w14:paraId="0D81D62B" w14:textId="77777777" w:rsidTr="00DA12DF">
          <w:trPr>
            <w:gridAfter w:val="1"/>
            <w:wAfter w:w="8" w:type="dxa"/>
            <w:trHeight w:val="416"/>
          </w:trPr>
          <w:tc>
            <w:tcPr>
              <w:tcW w:w="5956" w:type="dxa"/>
              <w:gridSpan w:val="2"/>
              <w:vAlign w:val="center"/>
            </w:tcPr>
            <w:p w14:paraId="10D5C835" w14:textId="77777777" w:rsidR="00DA12DF" w:rsidRPr="00003089" w:rsidRDefault="00DA12DF" w:rsidP="006C5B5C">
              <w:pPr>
                <w:spacing w:after="0" w:line="259" w:lineRule="auto"/>
                <w:ind w:right="623"/>
                <w:jc w:val="left"/>
              </w:pPr>
              <w:r w:rsidRPr="00003089">
                <w:t>Instrukcja Ruchu i Eksploatacji Sieci Dystrybucyjnej</w:t>
              </w:r>
            </w:p>
          </w:tc>
          <w:tc>
            <w:tcPr>
              <w:tcW w:w="3413" w:type="dxa"/>
            </w:tcPr>
            <w:sdt>
              <w:sdtPr>
                <w:rPr>
                  <w:rFonts w:ascii="Garamond" w:hAnsi="Garamond"/>
                </w:rPr>
                <w:id w:val="-7146897"/>
                <w:docPartObj>
                  <w:docPartGallery w:val="Page Numbers (Top of Page)"/>
                  <w:docPartUnique/>
                </w:docPartObj>
              </w:sdtPr>
              <w:sdtEndPr>
                <w:rPr>
                  <w:rFonts w:asciiTheme="minorHAnsi" w:hAnsiTheme="minorHAnsi"/>
                </w:rPr>
              </w:sdtEndPr>
              <w:sdtContent>
                <w:p w14:paraId="746E556B" w14:textId="77777777" w:rsidR="00DA12DF" w:rsidRPr="00003089" w:rsidRDefault="00DA12DF" w:rsidP="006C5B5C">
                  <w:pPr>
                    <w:pStyle w:val="Stopka"/>
                    <w:tabs>
                      <w:tab w:val="left" w:pos="2204"/>
                    </w:tabs>
                    <w:ind w:left="-6159" w:right="88"/>
                    <w:jc w:val="right"/>
                  </w:pPr>
                  <w:r w:rsidRPr="00003089">
                    <w:rPr>
                      <w:rFonts w:ascii="Garamond" w:hAnsi="Garamond"/>
                    </w:rPr>
                    <w:t xml:space="preserve">Strona </w:t>
                  </w:r>
                  <w:r w:rsidRPr="00003089">
                    <w:rPr>
                      <w:rFonts w:ascii="Garamond" w:hAnsi="Garamond"/>
                      <w:b/>
                      <w:bCs/>
                    </w:rPr>
                    <w:fldChar w:fldCharType="begin"/>
                  </w:r>
                  <w:r w:rsidRPr="00003089">
                    <w:rPr>
                      <w:rFonts w:ascii="Garamond" w:hAnsi="Garamond"/>
                      <w:b/>
                      <w:bCs/>
                    </w:rPr>
                    <w:instrText>PAGE</w:instrText>
                  </w:r>
                  <w:r w:rsidRPr="00003089">
                    <w:rPr>
                      <w:rFonts w:ascii="Garamond" w:hAnsi="Garamond"/>
                      <w:b/>
                      <w:bCs/>
                    </w:rPr>
                    <w:fldChar w:fldCharType="separate"/>
                  </w:r>
                  <w:r w:rsidR="0075066D">
                    <w:rPr>
                      <w:rFonts w:ascii="Garamond" w:hAnsi="Garamond"/>
                      <w:b/>
                      <w:bCs/>
                      <w:noProof/>
                    </w:rPr>
                    <w:t>105</w:t>
                  </w:r>
                  <w:r w:rsidRPr="00003089">
                    <w:rPr>
                      <w:rFonts w:ascii="Garamond" w:hAnsi="Garamond"/>
                      <w:b/>
                      <w:bCs/>
                    </w:rPr>
                    <w:fldChar w:fldCharType="end"/>
                  </w:r>
                  <w:r w:rsidRPr="00003089">
                    <w:rPr>
                      <w:rFonts w:ascii="Garamond" w:hAnsi="Garamond"/>
                    </w:rPr>
                    <w:t xml:space="preserve"> z </w:t>
                  </w:r>
                  <w:r w:rsidRPr="00003089">
                    <w:rPr>
                      <w:rFonts w:ascii="Garamond" w:hAnsi="Garamond"/>
                      <w:b/>
                      <w:bCs/>
                    </w:rPr>
                    <w:fldChar w:fldCharType="begin"/>
                  </w:r>
                  <w:r w:rsidRPr="00003089">
                    <w:rPr>
                      <w:rFonts w:ascii="Garamond" w:hAnsi="Garamond"/>
                      <w:b/>
                      <w:bCs/>
                    </w:rPr>
                    <w:instrText>NUMPAGES</w:instrText>
                  </w:r>
                  <w:r w:rsidRPr="00003089">
                    <w:rPr>
                      <w:rFonts w:ascii="Garamond" w:hAnsi="Garamond"/>
                      <w:b/>
                      <w:bCs/>
                    </w:rPr>
                    <w:fldChar w:fldCharType="separate"/>
                  </w:r>
                  <w:r w:rsidR="0075066D">
                    <w:rPr>
                      <w:rFonts w:ascii="Garamond" w:hAnsi="Garamond"/>
                      <w:b/>
                      <w:bCs/>
                      <w:noProof/>
                    </w:rPr>
                    <w:t>113</w:t>
                  </w:r>
                  <w:r w:rsidRPr="00003089">
                    <w:rPr>
                      <w:rFonts w:ascii="Garamond" w:hAnsi="Garamond"/>
                      <w:b/>
                      <w:bCs/>
                    </w:rPr>
                    <w:fldChar w:fldCharType="end"/>
                  </w:r>
                </w:p>
              </w:sdtContent>
            </w:sdt>
            <w:p w14:paraId="47CFE49A" w14:textId="77777777" w:rsidR="00DA12DF" w:rsidRPr="00003089" w:rsidRDefault="00DA12DF" w:rsidP="006C5B5C">
              <w:pPr>
                <w:spacing w:after="100" w:afterAutospacing="1" w:line="259" w:lineRule="auto"/>
                <w:ind w:left="-34"/>
                <w:jc w:val="left"/>
              </w:pPr>
            </w:p>
          </w:tc>
        </w:tr>
        <w:tr w:rsidR="00DA12DF" w:rsidRPr="00003089" w14:paraId="1EDB43AE" w14:textId="77777777" w:rsidTr="00B14775">
          <w:trPr>
            <w:trHeight w:val="221"/>
          </w:trPr>
          <w:tc>
            <w:tcPr>
              <w:tcW w:w="1635" w:type="dxa"/>
              <w:vAlign w:val="center"/>
            </w:tcPr>
            <w:p w14:paraId="4901EA84" w14:textId="77777777" w:rsidR="00DA12DF" w:rsidRPr="00003089" w:rsidRDefault="00DA12DF" w:rsidP="00B14775">
              <w:pPr>
                <w:spacing w:after="160" w:line="259" w:lineRule="auto"/>
                <w:jc w:val="left"/>
              </w:pPr>
              <w:r w:rsidRPr="00003089">
                <w:t>Zatwierdzonej:</w:t>
              </w:r>
            </w:p>
          </w:tc>
          <w:tc>
            <w:tcPr>
              <w:tcW w:w="7742" w:type="dxa"/>
              <w:gridSpan w:val="3"/>
              <w:vAlign w:val="center"/>
            </w:tcPr>
            <w:p w14:paraId="698E9AF3" w14:textId="74BA385F" w:rsidR="00DA12DF" w:rsidRPr="00003089" w:rsidRDefault="00DA12DF" w:rsidP="00B14775">
              <w:pPr>
                <w:spacing w:after="160" w:line="259" w:lineRule="auto"/>
                <w:jc w:val="left"/>
              </w:pPr>
              <w:r w:rsidRPr="00003089">
                <w:t xml:space="preserve">Uchwała Zarządu Industria Dystrybucja Sp. z o.o. Nr </w:t>
              </w:r>
              <w:r w:rsidR="00B14775">
                <w:t>1/V/2024</w:t>
              </w:r>
              <w:r w:rsidRPr="00003089">
                <w:t xml:space="preserve"> z dnia </w:t>
              </w:r>
              <w:r w:rsidR="00B14775">
                <w:t>30.09.2024</w:t>
              </w:r>
            </w:p>
          </w:tc>
        </w:tr>
      </w:tbl>
    </w:sdtContent>
  </w:sdt>
  <w:p w14:paraId="5CC03729" w14:textId="77777777" w:rsidR="00DA12DF" w:rsidRDefault="00DA12DF">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88"/>
      <w:gridCol w:w="2968"/>
      <w:gridCol w:w="3413"/>
      <w:gridCol w:w="8"/>
    </w:tblGrid>
    <w:tr w:rsidR="00DA12DF" w:rsidRPr="00003089" w14:paraId="29F09F36" w14:textId="77777777" w:rsidTr="00DA12DF">
      <w:trPr>
        <w:gridAfter w:val="1"/>
        <w:wAfter w:w="8" w:type="dxa"/>
        <w:trHeight w:val="416"/>
      </w:trPr>
      <w:tc>
        <w:tcPr>
          <w:tcW w:w="5956" w:type="dxa"/>
          <w:gridSpan w:val="2"/>
          <w:vAlign w:val="center"/>
        </w:tcPr>
        <w:p w14:paraId="5B32EFA9" w14:textId="77777777" w:rsidR="00DA12DF" w:rsidRPr="00003089" w:rsidRDefault="00DA12DF" w:rsidP="005217FD">
          <w:pPr>
            <w:spacing w:after="0" w:line="259" w:lineRule="auto"/>
            <w:ind w:right="623"/>
            <w:jc w:val="left"/>
          </w:pPr>
          <w:r w:rsidRPr="00003089">
            <w:t>Instrukcja Ruchu i Eksploatacji Sieci Dystrybucyjnej</w:t>
          </w:r>
        </w:p>
      </w:tc>
      <w:tc>
        <w:tcPr>
          <w:tcW w:w="3413" w:type="dxa"/>
        </w:tcPr>
        <w:p w14:paraId="4C210E78" w14:textId="77777777" w:rsidR="00DA12DF" w:rsidRPr="00003089" w:rsidRDefault="00DA12DF" w:rsidP="005217FD">
          <w:pPr>
            <w:pStyle w:val="Stopka"/>
            <w:tabs>
              <w:tab w:val="left" w:pos="2204"/>
            </w:tabs>
            <w:ind w:left="-6159" w:right="88"/>
            <w:jc w:val="right"/>
          </w:pPr>
          <w:r w:rsidRPr="00003089">
            <w:rPr>
              <w:rFonts w:ascii="Garamond" w:hAnsi="Garamond"/>
            </w:rPr>
            <w:t xml:space="preserve">Strona </w:t>
          </w:r>
          <w:r w:rsidRPr="00003089">
            <w:rPr>
              <w:rFonts w:ascii="Garamond" w:hAnsi="Garamond"/>
              <w:b/>
              <w:bCs/>
            </w:rPr>
            <w:fldChar w:fldCharType="begin"/>
          </w:r>
          <w:r w:rsidRPr="00003089">
            <w:rPr>
              <w:rFonts w:ascii="Garamond" w:hAnsi="Garamond"/>
              <w:b/>
              <w:bCs/>
            </w:rPr>
            <w:instrText>PAGE</w:instrText>
          </w:r>
          <w:r w:rsidRPr="00003089">
            <w:rPr>
              <w:rFonts w:ascii="Garamond" w:hAnsi="Garamond"/>
              <w:b/>
              <w:bCs/>
            </w:rPr>
            <w:fldChar w:fldCharType="separate"/>
          </w:r>
          <w:r>
            <w:rPr>
              <w:rFonts w:ascii="Garamond" w:hAnsi="Garamond"/>
              <w:b/>
              <w:bCs/>
              <w:noProof/>
            </w:rPr>
            <w:t>112</w:t>
          </w:r>
          <w:r w:rsidRPr="00003089">
            <w:rPr>
              <w:rFonts w:ascii="Garamond" w:hAnsi="Garamond"/>
              <w:b/>
              <w:bCs/>
            </w:rPr>
            <w:fldChar w:fldCharType="end"/>
          </w:r>
          <w:r w:rsidRPr="00003089">
            <w:rPr>
              <w:rFonts w:ascii="Garamond" w:hAnsi="Garamond"/>
            </w:rPr>
            <w:t xml:space="preserve"> z </w:t>
          </w:r>
          <w:r w:rsidRPr="00003089">
            <w:rPr>
              <w:rFonts w:ascii="Garamond" w:hAnsi="Garamond"/>
              <w:b/>
              <w:bCs/>
            </w:rPr>
            <w:fldChar w:fldCharType="begin"/>
          </w:r>
          <w:r w:rsidRPr="00003089">
            <w:rPr>
              <w:rFonts w:ascii="Garamond" w:hAnsi="Garamond"/>
              <w:b/>
              <w:bCs/>
            </w:rPr>
            <w:instrText>NUMPAGES</w:instrText>
          </w:r>
          <w:r w:rsidRPr="00003089">
            <w:rPr>
              <w:rFonts w:ascii="Garamond" w:hAnsi="Garamond"/>
              <w:b/>
              <w:bCs/>
            </w:rPr>
            <w:fldChar w:fldCharType="separate"/>
          </w:r>
          <w:r>
            <w:rPr>
              <w:rFonts w:ascii="Garamond" w:hAnsi="Garamond"/>
              <w:b/>
              <w:bCs/>
              <w:noProof/>
            </w:rPr>
            <w:t>112</w:t>
          </w:r>
          <w:r w:rsidRPr="00003089">
            <w:rPr>
              <w:rFonts w:ascii="Garamond" w:hAnsi="Garamond"/>
              <w:b/>
              <w:bCs/>
            </w:rPr>
            <w:fldChar w:fldCharType="end"/>
          </w:r>
        </w:p>
        <w:p w14:paraId="2B34F6E6" w14:textId="77777777" w:rsidR="00DA12DF" w:rsidRPr="00003089" w:rsidRDefault="00DA12DF" w:rsidP="005217FD">
          <w:pPr>
            <w:spacing w:after="100" w:afterAutospacing="1" w:line="259" w:lineRule="auto"/>
            <w:ind w:left="-34"/>
            <w:jc w:val="left"/>
          </w:pPr>
        </w:p>
      </w:tc>
    </w:tr>
    <w:tr w:rsidR="00DA12DF" w:rsidRPr="00003089" w14:paraId="34C2E4C7" w14:textId="77777777" w:rsidTr="00DA12DF">
      <w:trPr>
        <w:trHeight w:val="393"/>
      </w:trPr>
      <w:tc>
        <w:tcPr>
          <w:tcW w:w="2988" w:type="dxa"/>
          <w:vAlign w:val="center"/>
        </w:tcPr>
        <w:p w14:paraId="0F18A34D" w14:textId="77777777" w:rsidR="00DA12DF" w:rsidRPr="00003089" w:rsidRDefault="00DA12DF" w:rsidP="005217FD">
          <w:pPr>
            <w:spacing w:after="160" w:line="259" w:lineRule="auto"/>
            <w:jc w:val="left"/>
          </w:pPr>
          <w:r w:rsidRPr="00003089">
            <w:t>Zatwierdzonej:</w:t>
          </w:r>
        </w:p>
      </w:tc>
      <w:tc>
        <w:tcPr>
          <w:tcW w:w="6389" w:type="dxa"/>
          <w:gridSpan w:val="3"/>
          <w:vAlign w:val="center"/>
        </w:tcPr>
        <w:p w14:paraId="3F3D7BCB" w14:textId="77777777" w:rsidR="00DA12DF" w:rsidRPr="00003089" w:rsidRDefault="00DA12DF" w:rsidP="005217FD">
          <w:pPr>
            <w:spacing w:after="160" w:line="259" w:lineRule="auto"/>
            <w:jc w:val="left"/>
          </w:pPr>
          <w:r w:rsidRPr="00003089">
            <w:t xml:space="preserve">Uchwała Zarządu Industria Dystrybucja Sp. z o.o. Nr         z dnia </w:t>
          </w:r>
        </w:p>
      </w:tc>
    </w:tr>
  </w:tbl>
  <w:p w14:paraId="33CF6B74" w14:textId="77777777" w:rsidR="00DA12DF" w:rsidRDefault="00DA12DF">
    <w:pPr>
      <w:spacing w:after="160" w:line="259" w:lineRule="auto"/>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88"/>
      <w:gridCol w:w="2968"/>
      <w:gridCol w:w="3413"/>
      <w:gridCol w:w="8"/>
    </w:tblGrid>
    <w:tr w:rsidR="00DA12DF" w:rsidRPr="00003089" w14:paraId="616A6A4D" w14:textId="77777777" w:rsidTr="00DA12DF">
      <w:trPr>
        <w:gridAfter w:val="1"/>
        <w:wAfter w:w="8" w:type="dxa"/>
        <w:trHeight w:val="416"/>
      </w:trPr>
      <w:tc>
        <w:tcPr>
          <w:tcW w:w="5956" w:type="dxa"/>
          <w:gridSpan w:val="2"/>
          <w:vAlign w:val="center"/>
        </w:tcPr>
        <w:p w14:paraId="14CD17C0" w14:textId="77777777" w:rsidR="00DA12DF" w:rsidRPr="00003089" w:rsidRDefault="00DA12DF" w:rsidP="005217FD">
          <w:pPr>
            <w:spacing w:after="0" w:line="259" w:lineRule="auto"/>
            <w:ind w:right="623"/>
            <w:jc w:val="left"/>
          </w:pPr>
          <w:r w:rsidRPr="00003089">
            <w:t>Instrukcja Ruchu i Eksploatacji Sieci Dystrybucyjnej</w:t>
          </w:r>
        </w:p>
      </w:tc>
      <w:tc>
        <w:tcPr>
          <w:tcW w:w="3413" w:type="dxa"/>
        </w:tcPr>
        <w:p w14:paraId="1B14D44E" w14:textId="77777777" w:rsidR="00DA12DF" w:rsidRPr="00003089" w:rsidRDefault="00DA12DF" w:rsidP="005217FD">
          <w:pPr>
            <w:pStyle w:val="Stopka"/>
            <w:tabs>
              <w:tab w:val="left" w:pos="2204"/>
            </w:tabs>
            <w:ind w:left="-6159" w:right="88"/>
            <w:jc w:val="right"/>
          </w:pPr>
          <w:r w:rsidRPr="00003089">
            <w:rPr>
              <w:rFonts w:ascii="Garamond" w:hAnsi="Garamond"/>
            </w:rPr>
            <w:t xml:space="preserve">Strona </w:t>
          </w:r>
          <w:r w:rsidRPr="00003089">
            <w:rPr>
              <w:rFonts w:ascii="Garamond" w:hAnsi="Garamond"/>
              <w:b/>
              <w:bCs/>
            </w:rPr>
            <w:fldChar w:fldCharType="begin"/>
          </w:r>
          <w:r w:rsidRPr="00003089">
            <w:rPr>
              <w:rFonts w:ascii="Garamond" w:hAnsi="Garamond"/>
              <w:b/>
              <w:bCs/>
            </w:rPr>
            <w:instrText>PAGE</w:instrText>
          </w:r>
          <w:r w:rsidRPr="00003089">
            <w:rPr>
              <w:rFonts w:ascii="Garamond" w:hAnsi="Garamond"/>
              <w:b/>
              <w:bCs/>
            </w:rPr>
            <w:fldChar w:fldCharType="separate"/>
          </w:r>
          <w:r w:rsidR="0039268C">
            <w:rPr>
              <w:rFonts w:ascii="Garamond" w:hAnsi="Garamond"/>
              <w:b/>
              <w:bCs/>
              <w:noProof/>
            </w:rPr>
            <w:t>113</w:t>
          </w:r>
          <w:r w:rsidRPr="00003089">
            <w:rPr>
              <w:rFonts w:ascii="Garamond" w:hAnsi="Garamond"/>
              <w:b/>
              <w:bCs/>
            </w:rPr>
            <w:fldChar w:fldCharType="end"/>
          </w:r>
          <w:r w:rsidRPr="00003089">
            <w:rPr>
              <w:rFonts w:ascii="Garamond" w:hAnsi="Garamond"/>
            </w:rPr>
            <w:t xml:space="preserve"> z </w:t>
          </w:r>
          <w:r w:rsidRPr="00003089">
            <w:rPr>
              <w:rFonts w:ascii="Garamond" w:hAnsi="Garamond"/>
              <w:b/>
              <w:bCs/>
            </w:rPr>
            <w:fldChar w:fldCharType="begin"/>
          </w:r>
          <w:r w:rsidRPr="00003089">
            <w:rPr>
              <w:rFonts w:ascii="Garamond" w:hAnsi="Garamond"/>
              <w:b/>
              <w:bCs/>
            </w:rPr>
            <w:instrText>NUMPAGES</w:instrText>
          </w:r>
          <w:r w:rsidRPr="00003089">
            <w:rPr>
              <w:rFonts w:ascii="Garamond" w:hAnsi="Garamond"/>
              <w:b/>
              <w:bCs/>
            </w:rPr>
            <w:fldChar w:fldCharType="separate"/>
          </w:r>
          <w:r w:rsidR="0039268C">
            <w:rPr>
              <w:rFonts w:ascii="Garamond" w:hAnsi="Garamond"/>
              <w:b/>
              <w:bCs/>
              <w:noProof/>
            </w:rPr>
            <w:t>113</w:t>
          </w:r>
          <w:r w:rsidRPr="00003089">
            <w:rPr>
              <w:rFonts w:ascii="Garamond" w:hAnsi="Garamond"/>
              <w:b/>
              <w:bCs/>
            </w:rPr>
            <w:fldChar w:fldCharType="end"/>
          </w:r>
        </w:p>
        <w:p w14:paraId="0921669E" w14:textId="77777777" w:rsidR="00DA12DF" w:rsidRPr="00003089" w:rsidRDefault="00DA12DF" w:rsidP="005217FD">
          <w:pPr>
            <w:spacing w:after="100" w:afterAutospacing="1" w:line="259" w:lineRule="auto"/>
            <w:ind w:left="-34"/>
            <w:jc w:val="left"/>
          </w:pPr>
        </w:p>
      </w:tc>
    </w:tr>
    <w:tr w:rsidR="00DA12DF" w:rsidRPr="00003089" w14:paraId="7D51499A" w14:textId="77777777" w:rsidTr="00DA12DF">
      <w:trPr>
        <w:trHeight w:val="393"/>
      </w:trPr>
      <w:tc>
        <w:tcPr>
          <w:tcW w:w="2988" w:type="dxa"/>
          <w:vAlign w:val="center"/>
        </w:tcPr>
        <w:p w14:paraId="4A7D00EF" w14:textId="77777777" w:rsidR="00DA12DF" w:rsidRPr="00003089" w:rsidRDefault="00DA12DF" w:rsidP="005217FD">
          <w:pPr>
            <w:spacing w:after="160" w:line="259" w:lineRule="auto"/>
            <w:jc w:val="left"/>
          </w:pPr>
          <w:r w:rsidRPr="00003089">
            <w:t>Zatwierdzonej:</w:t>
          </w:r>
        </w:p>
      </w:tc>
      <w:tc>
        <w:tcPr>
          <w:tcW w:w="6389" w:type="dxa"/>
          <w:gridSpan w:val="3"/>
          <w:vAlign w:val="center"/>
        </w:tcPr>
        <w:p w14:paraId="3899BF6B" w14:textId="77777777" w:rsidR="00DA12DF" w:rsidRPr="00003089" w:rsidRDefault="00DA12DF" w:rsidP="005217FD">
          <w:pPr>
            <w:spacing w:after="160" w:line="259" w:lineRule="auto"/>
            <w:jc w:val="left"/>
          </w:pPr>
          <w:r w:rsidRPr="00003089">
            <w:t xml:space="preserve">Uchwała Zarządu Industria Dystrybucja Sp. z o.o. Nr         z dnia </w:t>
          </w:r>
        </w:p>
      </w:tc>
    </w:tr>
  </w:tbl>
  <w:p w14:paraId="3281A211" w14:textId="77777777" w:rsidR="00DA12DF" w:rsidRDefault="00DA12DF">
    <w:pPr>
      <w:spacing w:after="160" w:line="259" w:lineRule="auto"/>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04DBC" w14:textId="77777777" w:rsidR="00DA12DF" w:rsidRDefault="00DA12DF">
    <w:pPr>
      <w:spacing w:after="160" w:line="259" w:lineRule="auto"/>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220E01" w14:textId="77777777" w:rsidR="00057E16" w:rsidRDefault="00057E16">
      <w:pPr>
        <w:spacing w:after="0"/>
      </w:pPr>
      <w:r>
        <w:separator/>
      </w:r>
    </w:p>
  </w:footnote>
  <w:footnote w:type="continuationSeparator" w:id="0">
    <w:p w14:paraId="3892D28C" w14:textId="77777777" w:rsidR="00057E16" w:rsidRDefault="00057E1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4AA3F" w14:textId="77777777" w:rsidR="00DA12DF" w:rsidRDefault="00DA12DF">
    <w:pPr>
      <w:pStyle w:val="Nagwek"/>
    </w:pPr>
    <w:r>
      <w:t>Industria Dystrybucja Sp. z o.o.</w:t>
    </w:r>
    <w:r>
      <w:tab/>
    </w:r>
    <w:r>
      <w:br/>
    </w:r>
    <w:r>
      <w:tab/>
      <w:t xml:space="preserve">                                                                                      Operator Systemu Dystrybucyjnego (OSDn)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8B81F" w14:textId="45011FAC" w:rsidR="00DA12DF" w:rsidRDefault="0079215C" w:rsidP="00606AB9">
    <w:pPr>
      <w:pStyle w:val="Nagwek"/>
      <w:ind w:left="0" w:firstLine="0"/>
    </w:pPr>
    <w:r w:rsidRPr="00FF5662">
      <w:rPr>
        <w:rFonts w:ascii="Garamond" w:hAnsi="Garamond" w:cstheme="minorHAnsi"/>
        <w:noProof/>
      </w:rPr>
      <w:drawing>
        <wp:inline distT="0" distB="0" distL="0" distR="0" wp14:anchorId="5728DE3A" wp14:editId="55E2419E">
          <wp:extent cx="1695774" cy="434340"/>
          <wp:effectExtent l="0" t="0" r="0" b="3810"/>
          <wp:docPr id="58050718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9914" cy="437962"/>
                  </a:xfrm>
                  <a:prstGeom prst="rect">
                    <a:avLst/>
                  </a:prstGeom>
                  <a:noFill/>
                  <a:ln>
                    <a:noFill/>
                  </a:ln>
                </pic:spPr>
              </pic:pic>
            </a:graphicData>
          </a:graphic>
        </wp:inline>
      </w:drawing>
    </w:r>
    <w:r w:rsidR="00DA12DF">
      <w:tab/>
    </w:r>
    <w:r w:rsidR="00DA12DF">
      <w:br/>
    </w:r>
    <w:r w:rsidR="00DA12DF">
      <w:tab/>
      <w:t xml:space="preserve">                                                                                                                  Operator Systemu Dystrybucyjnego (OSDn)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B6EE4" w14:textId="77777777" w:rsidR="00DA12DF" w:rsidRDefault="00DA12DF" w:rsidP="006B79A9">
    <w:pPr>
      <w:pStyle w:val="Nagwek"/>
      <w:tabs>
        <w:tab w:val="clear" w:pos="4536"/>
        <w:tab w:val="clear" w:pos="9072"/>
        <w:tab w:val="center" w:pos="9781"/>
      </w:tabs>
      <w:ind w:left="142"/>
    </w:pPr>
    <w:r>
      <w:t>Industria Dystrybucja Sp. z o.o.</w:t>
    </w:r>
  </w:p>
  <w:p w14:paraId="5689D4FA" w14:textId="77777777" w:rsidR="00DA12DF" w:rsidRPr="006B79A9" w:rsidRDefault="00DA12DF" w:rsidP="006B79A9">
    <w:pPr>
      <w:pStyle w:val="Nagwek"/>
      <w:tabs>
        <w:tab w:val="clear" w:pos="4536"/>
        <w:tab w:val="clear" w:pos="9072"/>
        <w:tab w:val="center" w:pos="9781"/>
      </w:tabs>
      <w:ind w:left="5954"/>
    </w:pPr>
    <w:r>
      <w:t>Operator Systemu Dystrybucyjnego</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58D22" w14:textId="77777777" w:rsidR="00DA12DF" w:rsidRDefault="00DA12DF" w:rsidP="006B79A9">
    <w:pPr>
      <w:pStyle w:val="Nagwek"/>
      <w:tabs>
        <w:tab w:val="clear" w:pos="4536"/>
        <w:tab w:val="clear" w:pos="9072"/>
        <w:tab w:val="center" w:pos="9781"/>
      </w:tabs>
      <w:ind w:left="142"/>
    </w:pPr>
    <w:r>
      <w:t>Industria Dystrybucja Sp. z o.o.</w:t>
    </w:r>
  </w:p>
  <w:p w14:paraId="76B422F2" w14:textId="77777777" w:rsidR="00DA12DF" w:rsidRPr="006B79A9" w:rsidRDefault="00DA12DF" w:rsidP="006B79A9">
    <w:pPr>
      <w:pStyle w:val="Nagwek"/>
      <w:tabs>
        <w:tab w:val="clear" w:pos="4536"/>
        <w:tab w:val="clear" w:pos="9072"/>
        <w:tab w:val="center" w:pos="9781"/>
      </w:tabs>
      <w:ind w:left="5954"/>
    </w:pPr>
    <w:r>
      <w:t>Operator Systemu Dystrybucyjnego</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1D270" w14:textId="77777777" w:rsidR="00DA12DF" w:rsidRDefault="00DA12DF">
    <w:pPr>
      <w:spacing w:after="0" w:line="259" w:lineRule="auto"/>
      <w:ind w:left="-102"/>
      <w:jc w:val="left"/>
    </w:pPr>
    <w:r>
      <w:t xml:space="preserve">ZUCH </w:t>
    </w:r>
    <w:r>
      <w:rPr>
        <w:sz w:val="34"/>
      </w:rPr>
      <w:t xml:space="preserve">I </w:t>
    </w:r>
    <w:r>
      <w:t xml:space="preserve">AP "CHEMAR” </w:t>
    </w:r>
    <w:r>
      <w:rPr>
        <w:sz w:val="22"/>
      </w:rPr>
      <w:t>S.A.</w:t>
    </w:r>
  </w:p>
  <w:p w14:paraId="79B30540" w14:textId="77777777" w:rsidR="00DA12DF" w:rsidRDefault="00DA12DF">
    <w:pPr>
      <w:spacing w:after="0" w:line="259" w:lineRule="auto"/>
      <w:ind w:right="829"/>
      <w:jc w:val="right"/>
    </w:pPr>
    <w:r>
      <w:rPr>
        <w:sz w:val="22"/>
      </w:rPr>
      <w:t>Operator Systemu Dystrybucyjnego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16.5pt;visibility:visible;mso-wrap-style:square" o:bullet="t">
        <v:imagedata r:id="rId1" o:title=""/>
      </v:shape>
    </w:pict>
  </w:numPicBullet>
  <w:abstractNum w:abstractNumId="0" w15:restartNumberingAfterBreak="0">
    <w:nsid w:val="01F000CA"/>
    <w:multiLevelType w:val="hybridMultilevel"/>
    <w:tmpl w:val="E8FE064C"/>
    <w:lvl w:ilvl="0" w:tplc="80B4F72C">
      <w:start w:val="1"/>
      <w:numFmt w:val="lowerLetter"/>
      <w:lvlText w:val="%1)"/>
      <w:lvlJc w:val="left"/>
      <w:pPr>
        <w:ind w:left="720" w:hanging="360"/>
      </w:pPr>
      <w:rPr>
        <w:rFonts w:ascii="Garamond" w:eastAsia="Times New Roman" w:hAnsi="Garamond" w:cs="Times New Roman" w:hint="default"/>
        <w:b w:val="0"/>
        <w:i w:val="0"/>
        <w:strike w:val="0"/>
        <w:dstrike w:val="0"/>
        <w:color w:val="000000"/>
        <w:sz w:val="24"/>
        <w:szCs w:val="24"/>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2953C7D"/>
    <w:multiLevelType w:val="hybridMultilevel"/>
    <w:tmpl w:val="AD623514"/>
    <w:lvl w:ilvl="0" w:tplc="B064845A">
      <w:start w:val="1"/>
      <w:numFmt w:val="lowerLetter"/>
      <w:lvlText w:val="%1)"/>
      <w:lvlJc w:val="left"/>
      <w:pPr>
        <w:ind w:left="1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E496A8">
      <w:start w:val="1"/>
      <w:numFmt w:val="lowerLetter"/>
      <w:lvlText w:val="%2"/>
      <w:lvlJc w:val="left"/>
      <w:pPr>
        <w:ind w:left="2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427B7A">
      <w:start w:val="1"/>
      <w:numFmt w:val="lowerRoman"/>
      <w:lvlText w:val="%3"/>
      <w:lvlJc w:val="left"/>
      <w:pPr>
        <w:ind w:left="3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16E242C">
      <w:start w:val="1"/>
      <w:numFmt w:val="decimal"/>
      <w:lvlText w:val="%4"/>
      <w:lvlJc w:val="left"/>
      <w:pPr>
        <w:ind w:left="3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86E604">
      <w:start w:val="1"/>
      <w:numFmt w:val="lowerLetter"/>
      <w:lvlText w:val="%5"/>
      <w:lvlJc w:val="left"/>
      <w:pPr>
        <w:ind w:left="4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2450CE">
      <w:start w:val="1"/>
      <w:numFmt w:val="lowerRoman"/>
      <w:lvlText w:val="%6"/>
      <w:lvlJc w:val="left"/>
      <w:pPr>
        <w:ind w:left="5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706110">
      <w:start w:val="1"/>
      <w:numFmt w:val="decimal"/>
      <w:lvlText w:val="%7"/>
      <w:lvlJc w:val="left"/>
      <w:pPr>
        <w:ind w:left="6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FE82FA">
      <w:start w:val="1"/>
      <w:numFmt w:val="lowerLetter"/>
      <w:lvlText w:val="%8"/>
      <w:lvlJc w:val="left"/>
      <w:pPr>
        <w:ind w:left="6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B898B8">
      <w:start w:val="1"/>
      <w:numFmt w:val="lowerRoman"/>
      <w:lvlText w:val="%9"/>
      <w:lvlJc w:val="left"/>
      <w:pPr>
        <w:ind w:left="7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3371381"/>
    <w:multiLevelType w:val="hybridMultilevel"/>
    <w:tmpl w:val="D3D64E4E"/>
    <w:lvl w:ilvl="0" w:tplc="5FF6BCF8">
      <w:start w:val="2"/>
      <w:numFmt w:val="decimal"/>
      <w:lvlText w:val="%1."/>
      <w:lvlJc w:val="left"/>
      <w:pPr>
        <w:ind w:left="4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74AEB02">
      <w:start w:val="1"/>
      <w:numFmt w:val="lowerLetter"/>
      <w:lvlText w:val="%2"/>
      <w:lvlJc w:val="left"/>
      <w:pPr>
        <w:ind w:left="1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461B44">
      <w:start w:val="1"/>
      <w:numFmt w:val="lowerRoman"/>
      <w:lvlText w:val="%3"/>
      <w:lvlJc w:val="left"/>
      <w:pPr>
        <w:ind w:left="1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96EAF2">
      <w:start w:val="1"/>
      <w:numFmt w:val="decimal"/>
      <w:lvlText w:val="%4"/>
      <w:lvlJc w:val="left"/>
      <w:pPr>
        <w:ind w:left="2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0694DC">
      <w:start w:val="1"/>
      <w:numFmt w:val="lowerLetter"/>
      <w:lvlText w:val="%5"/>
      <w:lvlJc w:val="left"/>
      <w:pPr>
        <w:ind w:left="3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9A08050">
      <w:start w:val="1"/>
      <w:numFmt w:val="lowerRoman"/>
      <w:lvlText w:val="%6"/>
      <w:lvlJc w:val="left"/>
      <w:pPr>
        <w:ind w:left="3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5C39FC">
      <w:start w:val="1"/>
      <w:numFmt w:val="decimal"/>
      <w:lvlText w:val="%7"/>
      <w:lvlJc w:val="left"/>
      <w:pPr>
        <w:ind w:left="4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0808AC">
      <w:start w:val="1"/>
      <w:numFmt w:val="lowerLetter"/>
      <w:lvlText w:val="%8"/>
      <w:lvlJc w:val="left"/>
      <w:pPr>
        <w:ind w:left="5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F65622">
      <w:start w:val="1"/>
      <w:numFmt w:val="lowerRoman"/>
      <w:lvlText w:val="%9"/>
      <w:lvlJc w:val="left"/>
      <w:pPr>
        <w:ind w:left="6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37C50E2"/>
    <w:multiLevelType w:val="hybridMultilevel"/>
    <w:tmpl w:val="45009236"/>
    <w:lvl w:ilvl="0" w:tplc="FC98FBEC">
      <w:start w:val="1"/>
      <w:numFmt w:val="lowerLetter"/>
      <w:lvlText w:val="%1)"/>
      <w:lvlJc w:val="left"/>
      <w:pPr>
        <w:ind w:left="720" w:hanging="360"/>
      </w:pPr>
      <w:rPr>
        <w:rFonts w:asciiTheme="majorHAnsi" w:eastAsia="Times New Roman" w:hAnsiTheme="majorHAnsi" w:cs="Times New Roman" w:hint="default"/>
        <w:b w:val="0"/>
        <w:i w:val="0"/>
        <w:strike w:val="0"/>
        <w:dstrike w:val="0"/>
        <w:color w:val="000000"/>
        <w:sz w:val="24"/>
        <w:szCs w:val="24"/>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58C0305"/>
    <w:multiLevelType w:val="hybridMultilevel"/>
    <w:tmpl w:val="1CF2F0F2"/>
    <w:lvl w:ilvl="0" w:tplc="F6280E1A">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60E6442">
      <w:start w:val="1"/>
      <w:numFmt w:val="decimal"/>
      <w:lvlRestart w:val="0"/>
      <w:lvlText w:val="%2)"/>
      <w:lvlJc w:val="left"/>
      <w:pPr>
        <w:ind w:left="1727"/>
      </w:pPr>
      <w:rPr>
        <w:rFonts w:ascii="Garamond" w:eastAsia="Times New Roman" w:hAnsi="Garamond" w:cs="Times New Roman" w:hint="default"/>
        <w:b w:val="0"/>
        <w:i w:val="0"/>
        <w:strike w:val="0"/>
        <w:dstrike w:val="0"/>
        <w:color w:val="000000"/>
        <w:sz w:val="24"/>
        <w:szCs w:val="24"/>
        <w:u w:val="none" w:color="000000"/>
        <w:bdr w:val="none" w:sz="0" w:space="0" w:color="auto"/>
        <w:shd w:val="clear" w:color="auto" w:fill="auto"/>
        <w:vertAlign w:val="baseline"/>
      </w:rPr>
    </w:lvl>
    <w:lvl w:ilvl="2" w:tplc="5066C376">
      <w:start w:val="1"/>
      <w:numFmt w:val="lowerRoman"/>
      <w:lvlText w:val="%3"/>
      <w:lvlJc w:val="left"/>
      <w:pPr>
        <w:ind w:left="207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A5C4002">
      <w:start w:val="1"/>
      <w:numFmt w:val="decimal"/>
      <w:lvlText w:val="%4"/>
      <w:lvlJc w:val="left"/>
      <w:pPr>
        <w:ind w:left="27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90439E6">
      <w:start w:val="1"/>
      <w:numFmt w:val="lowerLetter"/>
      <w:lvlText w:val="%5"/>
      <w:lvlJc w:val="left"/>
      <w:pPr>
        <w:ind w:left="35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6E2E328">
      <w:start w:val="1"/>
      <w:numFmt w:val="lowerRoman"/>
      <w:lvlText w:val="%6"/>
      <w:lvlJc w:val="left"/>
      <w:pPr>
        <w:ind w:left="42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FB4B4B8">
      <w:start w:val="1"/>
      <w:numFmt w:val="decimal"/>
      <w:lvlText w:val="%7"/>
      <w:lvlJc w:val="left"/>
      <w:pPr>
        <w:ind w:left="49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75000F0">
      <w:start w:val="1"/>
      <w:numFmt w:val="lowerLetter"/>
      <w:lvlText w:val="%8"/>
      <w:lvlJc w:val="left"/>
      <w:pPr>
        <w:ind w:left="567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8823896">
      <w:start w:val="1"/>
      <w:numFmt w:val="lowerRoman"/>
      <w:lvlText w:val="%9"/>
      <w:lvlJc w:val="left"/>
      <w:pPr>
        <w:ind w:left="63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 w15:restartNumberingAfterBreak="0">
    <w:nsid w:val="078A717B"/>
    <w:multiLevelType w:val="hybridMultilevel"/>
    <w:tmpl w:val="11809DA8"/>
    <w:lvl w:ilvl="0" w:tplc="9C0E4D94">
      <w:start w:val="1"/>
      <w:numFmt w:val="decimal"/>
      <w:lvlText w:val="%1)"/>
      <w:lvlJc w:val="left"/>
      <w:pPr>
        <w:ind w:left="1770"/>
      </w:pPr>
      <w:rPr>
        <w:rFonts w:ascii="Garamond" w:eastAsia="Times New Roman" w:hAnsi="Garamond" w:cs="Times New Roman" w:hint="default"/>
        <w:b w:val="0"/>
        <w:i w:val="0"/>
        <w:strike w:val="0"/>
        <w:dstrike w:val="0"/>
        <w:color w:val="000000"/>
        <w:sz w:val="24"/>
        <w:szCs w:val="24"/>
        <w:u w:val="none" w:color="000000"/>
        <w:bdr w:val="none" w:sz="0" w:space="0" w:color="auto"/>
        <w:shd w:val="clear" w:color="auto" w:fill="auto"/>
        <w:vertAlign w:val="baseline"/>
      </w:rPr>
    </w:lvl>
    <w:lvl w:ilvl="1" w:tplc="A76C86DA">
      <w:start w:val="1"/>
      <w:numFmt w:val="lowerLetter"/>
      <w:lvlText w:val="%2"/>
      <w:lvlJc w:val="left"/>
      <w:pPr>
        <w:ind w:left="248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0EE87B6">
      <w:start w:val="1"/>
      <w:numFmt w:val="lowerRoman"/>
      <w:lvlText w:val="%3"/>
      <w:lvlJc w:val="left"/>
      <w:pPr>
        <w:ind w:left="320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436788C">
      <w:start w:val="1"/>
      <w:numFmt w:val="decimal"/>
      <w:lvlText w:val="%4"/>
      <w:lvlJc w:val="left"/>
      <w:pPr>
        <w:ind w:left="392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D085B20">
      <w:start w:val="1"/>
      <w:numFmt w:val="lowerLetter"/>
      <w:lvlText w:val="%5"/>
      <w:lvlJc w:val="left"/>
      <w:pPr>
        <w:ind w:left="464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F243052">
      <w:start w:val="1"/>
      <w:numFmt w:val="lowerRoman"/>
      <w:lvlText w:val="%6"/>
      <w:lvlJc w:val="left"/>
      <w:pPr>
        <w:ind w:left="536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73EF5C0">
      <w:start w:val="1"/>
      <w:numFmt w:val="decimal"/>
      <w:lvlText w:val="%7"/>
      <w:lvlJc w:val="left"/>
      <w:pPr>
        <w:ind w:left="608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E2AE520">
      <w:start w:val="1"/>
      <w:numFmt w:val="lowerLetter"/>
      <w:lvlText w:val="%8"/>
      <w:lvlJc w:val="left"/>
      <w:pPr>
        <w:ind w:left="680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D98D64A">
      <w:start w:val="1"/>
      <w:numFmt w:val="lowerRoman"/>
      <w:lvlText w:val="%9"/>
      <w:lvlJc w:val="left"/>
      <w:pPr>
        <w:ind w:left="752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 w15:restartNumberingAfterBreak="0">
    <w:nsid w:val="08D8001B"/>
    <w:multiLevelType w:val="hybridMultilevel"/>
    <w:tmpl w:val="883AA24E"/>
    <w:lvl w:ilvl="0" w:tplc="B7B63540">
      <w:start w:val="1"/>
      <w:numFmt w:val="lowerLetter"/>
      <w:lvlText w:val="%1)"/>
      <w:lvlJc w:val="left"/>
      <w:pPr>
        <w:ind w:left="720" w:hanging="360"/>
      </w:pPr>
      <w:rPr>
        <w:rFonts w:ascii="Garamond" w:eastAsia="Calibri" w:hAnsi="Garamond" w:cs="Calibri" w:hint="default"/>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97C1278"/>
    <w:multiLevelType w:val="hybridMultilevel"/>
    <w:tmpl w:val="77709A84"/>
    <w:lvl w:ilvl="0" w:tplc="B7B63540">
      <w:start w:val="1"/>
      <w:numFmt w:val="lowerLetter"/>
      <w:lvlText w:val="%1)"/>
      <w:lvlJc w:val="left"/>
      <w:pPr>
        <w:ind w:left="720" w:hanging="360"/>
      </w:pPr>
      <w:rPr>
        <w:rFonts w:ascii="Garamond" w:eastAsia="Calibri" w:hAnsi="Garamond" w:cs="Calibri" w:hint="default"/>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A911AF5"/>
    <w:multiLevelType w:val="hybridMultilevel"/>
    <w:tmpl w:val="A752709E"/>
    <w:lvl w:ilvl="0" w:tplc="FC98FBEC">
      <w:start w:val="1"/>
      <w:numFmt w:val="lowerLetter"/>
      <w:lvlText w:val="%1)"/>
      <w:lvlJc w:val="left"/>
      <w:pPr>
        <w:ind w:left="720" w:hanging="360"/>
      </w:pPr>
      <w:rPr>
        <w:rFonts w:asciiTheme="majorHAnsi" w:eastAsia="Times New Roman" w:hAnsiTheme="majorHAnsi" w:cs="Times New Roman" w:hint="default"/>
        <w:b w:val="0"/>
        <w:i w:val="0"/>
        <w:strike w:val="0"/>
        <w:dstrike w:val="0"/>
        <w:color w:val="000000"/>
        <w:sz w:val="24"/>
        <w:szCs w:val="24"/>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D954246"/>
    <w:multiLevelType w:val="multilevel"/>
    <w:tmpl w:val="A1EC857C"/>
    <w:lvl w:ilvl="0">
      <w:start w:val="4"/>
      <w:numFmt w:val="upperLetter"/>
      <w:lvlText w:val="%1."/>
      <w:lvlJc w:val="left"/>
      <w:pPr>
        <w:ind w:left="426"/>
      </w:pPr>
      <w:rPr>
        <w:rFonts w:asciiTheme="majorHAnsi" w:eastAsia="Times New Roman" w:hAnsiTheme="majorHAnsi" w:cs="Times New Roman" w:hint="default"/>
        <w:b/>
        <w:bCs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568"/>
      </w:pPr>
      <w:rPr>
        <w:rFonts w:ascii="Garamond" w:eastAsia="Times New Roman" w:hAnsi="Garamond" w:cs="Times New Roman" w:hint="default"/>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3)"/>
      <w:lvlJc w:val="left"/>
      <w:pPr>
        <w:ind w:left="1611"/>
      </w:pPr>
      <w:rPr>
        <w:rFonts w:ascii="Garamond" w:eastAsia="Times New Roman" w:hAnsi="Garamond" w:cs="Times New Roman" w:hint="default"/>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32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04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276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48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20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492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0" w15:restartNumberingAfterBreak="0">
    <w:nsid w:val="0DED6EAD"/>
    <w:multiLevelType w:val="hybridMultilevel"/>
    <w:tmpl w:val="7556EBF2"/>
    <w:lvl w:ilvl="0" w:tplc="2CEA52CA">
      <w:start w:val="1"/>
      <w:numFmt w:val="lowerLetter"/>
      <w:lvlText w:val="%1)"/>
      <w:lvlJc w:val="left"/>
      <w:pPr>
        <w:ind w:left="1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367288">
      <w:start w:val="1"/>
      <w:numFmt w:val="lowerLetter"/>
      <w:lvlText w:val="%2"/>
      <w:lvlJc w:val="left"/>
      <w:pPr>
        <w:ind w:left="2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D2B308">
      <w:start w:val="1"/>
      <w:numFmt w:val="lowerRoman"/>
      <w:lvlText w:val="%3"/>
      <w:lvlJc w:val="left"/>
      <w:pPr>
        <w:ind w:left="3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EEFD2E">
      <w:start w:val="1"/>
      <w:numFmt w:val="decimal"/>
      <w:lvlText w:val="%4"/>
      <w:lvlJc w:val="left"/>
      <w:pPr>
        <w:ind w:left="3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6CDA1E">
      <w:start w:val="1"/>
      <w:numFmt w:val="lowerLetter"/>
      <w:lvlText w:val="%5"/>
      <w:lvlJc w:val="left"/>
      <w:pPr>
        <w:ind w:left="4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D211AE">
      <w:start w:val="1"/>
      <w:numFmt w:val="lowerRoman"/>
      <w:lvlText w:val="%6"/>
      <w:lvlJc w:val="left"/>
      <w:pPr>
        <w:ind w:left="5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28091C">
      <w:start w:val="1"/>
      <w:numFmt w:val="decimal"/>
      <w:lvlText w:val="%7"/>
      <w:lvlJc w:val="left"/>
      <w:pPr>
        <w:ind w:left="6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08E520">
      <w:start w:val="1"/>
      <w:numFmt w:val="lowerLetter"/>
      <w:lvlText w:val="%8"/>
      <w:lvlJc w:val="left"/>
      <w:pPr>
        <w:ind w:left="6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BC9150">
      <w:start w:val="1"/>
      <w:numFmt w:val="lowerRoman"/>
      <w:lvlText w:val="%9"/>
      <w:lvlJc w:val="left"/>
      <w:pPr>
        <w:ind w:left="7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E5176DB"/>
    <w:multiLevelType w:val="hybridMultilevel"/>
    <w:tmpl w:val="EB0A7A30"/>
    <w:lvl w:ilvl="0" w:tplc="FC98FBEC">
      <w:start w:val="1"/>
      <w:numFmt w:val="lowerLetter"/>
      <w:lvlText w:val="%1)"/>
      <w:lvlJc w:val="left"/>
      <w:pPr>
        <w:ind w:left="720" w:hanging="360"/>
      </w:pPr>
      <w:rPr>
        <w:rFonts w:asciiTheme="majorHAnsi" w:eastAsia="Times New Roman" w:hAnsiTheme="majorHAnsi" w:cs="Times New Roman" w:hint="default"/>
        <w:b w:val="0"/>
        <w:i w:val="0"/>
        <w:strike w:val="0"/>
        <w:dstrike w:val="0"/>
        <w:color w:val="000000"/>
        <w:sz w:val="24"/>
        <w:szCs w:val="24"/>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EA16A5C"/>
    <w:multiLevelType w:val="multilevel"/>
    <w:tmpl w:val="5A386D40"/>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0EB2682A"/>
    <w:multiLevelType w:val="hybridMultilevel"/>
    <w:tmpl w:val="98160EE6"/>
    <w:lvl w:ilvl="0" w:tplc="D88C3604">
      <w:start w:val="1"/>
      <w:numFmt w:val="lowerLetter"/>
      <w:lvlText w:val="%1)"/>
      <w:lvlJc w:val="left"/>
      <w:pPr>
        <w:ind w:left="1734"/>
      </w:pPr>
      <w:rPr>
        <w:rFonts w:ascii="Garamond" w:eastAsia="Times New Roman" w:hAnsi="Garamond" w:cs="Times New Roman" w:hint="default"/>
        <w:b w:val="0"/>
        <w:i w:val="0"/>
        <w:strike w:val="0"/>
        <w:dstrike w:val="0"/>
        <w:color w:val="000000"/>
        <w:sz w:val="24"/>
        <w:szCs w:val="24"/>
        <w:u w:val="none" w:color="000000"/>
        <w:bdr w:val="none" w:sz="0" w:space="0" w:color="auto"/>
        <w:shd w:val="clear" w:color="auto" w:fill="auto"/>
        <w:vertAlign w:val="baseline"/>
      </w:rPr>
    </w:lvl>
    <w:lvl w:ilvl="1" w:tplc="BBA42A12">
      <w:start w:val="1"/>
      <w:numFmt w:val="lowerLetter"/>
      <w:lvlText w:val="%2"/>
      <w:lvlJc w:val="left"/>
      <w:pPr>
        <w:ind w:left="243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E721A1C">
      <w:start w:val="1"/>
      <w:numFmt w:val="lowerRoman"/>
      <w:lvlText w:val="%3"/>
      <w:lvlJc w:val="left"/>
      <w:pPr>
        <w:ind w:left="315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6E6F18E">
      <w:start w:val="1"/>
      <w:numFmt w:val="decimal"/>
      <w:lvlText w:val="%4"/>
      <w:lvlJc w:val="left"/>
      <w:pPr>
        <w:ind w:left="387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63E2424">
      <w:start w:val="1"/>
      <w:numFmt w:val="lowerLetter"/>
      <w:lvlText w:val="%5"/>
      <w:lvlJc w:val="left"/>
      <w:pPr>
        <w:ind w:left="459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714A852">
      <w:start w:val="1"/>
      <w:numFmt w:val="lowerRoman"/>
      <w:lvlText w:val="%6"/>
      <w:lvlJc w:val="left"/>
      <w:pPr>
        <w:ind w:left="531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C48B8BC">
      <w:start w:val="1"/>
      <w:numFmt w:val="decimal"/>
      <w:lvlText w:val="%7"/>
      <w:lvlJc w:val="left"/>
      <w:pPr>
        <w:ind w:left="603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F4895D0">
      <w:start w:val="1"/>
      <w:numFmt w:val="lowerLetter"/>
      <w:lvlText w:val="%8"/>
      <w:lvlJc w:val="left"/>
      <w:pPr>
        <w:ind w:left="675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A664916">
      <w:start w:val="1"/>
      <w:numFmt w:val="lowerRoman"/>
      <w:lvlText w:val="%9"/>
      <w:lvlJc w:val="left"/>
      <w:pPr>
        <w:ind w:left="747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 w15:restartNumberingAfterBreak="0">
    <w:nsid w:val="0F6848AC"/>
    <w:multiLevelType w:val="hybridMultilevel"/>
    <w:tmpl w:val="210E75FE"/>
    <w:lvl w:ilvl="0" w:tplc="1D12A248">
      <w:start w:val="1"/>
      <w:numFmt w:val="lowerLetter"/>
      <w:lvlText w:val="%1)"/>
      <w:lvlJc w:val="left"/>
      <w:pPr>
        <w:ind w:left="719"/>
      </w:pPr>
      <w:rPr>
        <w:rFonts w:ascii="Garamond" w:eastAsia="Times New Roman" w:hAnsi="Garamond" w:cs="Times New Roman" w:hint="default"/>
        <w:b w:val="0"/>
        <w:i w:val="0"/>
        <w:strike w:val="0"/>
        <w:dstrike w:val="0"/>
        <w:color w:val="000000"/>
        <w:sz w:val="24"/>
        <w:szCs w:val="24"/>
        <w:u w:val="none" w:color="000000"/>
        <w:bdr w:val="none" w:sz="0" w:space="0" w:color="auto"/>
        <w:shd w:val="clear" w:color="auto" w:fill="auto"/>
        <w:vertAlign w:val="baseline"/>
      </w:rPr>
    </w:lvl>
    <w:lvl w:ilvl="1" w:tplc="65D8AFE2">
      <w:start w:val="1"/>
      <w:numFmt w:val="lowerLetter"/>
      <w:lvlText w:val="%2"/>
      <w:lvlJc w:val="left"/>
      <w:pPr>
        <w:ind w:left="14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9A2A3E">
      <w:start w:val="1"/>
      <w:numFmt w:val="lowerRoman"/>
      <w:lvlText w:val="%3"/>
      <w:lvlJc w:val="left"/>
      <w:pPr>
        <w:ind w:left="22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F44944">
      <w:start w:val="1"/>
      <w:numFmt w:val="decimal"/>
      <w:lvlText w:val="%4"/>
      <w:lvlJc w:val="left"/>
      <w:pPr>
        <w:ind w:left="2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6C561A">
      <w:start w:val="1"/>
      <w:numFmt w:val="lowerLetter"/>
      <w:lvlText w:val="%5"/>
      <w:lvlJc w:val="left"/>
      <w:pPr>
        <w:ind w:left="3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A0B47C">
      <w:start w:val="1"/>
      <w:numFmt w:val="lowerRoman"/>
      <w:lvlText w:val="%6"/>
      <w:lvlJc w:val="left"/>
      <w:pPr>
        <w:ind w:left="4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D8957E">
      <w:start w:val="1"/>
      <w:numFmt w:val="decimal"/>
      <w:lvlText w:val="%7"/>
      <w:lvlJc w:val="left"/>
      <w:pPr>
        <w:ind w:left="5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CAFF56">
      <w:start w:val="1"/>
      <w:numFmt w:val="lowerLetter"/>
      <w:lvlText w:val="%8"/>
      <w:lvlJc w:val="left"/>
      <w:pPr>
        <w:ind w:left="5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A6B7A4">
      <w:start w:val="1"/>
      <w:numFmt w:val="lowerRoman"/>
      <w:lvlText w:val="%9"/>
      <w:lvlJc w:val="left"/>
      <w:pPr>
        <w:ind w:left="6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0F876886"/>
    <w:multiLevelType w:val="hybridMultilevel"/>
    <w:tmpl w:val="3BC6671C"/>
    <w:lvl w:ilvl="0" w:tplc="86D4E930">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6" w15:restartNumberingAfterBreak="0">
    <w:nsid w:val="10182108"/>
    <w:multiLevelType w:val="hybridMultilevel"/>
    <w:tmpl w:val="8F645314"/>
    <w:lvl w:ilvl="0" w:tplc="930A4DD8">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B3C8AC4">
      <w:start w:val="1"/>
      <w:numFmt w:val="lowerLetter"/>
      <w:lvlText w:val="%2"/>
      <w:lvlJc w:val="left"/>
      <w:pPr>
        <w:ind w:left="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D9E85B4">
      <w:start w:val="1"/>
      <w:numFmt w:val="lowerRoman"/>
      <w:lvlText w:val="%3"/>
      <w:lvlJc w:val="left"/>
      <w:pPr>
        <w:ind w:left="12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6BCEFA0">
      <w:start w:val="1"/>
      <w:numFmt w:val="lowerLetter"/>
      <w:lvlRestart w:val="0"/>
      <w:lvlText w:val="%4)"/>
      <w:lvlJc w:val="left"/>
      <w:pPr>
        <w:ind w:left="1575"/>
      </w:pPr>
      <w:rPr>
        <w:rFonts w:ascii="Garamond" w:eastAsia="Times New Roman" w:hAnsi="Garamond" w:cs="Times New Roman" w:hint="default"/>
        <w:b w:val="0"/>
        <w:i w:val="0"/>
        <w:strike w:val="0"/>
        <w:dstrike w:val="0"/>
        <w:color w:val="000000"/>
        <w:sz w:val="24"/>
        <w:szCs w:val="24"/>
        <w:u w:val="none" w:color="000000"/>
        <w:bdr w:val="none" w:sz="0" w:space="0" w:color="auto"/>
        <w:shd w:val="clear" w:color="auto" w:fill="auto"/>
        <w:vertAlign w:val="baseline"/>
      </w:rPr>
    </w:lvl>
    <w:lvl w:ilvl="4" w:tplc="25C450A0">
      <w:start w:val="1"/>
      <w:numFmt w:val="lowerLetter"/>
      <w:lvlText w:val="%5"/>
      <w:lvlJc w:val="left"/>
      <w:pPr>
        <w:ind w:left="237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E3A081A">
      <w:start w:val="1"/>
      <w:numFmt w:val="lowerRoman"/>
      <w:lvlText w:val="%6"/>
      <w:lvlJc w:val="left"/>
      <w:pPr>
        <w:ind w:left="309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8E2C6AC">
      <w:start w:val="1"/>
      <w:numFmt w:val="decimal"/>
      <w:lvlText w:val="%7"/>
      <w:lvlJc w:val="left"/>
      <w:pPr>
        <w:ind w:left="381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42200B6">
      <w:start w:val="1"/>
      <w:numFmt w:val="lowerLetter"/>
      <w:lvlText w:val="%8"/>
      <w:lvlJc w:val="left"/>
      <w:pPr>
        <w:ind w:left="453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906FBCE">
      <w:start w:val="1"/>
      <w:numFmt w:val="lowerRoman"/>
      <w:lvlText w:val="%9"/>
      <w:lvlJc w:val="left"/>
      <w:pPr>
        <w:ind w:left="52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7" w15:restartNumberingAfterBreak="0">
    <w:nsid w:val="117A22BF"/>
    <w:multiLevelType w:val="hybridMultilevel"/>
    <w:tmpl w:val="6A360B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1B74DE3"/>
    <w:multiLevelType w:val="hybridMultilevel"/>
    <w:tmpl w:val="9D42959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 w15:restartNumberingAfterBreak="0">
    <w:nsid w:val="11F92FFD"/>
    <w:multiLevelType w:val="hybridMultilevel"/>
    <w:tmpl w:val="656EA27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2545C02"/>
    <w:multiLevelType w:val="multilevel"/>
    <w:tmpl w:val="8E249162"/>
    <w:lvl w:ilvl="0">
      <w:start w:val="11"/>
      <w:numFmt w:val="decimal"/>
      <w:lvlText w:val="%1."/>
      <w:lvlJc w:val="left"/>
      <w:pPr>
        <w:ind w:left="2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12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start w:val="19"/>
      <w:numFmt w:val="decimal"/>
      <w:lvlText w:val="%1.%2.%3."/>
      <w:lvlJc w:val="left"/>
      <w:pPr>
        <w:ind w:left="19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620"/>
      </w:pPr>
      <w:rPr>
        <w:rFonts w:ascii="Garamond" w:eastAsia="Times New Roman" w:hAnsi="Garamond" w:cs="Times New Roman" w:hint="default"/>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35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0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79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51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23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1" w15:restartNumberingAfterBreak="0">
    <w:nsid w:val="128A6C3A"/>
    <w:multiLevelType w:val="hybridMultilevel"/>
    <w:tmpl w:val="CABABC30"/>
    <w:lvl w:ilvl="0" w:tplc="179888E4">
      <w:start w:val="1"/>
      <w:numFmt w:val="lowerLetter"/>
      <w:lvlText w:val="%1)"/>
      <w:lvlJc w:val="left"/>
      <w:pPr>
        <w:ind w:left="1611"/>
      </w:pPr>
      <w:rPr>
        <w:rFonts w:ascii="Garamond" w:eastAsia="Times New Roman" w:hAnsi="Garamond" w:cs="Times New Roman" w:hint="default"/>
        <w:b w:val="0"/>
        <w:i w:val="0"/>
        <w:strike w:val="0"/>
        <w:dstrike w:val="0"/>
        <w:color w:val="000000"/>
        <w:sz w:val="24"/>
        <w:szCs w:val="24"/>
        <w:u w:val="none" w:color="000000"/>
        <w:bdr w:val="none" w:sz="0" w:space="0" w:color="auto"/>
        <w:shd w:val="clear" w:color="auto" w:fill="auto"/>
        <w:vertAlign w:val="baseline"/>
      </w:rPr>
    </w:lvl>
    <w:lvl w:ilvl="1" w:tplc="36D03E04">
      <w:start w:val="1"/>
      <w:numFmt w:val="lowerLetter"/>
      <w:lvlText w:val="%2"/>
      <w:lvlJc w:val="left"/>
      <w:pPr>
        <w:ind w:left="10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05CAE08">
      <w:start w:val="1"/>
      <w:numFmt w:val="lowerRoman"/>
      <w:lvlText w:val="%3"/>
      <w:lvlJc w:val="left"/>
      <w:pPr>
        <w:ind w:left="18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27C3C28">
      <w:start w:val="1"/>
      <w:numFmt w:val="decimal"/>
      <w:lvlText w:val="%4"/>
      <w:lvlJc w:val="left"/>
      <w:pPr>
        <w:ind w:left="25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8DC20F8">
      <w:start w:val="1"/>
      <w:numFmt w:val="lowerLetter"/>
      <w:lvlText w:val="%5"/>
      <w:lvlJc w:val="left"/>
      <w:pPr>
        <w:ind w:left="32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24AAD98C">
      <w:start w:val="1"/>
      <w:numFmt w:val="lowerRoman"/>
      <w:lvlText w:val="%6"/>
      <w:lvlJc w:val="left"/>
      <w:pPr>
        <w:ind w:left="39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39210B4">
      <w:start w:val="1"/>
      <w:numFmt w:val="decimal"/>
      <w:lvlText w:val="%7"/>
      <w:lvlJc w:val="left"/>
      <w:pPr>
        <w:ind w:left="46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9E6BB6E">
      <w:start w:val="1"/>
      <w:numFmt w:val="lowerLetter"/>
      <w:lvlText w:val="%8"/>
      <w:lvlJc w:val="left"/>
      <w:pPr>
        <w:ind w:left="54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D1A68DA">
      <w:start w:val="1"/>
      <w:numFmt w:val="lowerRoman"/>
      <w:lvlText w:val="%9"/>
      <w:lvlJc w:val="left"/>
      <w:pPr>
        <w:ind w:left="61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2" w15:restartNumberingAfterBreak="0">
    <w:nsid w:val="129F16E0"/>
    <w:multiLevelType w:val="hybridMultilevel"/>
    <w:tmpl w:val="925AF35A"/>
    <w:lvl w:ilvl="0" w:tplc="0415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134206E2"/>
    <w:multiLevelType w:val="hybridMultilevel"/>
    <w:tmpl w:val="9104F0D0"/>
    <w:lvl w:ilvl="0" w:tplc="FC98FBEC">
      <w:start w:val="1"/>
      <w:numFmt w:val="lowerLetter"/>
      <w:lvlText w:val="%1)"/>
      <w:lvlJc w:val="left"/>
      <w:pPr>
        <w:ind w:left="720" w:hanging="360"/>
      </w:pPr>
      <w:rPr>
        <w:rFonts w:asciiTheme="majorHAnsi" w:eastAsia="Times New Roman" w:hAnsiTheme="majorHAnsi" w:cs="Times New Roman" w:hint="default"/>
        <w:b w:val="0"/>
        <w:i w:val="0"/>
        <w:strike w:val="0"/>
        <w:dstrike w:val="0"/>
        <w:color w:val="000000"/>
        <w:sz w:val="24"/>
        <w:szCs w:val="24"/>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3696891"/>
    <w:multiLevelType w:val="hybridMultilevel"/>
    <w:tmpl w:val="947AB4A4"/>
    <w:lvl w:ilvl="0" w:tplc="80B4F72C">
      <w:start w:val="1"/>
      <w:numFmt w:val="lowerLetter"/>
      <w:lvlText w:val="%1)"/>
      <w:lvlJc w:val="left"/>
      <w:pPr>
        <w:ind w:left="1068" w:hanging="360"/>
      </w:pPr>
      <w:rPr>
        <w:rFonts w:ascii="Garamond" w:eastAsia="Times New Roman" w:hAnsi="Garamond" w:cs="Times New Roman" w:hint="default"/>
        <w:b w:val="0"/>
        <w:i w:val="0"/>
        <w:strike w:val="0"/>
        <w:dstrike w:val="0"/>
        <w:color w:val="000000"/>
        <w:sz w:val="24"/>
        <w:szCs w:val="24"/>
        <w:u w:val="none" w:color="000000"/>
        <w:bdr w:val="none" w:sz="0" w:space="0" w:color="auto"/>
        <w:shd w:val="clear" w:color="auto" w:fill="auto"/>
        <w:vertAlign w:val="baseline"/>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5" w15:restartNumberingAfterBreak="0">
    <w:nsid w:val="14315445"/>
    <w:multiLevelType w:val="hybridMultilevel"/>
    <w:tmpl w:val="3FF0375A"/>
    <w:lvl w:ilvl="0" w:tplc="04150017">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26" w15:restartNumberingAfterBreak="0">
    <w:nsid w:val="14DE333A"/>
    <w:multiLevelType w:val="hybridMultilevel"/>
    <w:tmpl w:val="EDF45156"/>
    <w:lvl w:ilvl="0" w:tplc="FC98FBEC">
      <w:start w:val="1"/>
      <w:numFmt w:val="lowerLetter"/>
      <w:lvlText w:val="%1)"/>
      <w:lvlJc w:val="left"/>
      <w:pPr>
        <w:ind w:left="720" w:hanging="360"/>
      </w:pPr>
      <w:rPr>
        <w:rFonts w:asciiTheme="majorHAnsi" w:eastAsia="Times New Roman" w:hAnsiTheme="majorHAnsi" w:cs="Times New Roman" w:hint="default"/>
        <w:b w:val="0"/>
        <w:i w:val="0"/>
        <w:strike w:val="0"/>
        <w:dstrike w:val="0"/>
        <w:color w:val="000000"/>
        <w:sz w:val="24"/>
        <w:szCs w:val="24"/>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5440D66"/>
    <w:multiLevelType w:val="hybridMultilevel"/>
    <w:tmpl w:val="C37C1EF6"/>
    <w:lvl w:ilvl="0" w:tplc="B7B63540">
      <w:start w:val="1"/>
      <w:numFmt w:val="lowerLetter"/>
      <w:lvlText w:val="%1)"/>
      <w:lvlJc w:val="left"/>
      <w:pPr>
        <w:ind w:left="720" w:hanging="360"/>
      </w:pPr>
      <w:rPr>
        <w:rFonts w:ascii="Garamond" w:eastAsia="Calibri" w:hAnsi="Garamond" w:cs="Calibri" w:hint="default"/>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169E5657"/>
    <w:multiLevelType w:val="hybridMultilevel"/>
    <w:tmpl w:val="2F4AAD12"/>
    <w:lvl w:ilvl="0" w:tplc="B7B63540">
      <w:start w:val="1"/>
      <w:numFmt w:val="lowerLetter"/>
      <w:lvlText w:val="%1)"/>
      <w:lvlJc w:val="left"/>
      <w:pPr>
        <w:ind w:left="720" w:hanging="360"/>
      </w:pPr>
      <w:rPr>
        <w:rFonts w:ascii="Garamond" w:eastAsia="Calibri" w:hAnsi="Garamond" w:cs="Calibri" w:hint="default"/>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16AA2D91"/>
    <w:multiLevelType w:val="hybridMultilevel"/>
    <w:tmpl w:val="13BA055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6FB5517"/>
    <w:multiLevelType w:val="hybridMultilevel"/>
    <w:tmpl w:val="3D22D24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17D5087F"/>
    <w:multiLevelType w:val="multilevel"/>
    <w:tmpl w:val="56F2F9B0"/>
    <w:lvl w:ilvl="0">
      <w:start w:val="6"/>
      <w:numFmt w:val="upperRoman"/>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2"/>
      <w:numFmt w:val="decimal"/>
      <w:lvlRestart w:val="0"/>
      <w:lvlText w:val="%1.%2.%3."/>
      <w:lvlJc w:val="left"/>
      <w:pPr>
        <w:ind w:left="1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18203B08"/>
    <w:multiLevelType w:val="hybridMultilevel"/>
    <w:tmpl w:val="D980837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19730909"/>
    <w:multiLevelType w:val="hybridMultilevel"/>
    <w:tmpl w:val="81D65518"/>
    <w:lvl w:ilvl="0" w:tplc="FC98FBEC">
      <w:start w:val="1"/>
      <w:numFmt w:val="lowerLetter"/>
      <w:lvlText w:val="%1)"/>
      <w:lvlJc w:val="left"/>
      <w:pPr>
        <w:ind w:left="720" w:hanging="360"/>
      </w:pPr>
      <w:rPr>
        <w:rFonts w:asciiTheme="majorHAnsi" w:eastAsia="Times New Roman" w:hAnsiTheme="majorHAnsi" w:cs="Times New Roman" w:hint="default"/>
        <w:b w:val="0"/>
        <w:i w:val="0"/>
        <w:strike w:val="0"/>
        <w:dstrike w:val="0"/>
        <w:color w:val="000000"/>
        <w:sz w:val="24"/>
        <w:szCs w:val="24"/>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19D06873"/>
    <w:multiLevelType w:val="hybridMultilevel"/>
    <w:tmpl w:val="B95C9AE4"/>
    <w:lvl w:ilvl="0" w:tplc="FC98FBEC">
      <w:start w:val="1"/>
      <w:numFmt w:val="lowerLetter"/>
      <w:lvlText w:val="%1)"/>
      <w:lvlJc w:val="left"/>
      <w:pPr>
        <w:ind w:left="720" w:hanging="360"/>
      </w:pPr>
      <w:rPr>
        <w:rFonts w:asciiTheme="majorHAnsi" w:eastAsia="Times New Roman" w:hAnsiTheme="majorHAnsi" w:cs="Times New Roman" w:hint="default"/>
        <w:b w:val="0"/>
        <w:i w:val="0"/>
        <w:strike w:val="0"/>
        <w:dstrike w:val="0"/>
        <w:color w:val="000000"/>
        <w:sz w:val="24"/>
        <w:szCs w:val="24"/>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1AD21580"/>
    <w:multiLevelType w:val="hybridMultilevel"/>
    <w:tmpl w:val="FCE45874"/>
    <w:lvl w:ilvl="0" w:tplc="B5504340">
      <w:start w:val="1"/>
      <w:numFmt w:val="decimal"/>
      <w:lvlText w:val="%1)"/>
      <w:lvlJc w:val="left"/>
      <w:pPr>
        <w:ind w:left="1633"/>
      </w:pPr>
      <w:rPr>
        <w:rFonts w:asciiTheme="majorHAnsi" w:eastAsia="Times New Roman" w:hAnsiTheme="majorHAnsi" w:cs="Times New Roman" w:hint="default"/>
        <w:b w:val="0"/>
        <w:i w:val="0"/>
        <w:strike w:val="0"/>
        <w:dstrike w:val="0"/>
        <w:color w:val="000000"/>
        <w:sz w:val="24"/>
        <w:szCs w:val="24"/>
        <w:u w:val="none" w:color="000000"/>
        <w:bdr w:val="none" w:sz="0" w:space="0" w:color="auto"/>
        <w:shd w:val="clear" w:color="auto" w:fill="auto"/>
        <w:vertAlign w:val="baseline"/>
      </w:rPr>
    </w:lvl>
    <w:lvl w:ilvl="1" w:tplc="57608A9E">
      <w:start w:val="1"/>
      <w:numFmt w:val="lowerLetter"/>
      <w:lvlText w:val="%2"/>
      <w:lvlJc w:val="left"/>
      <w:pPr>
        <w:ind w:left="22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7CC8788">
      <w:start w:val="1"/>
      <w:numFmt w:val="lowerRoman"/>
      <w:lvlText w:val="%3"/>
      <w:lvlJc w:val="left"/>
      <w:pPr>
        <w:ind w:left="30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ECE492E">
      <w:start w:val="1"/>
      <w:numFmt w:val="decimal"/>
      <w:lvlText w:val="%4"/>
      <w:lvlJc w:val="left"/>
      <w:pPr>
        <w:ind w:left="37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A7A29D0">
      <w:start w:val="1"/>
      <w:numFmt w:val="lowerLetter"/>
      <w:lvlText w:val="%5"/>
      <w:lvlJc w:val="left"/>
      <w:pPr>
        <w:ind w:left="444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DCA7B88">
      <w:start w:val="1"/>
      <w:numFmt w:val="lowerRoman"/>
      <w:lvlText w:val="%6"/>
      <w:lvlJc w:val="left"/>
      <w:pPr>
        <w:ind w:left="51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0E647BE">
      <w:start w:val="1"/>
      <w:numFmt w:val="decimal"/>
      <w:lvlText w:val="%7"/>
      <w:lvlJc w:val="left"/>
      <w:pPr>
        <w:ind w:left="58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83234E8">
      <w:start w:val="1"/>
      <w:numFmt w:val="lowerLetter"/>
      <w:lvlText w:val="%8"/>
      <w:lvlJc w:val="left"/>
      <w:pPr>
        <w:ind w:left="66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79C1018">
      <w:start w:val="1"/>
      <w:numFmt w:val="lowerRoman"/>
      <w:lvlText w:val="%9"/>
      <w:lvlJc w:val="left"/>
      <w:pPr>
        <w:ind w:left="73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6" w15:restartNumberingAfterBreak="0">
    <w:nsid w:val="1B537EFA"/>
    <w:multiLevelType w:val="hybridMultilevel"/>
    <w:tmpl w:val="211EC746"/>
    <w:lvl w:ilvl="0" w:tplc="FFFFFFFF">
      <w:start w:val="1"/>
      <w:numFmt w:val="lowerLetter"/>
      <w:lvlText w:val="%1)"/>
      <w:lvlJc w:val="left"/>
      <w:pPr>
        <w:ind w:left="1640"/>
      </w:pPr>
      <w:rPr>
        <w:rFonts w:ascii="Garamond" w:eastAsia="Times New Roman" w:hAnsi="Garamond" w:cs="Times New Roman"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234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FFFFFFF">
      <w:start w:val="1"/>
      <w:numFmt w:val="lowerRoman"/>
      <w:lvlText w:val="%3"/>
      <w:lvlJc w:val="left"/>
      <w:pPr>
        <w:ind w:left="30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FFFFFFF">
      <w:start w:val="1"/>
      <w:numFmt w:val="decimal"/>
      <w:lvlText w:val="%4"/>
      <w:lvlJc w:val="left"/>
      <w:pPr>
        <w:ind w:left="378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FFFFFFF">
      <w:start w:val="1"/>
      <w:numFmt w:val="lowerLetter"/>
      <w:lvlText w:val="%5"/>
      <w:lvlJc w:val="left"/>
      <w:pPr>
        <w:ind w:left="450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FFFFFFF">
      <w:start w:val="1"/>
      <w:numFmt w:val="lowerRoman"/>
      <w:lvlText w:val="%6"/>
      <w:lvlJc w:val="left"/>
      <w:pPr>
        <w:ind w:left="52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FFFFFFF">
      <w:start w:val="1"/>
      <w:numFmt w:val="decimal"/>
      <w:lvlText w:val="%7"/>
      <w:lvlJc w:val="left"/>
      <w:pPr>
        <w:ind w:left="594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FFFFFFF">
      <w:start w:val="1"/>
      <w:numFmt w:val="lowerLetter"/>
      <w:lvlText w:val="%8"/>
      <w:lvlJc w:val="left"/>
      <w:pPr>
        <w:ind w:left="66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FFFFFFF">
      <w:start w:val="1"/>
      <w:numFmt w:val="lowerRoman"/>
      <w:lvlText w:val="%9"/>
      <w:lvlJc w:val="left"/>
      <w:pPr>
        <w:ind w:left="738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7" w15:restartNumberingAfterBreak="0">
    <w:nsid w:val="1BE714E7"/>
    <w:multiLevelType w:val="hybridMultilevel"/>
    <w:tmpl w:val="C2C47EEE"/>
    <w:lvl w:ilvl="0" w:tplc="A978F4A2">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940FC90">
      <w:start w:val="1"/>
      <w:numFmt w:val="lowerLetter"/>
      <w:lvlText w:val="%2"/>
      <w:lvlJc w:val="left"/>
      <w:pPr>
        <w:ind w:left="74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4C200EC">
      <w:start w:val="1"/>
      <w:numFmt w:val="lowerRoman"/>
      <w:lvlText w:val="%3"/>
      <w:lvlJc w:val="left"/>
      <w:pPr>
        <w:ind w:left="11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4D61FBC">
      <w:start w:val="1"/>
      <w:numFmt w:val="decimal"/>
      <w:lvlText w:val="%4"/>
      <w:lvlJc w:val="left"/>
      <w:pPr>
        <w:ind w:left="15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BA2BAB6">
      <w:start w:val="1"/>
      <w:numFmt w:val="lowerLetter"/>
      <w:lvlRestart w:val="0"/>
      <w:lvlText w:val="%5)"/>
      <w:lvlJc w:val="left"/>
      <w:pPr>
        <w:ind w:left="1431"/>
      </w:pPr>
      <w:rPr>
        <w:rFonts w:asciiTheme="majorHAnsi" w:eastAsia="Times New Roman" w:hAnsiTheme="majorHAnsi" w:cs="Times New Roman" w:hint="default"/>
        <w:b w:val="0"/>
        <w:i w:val="0"/>
        <w:strike w:val="0"/>
        <w:dstrike w:val="0"/>
        <w:color w:val="000000"/>
        <w:sz w:val="24"/>
        <w:szCs w:val="24"/>
        <w:u w:val="none" w:color="000000"/>
        <w:bdr w:val="none" w:sz="0" w:space="0" w:color="auto"/>
        <w:shd w:val="clear" w:color="auto" w:fill="auto"/>
        <w:vertAlign w:val="baseline"/>
      </w:rPr>
    </w:lvl>
    <w:lvl w:ilvl="5" w:tplc="C5FE2A42">
      <w:start w:val="1"/>
      <w:numFmt w:val="lowerRoman"/>
      <w:lvlText w:val="%6"/>
      <w:lvlJc w:val="left"/>
      <w:pPr>
        <w:ind w:left="26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6AA9336">
      <w:start w:val="1"/>
      <w:numFmt w:val="decimal"/>
      <w:lvlText w:val="%7"/>
      <w:lvlJc w:val="left"/>
      <w:pPr>
        <w:ind w:left="33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58CF75C">
      <w:start w:val="1"/>
      <w:numFmt w:val="lowerLetter"/>
      <w:lvlText w:val="%8"/>
      <w:lvlJc w:val="left"/>
      <w:pPr>
        <w:ind w:left="40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380FA44">
      <w:start w:val="1"/>
      <w:numFmt w:val="lowerRoman"/>
      <w:lvlText w:val="%9"/>
      <w:lvlJc w:val="left"/>
      <w:pPr>
        <w:ind w:left="47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8" w15:restartNumberingAfterBreak="0">
    <w:nsid w:val="1BF24F21"/>
    <w:multiLevelType w:val="hybridMultilevel"/>
    <w:tmpl w:val="D612180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1C0E0DBF"/>
    <w:multiLevelType w:val="hybridMultilevel"/>
    <w:tmpl w:val="F34E9F80"/>
    <w:lvl w:ilvl="0" w:tplc="B7B63540">
      <w:start w:val="1"/>
      <w:numFmt w:val="lowerLetter"/>
      <w:lvlText w:val="%1)"/>
      <w:lvlJc w:val="left"/>
      <w:pPr>
        <w:ind w:left="720" w:hanging="360"/>
      </w:pPr>
      <w:rPr>
        <w:rFonts w:ascii="Garamond" w:eastAsia="Calibri" w:hAnsi="Garamond" w:cs="Calibri" w:hint="default"/>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1C6329EA"/>
    <w:multiLevelType w:val="multilevel"/>
    <w:tmpl w:val="7CBE058E"/>
    <w:lvl w:ilvl="0">
      <w:start w:val="1"/>
      <w:numFmt w:val="upperLetter"/>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5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8"/>
      <w:numFmt w:val="decimal"/>
      <w:lvlRestart w:val="0"/>
      <w:lvlText w:val="%1.%2.%3."/>
      <w:lvlJc w:val="left"/>
      <w:pPr>
        <w:ind w:left="1288"/>
      </w:pPr>
      <w:rPr>
        <w:rFonts w:ascii="Garamond" w:eastAsia="Times New Roman" w:hAnsi="Garamond" w:cs="Times New Roman" w:hint="default"/>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9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6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3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1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1D963C7C"/>
    <w:multiLevelType w:val="hybridMultilevel"/>
    <w:tmpl w:val="54B64574"/>
    <w:lvl w:ilvl="0" w:tplc="FB3AA5DC">
      <w:start w:val="1"/>
      <w:numFmt w:val="lowerLetter"/>
      <w:lvlText w:val="%1)"/>
      <w:lvlJc w:val="left"/>
      <w:pPr>
        <w:ind w:left="1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4CC59A">
      <w:start w:val="1"/>
      <w:numFmt w:val="lowerLetter"/>
      <w:lvlText w:val="%2"/>
      <w:lvlJc w:val="left"/>
      <w:pPr>
        <w:ind w:left="2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7249254">
      <w:start w:val="1"/>
      <w:numFmt w:val="lowerRoman"/>
      <w:lvlText w:val="%3"/>
      <w:lvlJc w:val="left"/>
      <w:pPr>
        <w:ind w:left="3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385E1C">
      <w:start w:val="1"/>
      <w:numFmt w:val="decimal"/>
      <w:lvlText w:val="%4"/>
      <w:lvlJc w:val="left"/>
      <w:pPr>
        <w:ind w:left="3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AC426E">
      <w:start w:val="1"/>
      <w:numFmt w:val="lowerLetter"/>
      <w:lvlText w:val="%5"/>
      <w:lvlJc w:val="left"/>
      <w:pPr>
        <w:ind w:left="4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0E6992">
      <w:start w:val="1"/>
      <w:numFmt w:val="lowerRoman"/>
      <w:lvlText w:val="%6"/>
      <w:lvlJc w:val="left"/>
      <w:pPr>
        <w:ind w:left="5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942C62">
      <w:start w:val="1"/>
      <w:numFmt w:val="decimal"/>
      <w:lvlText w:val="%7"/>
      <w:lvlJc w:val="left"/>
      <w:pPr>
        <w:ind w:left="6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405EBC">
      <w:start w:val="1"/>
      <w:numFmt w:val="lowerLetter"/>
      <w:lvlText w:val="%8"/>
      <w:lvlJc w:val="left"/>
      <w:pPr>
        <w:ind w:left="6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7AC51C">
      <w:start w:val="1"/>
      <w:numFmt w:val="lowerRoman"/>
      <w:lvlText w:val="%9"/>
      <w:lvlJc w:val="left"/>
      <w:pPr>
        <w:ind w:left="7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1E124FBC"/>
    <w:multiLevelType w:val="hybridMultilevel"/>
    <w:tmpl w:val="C9742534"/>
    <w:lvl w:ilvl="0" w:tplc="99DC3D58">
      <w:start w:val="1"/>
      <w:numFmt w:val="decimal"/>
      <w:lvlText w:val="%1)"/>
      <w:lvlJc w:val="left"/>
      <w:pPr>
        <w:ind w:left="1770"/>
      </w:pPr>
      <w:rPr>
        <w:rFonts w:ascii="Garamond" w:eastAsia="Times New Roman" w:hAnsi="Garamond" w:cs="Times New Roman" w:hint="default"/>
        <w:b w:val="0"/>
        <w:i w:val="0"/>
        <w:strike w:val="0"/>
        <w:dstrike w:val="0"/>
        <w:color w:val="000000"/>
        <w:sz w:val="24"/>
        <w:szCs w:val="24"/>
        <w:u w:val="none" w:color="000000"/>
        <w:bdr w:val="none" w:sz="0" w:space="0" w:color="auto"/>
        <w:shd w:val="clear" w:color="auto" w:fill="auto"/>
        <w:vertAlign w:val="baseline"/>
      </w:rPr>
    </w:lvl>
    <w:lvl w:ilvl="1" w:tplc="4DE01380">
      <w:start w:val="1"/>
      <w:numFmt w:val="lowerLetter"/>
      <w:lvlText w:val="%2"/>
      <w:lvlJc w:val="left"/>
      <w:pPr>
        <w:ind w:left="2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4406EA">
      <w:start w:val="1"/>
      <w:numFmt w:val="lowerRoman"/>
      <w:lvlText w:val="%3"/>
      <w:lvlJc w:val="left"/>
      <w:pPr>
        <w:ind w:left="3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68AD5E">
      <w:start w:val="1"/>
      <w:numFmt w:val="decimal"/>
      <w:lvlText w:val="%4"/>
      <w:lvlJc w:val="left"/>
      <w:pPr>
        <w:ind w:left="3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0D066BA">
      <w:start w:val="1"/>
      <w:numFmt w:val="lowerLetter"/>
      <w:lvlText w:val="%5"/>
      <w:lvlJc w:val="left"/>
      <w:pPr>
        <w:ind w:left="4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9CF8C6">
      <w:start w:val="1"/>
      <w:numFmt w:val="lowerRoman"/>
      <w:lvlText w:val="%6"/>
      <w:lvlJc w:val="left"/>
      <w:pPr>
        <w:ind w:left="5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E42310">
      <w:start w:val="1"/>
      <w:numFmt w:val="decimal"/>
      <w:lvlText w:val="%7"/>
      <w:lvlJc w:val="left"/>
      <w:pPr>
        <w:ind w:left="5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522041E">
      <w:start w:val="1"/>
      <w:numFmt w:val="lowerLetter"/>
      <w:lvlText w:val="%8"/>
      <w:lvlJc w:val="left"/>
      <w:pPr>
        <w:ind w:left="6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22F608">
      <w:start w:val="1"/>
      <w:numFmt w:val="lowerRoman"/>
      <w:lvlText w:val="%9"/>
      <w:lvlJc w:val="left"/>
      <w:pPr>
        <w:ind w:left="7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1E1F4D03"/>
    <w:multiLevelType w:val="multilevel"/>
    <w:tmpl w:val="B6A0A6F0"/>
    <w:lvl w:ilvl="0">
      <w:start w:val="1"/>
      <w:numFmt w:val="upperLetter"/>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5"/>
      <w:numFmt w:val="decimal"/>
      <w:lvlRestart w:val="0"/>
      <w:lvlText w:val="%1.%2.%3."/>
      <w:lvlJc w:val="left"/>
      <w:pPr>
        <w:ind w:left="1205"/>
      </w:pPr>
      <w:rPr>
        <w:rFonts w:ascii="Garamond" w:eastAsia="Times New Roman" w:hAnsi="Garamond" w:cs="Times New Roman" w:hint="default"/>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1E723D97"/>
    <w:multiLevelType w:val="hybridMultilevel"/>
    <w:tmpl w:val="389ACC5A"/>
    <w:lvl w:ilvl="0" w:tplc="FC98FBEC">
      <w:start w:val="1"/>
      <w:numFmt w:val="lowerLetter"/>
      <w:lvlText w:val="%1)"/>
      <w:lvlJc w:val="left"/>
      <w:pPr>
        <w:ind w:left="720" w:hanging="360"/>
      </w:pPr>
      <w:rPr>
        <w:rFonts w:asciiTheme="majorHAnsi" w:eastAsia="Times New Roman" w:hAnsiTheme="majorHAnsi" w:cs="Times New Roman" w:hint="default"/>
        <w:b w:val="0"/>
        <w:i w:val="0"/>
        <w:strike w:val="0"/>
        <w:dstrike w:val="0"/>
        <w:color w:val="000000"/>
        <w:sz w:val="24"/>
        <w:szCs w:val="24"/>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1FA12D42"/>
    <w:multiLevelType w:val="multilevel"/>
    <w:tmpl w:val="8EEA4D42"/>
    <w:lvl w:ilvl="0">
      <w:start w:val="2"/>
      <w:numFmt w:val="upperLetter"/>
      <w:lvlText w:val="%1."/>
      <w:lvlJc w:val="left"/>
      <w:pPr>
        <w:ind w:left="590"/>
      </w:pPr>
      <w:rPr>
        <w:rFonts w:asciiTheme="majorHAnsi" w:eastAsia="Times New Roman" w:hAnsiTheme="majorHAnsi" w:cs="Times New Roman" w:hint="default"/>
        <w:b/>
        <w:bCs/>
        <w:i w:val="0"/>
        <w:iCs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2127"/>
      </w:pPr>
      <w:rPr>
        <w:rFonts w:asciiTheme="majorHAnsi" w:eastAsia="Times New Roman" w:hAnsiTheme="majorHAnsi" w:cs="Times New Roman" w:hint="default"/>
        <w:b w:val="0"/>
        <w:bCs/>
        <w:i w:val="0"/>
        <w:strike w:val="0"/>
        <w:dstrike w:val="0"/>
        <w:color w:val="000000"/>
        <w:sz w:val="24"/>
        <w:szCs w:val="24"/>
        <w:u w:val="none" w:color="000000"/>
        <w:bdr w:val="none" w:sz="0" w:space="0" w:color="auto"/>
        <w:shd w:val="clear" w:color="auto" w:fill="auto"/>
        <w:vertAlign w:val="baseline"/>
      </w:rPr>
    </w:lvl>
    <w:lvl w:ilvl="2">
      <w:start w:val="1"/>
      <w:numFmt w:val="lowerLetter"/>
      <w:lvlText w:val="%3)"/>
      <w:lvlJc w:val="left"/>
      <w:pPr>
        <w:ind w:left="2677"/>
      </w:pPr>
      <w:rPr>
        <w:rFonts w:ascii="Garamond" w:eastAsia="Times New Roman" w:hAnsi="Garamond" w:cs="Times New Roman" w:hint="default"/>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202147D9"/>
    <w:multiLevelType w:val="hybridMultilevel"/>
    <w:tmpl w:val="5590D4E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209D50C5"/>
    <w:multiLevelType w:val="hybridMultilevel"/>
    <w:tmpl w:val="C3007848"/>
    <w:lvl w:ilvl="0" w:tplc="FC98FBEC">
      <w:start w:val="1"/>
      <w:numFmt w:val="lowerLetter"/>
      <w:lvlText w:val="%1)"/>
      <w:lvlJc w:val="left"/>
      <w:pPr>
        <w:ind w:left="720" w:hanging="360"/>
      </w:pPr>
      <w:rPr>
        <w:rFonts w:asciiTheme="majorHAnsi" w:eastAsia="Times New Roman" w:hAnsiTheme="majorHAnsi" w:cs="Times New Roman" w:hint="default"/>
        <w:b w:val="0"/>
        <w:i w:val="0"/>
        <w:strike w:val="0"/>
        <w:dstrike w:val="0"/>
        <w:color w:val="000000"/>
        <w:sz w:val="24"/>
        <w:szCs w:val="24"/>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20A46258"/>
    <w:multiLevelType w:val="hybridMultilevel"/>
    <w:tmpl w:val="10DC2AA6"/>
    <w:lvl w:ilvl="0" w:tplc="A15829EA">
      <w:start w:val="1"/>
      <w:numFmt w:val="upperRoman"/>
      <w:lvlText w:val="%1."/>
      <w:lvlJc w:val="left"/>
      <w:pPr>
        <w:ind w:left="915" w:hanging="720"/>
      </w:pPr>
      <w:rPr>
        <w:rFonts w:hint="default"/>
        <w:sz w:val="20"/>
        <w:szCs w:val="20"/>
      </w:rPr>
    </w:lvl>
    <w:lvl w:ilvl="1" w:tplc="04150019">
      <w:start w:val="1"/>
      <w:numFmt w:val="lowerLetter"/>
      <w:lvlText w:val="%2."/>
      <w:lvlJc w:val="left"/>
      <w:pPr>
        <w:ind w:left="1275" w:hanging="360"/>
      </w:pPr>
    </w:lvl>
    <w:lvl w:ilvl="2" w:tplc="86D4E930">
      <w:start w:val="1"/>
      <w:numFmt w:val="lowerLetter"/>
      <w:lvlText w:val="%3)"/>
      <w:lvlJc w:val="left"/>
      <w:pPr>
        <w:ind w:left="2175" w:hanging="360"/>
      </w:pPr>
      <w:rPr>
        <w:rFonts w:hint="default"/>
      </w:rPr>
    </w:lvl>
    <w:lvl w:ilvl="3" w:tplc="0415000F">
      <w:start w:val="1"/>
      <w:numFmt w:val="decimal"/>
      <w:lvlText w:val="%4."/>
      <w:lvlJc w:val="left"/>
      <w:pPr>
        <w:ind w:left="2715" w:hanging="360"/>
      </w:pPr>
    </w:lvl>
    <w:lvl w:ilvl="4" w:tplc="04150019" w:tentative="1">
      <w:start w:val="1"/>
      <w:numFmt w:val="lowerLetter"/>
      <w:lvlText w:val="%5."/>
      <w:lvlJc w:val="left"/>
      <w:pPr>
        <w:ind w:left="3435" w:hanging="360"/>
      </w:pPr>
    </w:lvl>
    <w:lvl w:ilvl="5" w:tplc="0415001B" w:tentative="1">
      <w:start w:val="1"/>
      <w:numFmt w:val="lowerRoman"/>
      <w:lvlText w:val="%6."/>
      <w:lvlJc w:val="right"/>
      <w:pPr>
        <w:ind w:left="4155" w:hanging="180"/>
      </w:pPr>
    </w:lvl>
    <w:lvl w:ilvl="6" w:tplc="0415000F" w:tentative="1">
      <w:start w:val="1"/>
      <w:numFmt w:val="decimal"/>
      <w:lvlText w:val="%7."/>
      <w:lvlJc w:val="left"/>
      <w:pPr>
        <w:ind w:left="4875" w:hanging="360"/>
      </w:pPr>
    </w:lvl>
    <w:lvl w:ilvl="7" w:tplc="04150019" w:tentative="1">
      <w:start w:val="1"/>
      <w:numFmt w:val="lowerLetter"/>
      <w:lvlText w:val="%8."/>
      <w:lvlJc w:val="left"/>
      <w:pPr>
        <w:ind w:left="5595" w:hanging="360"/>
      </w:pPr>
    </w:lvl>
    <w:lvl w:ilvl="8" w:tplc="0415001B" w:tentative="1">
      <w:start w:val="1"/>
      <w:numFmt w:val="lowerRoman"/>
      <w:lvlText w:val="%9."/>
      <w:lvlJc w:val="right"/>
      <w:pPr>
        <w:ind w:left="6315" w:hanging="180"/>
      </w:pPr>
    </w:lvl>
  </w:abstractNum>
  <w:abstractNum w:abstractNumId="49" w15:restartNumberingAfterBreak="0">
    <w:nsid w:val="21085C8B"/>
    <w:multiLevelType w:val="hybridMultilevel"/>
    <w:tmpl w:val="2884C000"/>
    <w:lvl w:ilvl="0" w:tplc="04150017">
      <w:start w:val="1"/>
      <w:numFmt w:val="lowerLetter"/>
      <w:lvlText w:val="%1)"/>
      <w:lvlJc w:val="left"/>
      <w:pPr>
        <w:ind w:left="1776" w:hanging="360"/>
      </w:p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50" w15:restartNumberingAfterBreak="0">
    <w:nsid w:val="21445C2E"/>
    <w:multiLevelType w:val="hybridMultilevel"/>
    <w:tmpl w:val="2190F356"/>
    <w:lvl w:ilvl="0" w:tplc="80B4F72C">
      <w:start w:val="1"/>
      <w:numFmt w:val="lowerLetter"/>
      <w:lvlText w:val="%1)"/>
      <w:lvlJc w:val="left"/>
      <w:pPr>
        <w:ind w:left="1068" w:hanging="360"/>
      </w:pPr>
      <w:rPr>
        <w:rFonts w:ascii="Garamond" w:eastAsia="Times New Roman" w:hAnsi="Garamond" w:cs="Times New Roman" w:hint="default"/>
        <w:b w:val="0"/>
        <w:i w:val="0"/>
        <w:strike w:val="0"/>
        <w:dstrike w:val="0"/>
        <w:color w:val="000000"/>
        <w:sz w:val="24"/>
        <w:szCs w:val="24"/>
        <w:u w:val="none" w:color="000000"/>
        <w:bdr w:val="none" w:sz="0" w:space="0" w:color="auto"/>
        <w:shd w:val="clear" w:color="auto" w:fill="auto"/>
        <w:vertAlign w:val="baseline"/>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1" w15:restartNumberingAfterBreak="0">
    <w:nsid w:val="228F6FB0"/>
    <w:multiLevelType w:val="hybridMultilevel"/>
    <w:tmpl w:val="EEC80BBC"/>
    <w:lvl w:ilvl="0" w:tplc="B7B63540">
      <w:start w:val="1"/>
      <w:numFmt w:val="lowerLetter"/>
      <w:lvlText w:val="%1)"/>
      <w:lvlJc w:val="left"/>
      <w:pPr>
        <w:ind w:left="720" w:hanging="360"/>
      </w:pPr>
      <w:rPr>
        <w:rFonts w:ascii="Garamond" w:eastAsia="Calibri" w:hAnsi="Garamond" w:cs="Calibri" w:hint="default"/>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23E95665"/>
    <w:multiLevelType w:val="hybridMultilevel"/>
    <w:tmpl w:val="506EFE90"/>
    <w:lvl w:ilvl="0" w:tplc="80B4F72C">
      <w:start w:val="1"/>
      <w:numFmt w:val="lowerLetter"/>
      <w:lvlText w:val="%1)"/>
      <w:lvlJc w:val="left"/>
      <w:pPr>
        <w:ind w:left="720" w:hanging="360"/>
      </w:pPr>
      <w:rPr>
        <w:rFonts w:ascii="Garamond" w:eastAsia="Times New Roman" w:hAnsi="Garamond" w:cs="Times New Roman" w:hint="default"/>
        <w:b w:val="0"/>
        <w:i w:val="0"/>
        <w:strike w:val="0"/>
        <w:dstrike w:val="0"/>
        <w:color w:val="000000"/>
        <w:sz w:val="24"/>
        <w:szCs w:val="24"/>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24370028"/>
    <w:multiLevelType w:val="hybridMultilevel"/>
    <w:tmpl w:val="618485A0"/>
    <w:lvl w:ilvl="0" w:tplc="FC98FBEC">
      <w:start w:val="1"/>
      <w:numFmt w:val="lowerLetter"/>
      <w:lvlText w:val="%1)"/>
      <w:lvlJc w:val="left"/>
      <w:pPr>
        <w:ind w:left="720" w:hanging="360"/>
      </w:pPr>
      <w:rPr>
        <w:rFonts w:asciiTheme="majorHAnsi" w:eastAsia="Times New Roman" w:hAnsiTheme="majorHAnsi" w:cs="Times New Roman" w:hint="default"/>
        <w:b w:val="0"/>
        <w:i w:val="0"/>
        <w:strike w:val="0"/>
        <w:dstrike w:val="0"/>
        <w:color w:val="000000"/>
        <w:sz w:val="24"/>
        <w:szCs w:val="24"/>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24CA0C2A"/>
    <w:multiLevelType w:val="hybridMultilevel"/>
    <w:tmpl w:val="C3123580"/>
    <w:lvl w:ilvl="0" w:tplc="DD98B876">
      <w:start w:val="1"/>
      <w:numFmt w:val="lowerLetter"/>
      <w:lvlText w:val="%1)"/>
      <w:lvlJc w:val="left"/>
      <w:pPr>
        <w:ind w:left="1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C04972">
      <w:start w:val="1"/>
      <w:numFmt w:val="lowerLetter"/>
      <w:lvlText w:val="%2"/>
      <w:lvlJc w:val="left"/>
      <w:pPr>
        <w:ind w:left="2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B8AB2D6">
      <w:start w:val="1"/>
      <w:numFmt w:val="lowerRoman"/>
      <w:lvlText w:val="%3"/>
      <w:lvlJc w:val="left"/>
      <w:pPr>
        <w:ind w:left="3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C0EE200">
      <w:start w:val="1"/>
      <w:numFmt w:val="decimal"/>
      <w:lvlText w:val="%4"/>
      <w:lvlJc w:val="left"/>
      <w:pPr>
        <w:ind w:left="3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BE011A">
      <w:start w:val="1"/>
      <w:numFmt w:val="lowerLetter"/>
      <w:lvlText w:val="%5"/>
      <w:lvlJc w:val="left"/>
      <w:pPr>
        <w:ind w:left="4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5A479C">
      <w:start w:val="1"/>
      <w:numFmt w:val="lowerRoman"/>
      <w:lvlText w:val="%6"/>
      <w:lvlJc w:val="left"/>
      <w:pPr>
        <w:ind w:left="5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CEED04">
      <w:start w:val="1"/>
      <w:numFmt w:val="decimal"/>
      <w:lvlText w:val="%7"/>
      <w:lvlJc w:val="left"/>
      <w:pPr>
        <w:ind w:left="6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36A574">
      <w:start w:val="1"/>
      <w:numFmt w:val="lowerLetter"/>
      <w:lvlText w:val="%8"/>
      <w:lvlJc w:val="left"/>
      <w:pPr>
        <w:ind w:left="6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06154E">
      <w:start w:val="1"/>
      <w:numFmt w:val="lowerRoman"/>
      <w:lvlText w:val="%9"/>
      <w:lvlJc w:val="left"/>
      <w:pPr>
        <w:ind w:left="7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25486DA9"/>
    <w:multiLevelType w:val="hybridMultilevel"/>
    <w:tmpl w:val="785E302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256973E4"/>
    <w:multiLevelType w:val="hybridMultilevel"/>
    <w:tmpl w:val="744851BC"/>
    <w:lvl w:ilvl="0" w:tplc="FC98FBEC">
      <w:start w:val="1"/>
      <w:numFmt w:val="lowerLetter"/>
      <w:lvlText w:val="%1)"/>
      <w:lvlJc w:val="left"/>
      <w:pPr>
        <w:ind w:left="720" w:hanging="360"/>
      </w:pPr>
      <w:rPr>
        <w:rFonts w:asciiTheme="majorHAnsi" w:eastAsia="Times New Roman" w:hAnsiTheme="majorHAnsi" w:cs="Times New Roman" w:hint="default"/>
        <w:b w:val="0"/>
        <w:i w:val="0"/>
        <w:strike w:val="0"/>
        <w:dstrike w:val="0"/>
        <w:color w:val="000000"/>
        <w:sz w:val="24"/>
        <w:szCs w:val="24"/>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25917592"/>
    <w:multiLevelType w:val="multilevel"/>
    <w:tmpl w:val="8258C884"/>
    <w:lvl w:ilvl="0">
      <w:start w:val="1"/>
      <w:numFmt w:val="upperLetter"/>
      <w:lvlText w:val="%1."/>
      <w:lvlJc w:val="left"/>
      <w:pPr>
        <w:ind w:left="640"/>
      </w:pPr>
      <w:rPr>
        <w:rFonts w:asciiTheme="majorHAnsi" w:eastAsia="Times New Roman" w:hAnsiTheme="majorHAnsi" w:cs="Times New Roman" w:hint="default"/>
        <w:b/>
        <w:bCs/>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1864"/>
      </w:pPr>
      <w:rPr>
        <w:rFonts w:asciiTheme="majorHAnsi" w:eastAsia="Times New Roman" w:hAnsiTheme="majorHAnsi" w:cs="Times New Roman" w:hint="default"/>
        <w:b w:val="0"/>
        <w:bCs/>
        <w:i w:val="0"/>
        <w:strike w:val="0"/>
        <w:dstrike w:val="0"/>
        <w:color w:val="000000"/>
        <w:sz w:val="24"/>
        <w:szCs w:val="24"/>
        <w:u w:val="none" w:color="000000"/>
        <w:bdr w:val="none" w:sz="0" w:space="0" w:color="auto"/>
        <w:shd w:val="clear" w:color="auto" w:fill="auto"/>
        <w:vertAlign w:val="baseline"/>
      </w:rPr>
    </w:lvl>
    <w:lvl w:ilvl="2">
      <w:start w:val="1"/>
      <w:numFmt w:val="lowerLetter"/>
      <w:lvlText w:val="%3)"/>
      <w:lvlJc w:val="left"/>
      <w:pPr>
        <w:ind w:left="1576"/>
      </w:pPr>
      <w:rPr>
        <w:rFonts w:ascii="Garamond" w:eastAsia="Times New Roman" w:hAnsi="Garamond" w:cs="Times New Roman" w:hint="default"/>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0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8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5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42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9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6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8" w15:restartNumberingAfterBreak="0">
    <w:nsid w:val="25C47EB7"/>
    <w:multiLevelType w:val="hybridMultilevel"/>
    <w:tmpl w:val="F49A6FB0"/>
    <w:lvl w:ilvl="0" w:tplc="FFFFFFFF">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2692615F"/>
    <w:multiLevelType w:val="hybridMultilevel"/>
    <w:tmpl w:val="98CAE6CA"/>
    <w:lvl w:ilvl="0" w:tplc="86D4E930">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60" w15:restartNumberingAfterBreak="0">
    <w:nsid w:val="26AE10A0"/>
    <w:multiLevelType w:val="hybridMultilevel"/>
    <w:tmpl w:val="36C2FAD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27092B64"/>
    <w:multiLevelType w:val="hybridMultilevel"/>
    <w:tmpl w:val="BD0CF6BA"/>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62" w15:restartNumberingAfterBreak="0">
    <w:nsid w:val="280451D2"/>
    <w:multiLevelType w:val="hybridMultilevel"/>
    <w:tmpl w:val="70FE3FA0"/>
    <w:lvl w:ilvl="0" w:tplc="80B4F72C">
      <w:start w:val="1"/>
      <w:numFmt w:val="lowerLetter"/>
      <w:lvlText w:val="%1)"/>
      <w:lvlJc w:val="left"/>
      <w:pPr>
        <w:ind w:left="720" w:hanging="360"/>
      </w:pPr>
      <w:rPr>
        <w:rFonts w:ascii="Garamond" w:eastAsia="Times New Roman" w:hAnsi="Garamond" w:cs="Times New Roman" w:hint="default"/>
        <w:b w:val="0"/>
        <w:i w:val="0"/>
        <w:strike w:val="0"/>
        <w:dstrike w:val="0"/>
        <w:color w:val="000000"/>
        <w:sz w:val="24"/>
        <w:szCs w:val="24"/>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29042954"/>
    <w:multiLevelType w:val="multilevel"/>
    <w:tmpl w:val="4FB68D28"/>
    <w:lvl w:ilvl="0">
      <w:start w:val="1"/>
      <w:numFmt w:val="upperLetter"/>
      <w:lvlText w:val="%1."/>
      <w:lvlJc w:val="left"/>
      <w:pPr>
        <w:ind w:left="30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2"/>
      <w:numFmt w:val="decimal"/>
      <w:lvlText w:val="%1.%2."/>
      <w:lvlJc w:val="left"/>
      <w:pPr>
        <w:ind w:left="1533"/>
      </w:pPr>
      <w:rPr>
        <w:rFonts w:ascii="Garamond" w:eastAsia="Times New Roman" w:hAnsi="Garamond" w:cs="Times New Roman" w:hint="default"/>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2552"/>
      </w:pPr>
      <w:rPr>
        <w:rFonts w:ascii="Garamond" w:eastAsia="Times New Roman" w:hAnsi="Garamond" w:cs="Times New Roman" w:hint="default"/>
        <w:b w:val="0"/>
        <w:i w:val="0"/>
        <w:strike w:val="0"/>
        <w:dstrike w:val="0"/>
        <w:color w:val="000000"/>
        <w:sz w:val="22"/>
        <w:szCs w:val="22"/>
        <w:u w:val="none" w:color="000000"/>
        <w:bdr w:val="none" w:sz="0" w:space="0" w:color="auto"/>
        <w:shd w:val="clear" w:color="auto" w:fill="auto"/>
        <w:vertAlign w:val="baseline"/>
      </w:rPr>
    </w:lvl>
    <w:lvl w:ilvl="3">
      <w:start w:val="1"/>
      <w:numFmt w:val="lowerLetter"/>
      <w:lvlText w:val="%4)"/>
      <w:lvlJc w:val="left"/>
      <w:pPr>
        <w:ind w:left="2556"/>
      </w:pPr>
      <w:rPr>
        <w:rFonts w:ascii="Garamond" w:eastAsia="Times New Roman" w:hAnsi="Garamond" w:cs="Times New Roman" w:hint="default"/>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96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268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40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12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484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4" w15:restartNumberingAfterBreak="0">
    <w:nsid w:val="291C5EDB"/>
    <w:multiLevelType w:val="hybridMultilevel"/>
    <w:tmpl w:val="90D48BE8"/>
    <w:lvl w:ilvl="0" w:tplc="DCCACCEE">
      <w:start w:val="1"/>
      <w:numFmt w:val="lowerLetter"/>
      <w:lvlText w:val="%1)"/>
      <w:lvlJc w:val="left"/>
      <w:pPr>
        <w:ind w:left="1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E2299E">
      <w:start w:val="1"/>
      <w:numFmt w:val="lowerLetter"/>
      <w:lvlText w:val="%2"/>
      <w:lvlJc w:val="left"/>
      <w:pPr>
        <w:ind w:left="2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DE1A28">
      <w:start w:val="1"/>
      <w:numFmt w:val="lowerRoman"/>
      <w:lvlText w:val="%3"/>
      <w:lvlJc w:val="left"/>
      <w:pPr>
        <w:ind w:left="3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9815F2">
      <w:start w:val="1"/>
      <w:numFmt w:val="decimal"/>
      <w:lvlText w:val="%4"/>
      <w:lvlJc w:val="left"/>
      <w:pPr>
        <w:ind w:left="3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F4EE76">
      <w:start w:val="1"/>
      <w:numFmt w:val="lowerLetter"/>
      <w:lvlText w:val="%5"/>
      <w:lvlJc w:val="left"/>
      <w:pPr>
        <w:ind w:left="4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DC2822">
      <w:start w:val="1"/>
      <w:numFmt w:val="lowerRoman"/>
      <w:lvlText w:val="%6"/>
      <w:lvlJc w:val="left"/>
      <w:pPr>
        <w:ind w:left="5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2EA386">
      <w:start w:val="1"/>
      <w:numFmt w:val="decimal"/>
      <w:lvlText w:val="%7"/>
      <w:lvlJc w:val="left"/>
      <w:pPr>
        <w:ind w:left="6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5A623A">
      <w:start w:val="1"/>
      <w:numFmt w:val="lowerLetter"/>
      <w:lvlText w:val="%8"/>
      <w:lvlJc w:val="left"/>
      <w:pPr>
        <w:ind w:left="6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18CB17A">
      <w:start w:val="1"/>
      <w:numFmt w:val="lowerRoman"/>
      <w:lvlText w:val="%9"/>
      <w:lvlJc w:val="left"/>
      <w:pPr>
        <w:ind w:left="7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2A0675D4"/>
    <w:multiLevelType w:val="hybridMultilevel"/>
    <w:tmpl w:val="2A9CE7C0"/>
    <w:lvl w:ilvl="0" w:tplc="FC98FBEC">
      <w:start w:val="1"/>
      <w:numFmt w:val="lowerLetter"/>
      <w:lvlText w:val="%1)"/>
      <w:lvlJc w:val="left"/>
      <w:pPr>
        <w:ind w:left="720" w:hanging="360"/>
      </w:pPr>
      <w:rPr>
        <w:rFonts w:asciiTheme="majorHAnsi" w:eastAsia="Times New Roman" w:hAnsiTheme="majorHAnsi" w:cs="Times New Roman" w:hint="default"/>
        <w:b w:val="0"/>
        <w:i w:val="0"/>
        <w:strike w:val="0"/>
        <w:dstrike w:val="0"/>
        <w:color w:val="000000"/>
        <w:sz w:val="24"/>
        <w:szCs w:val="24"/>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2A0B1541"/>
    <w:multiLevelType w:val="hybridMultilevel"/>
    <w:tmpl w:val="16B459D2"/>
    <w:lvl w:ilvl="0" w:tplc="FC98FBEC">
      <w:start w:val="1"/>
      <w:numFmt w:val="lowerLetter"/>
      <w:lvlText w:val="%1)"/>
      <w:lvlJc w:val="left"/>
      <w:pPr>
        <w:ind w:left="720" w:hanging="360"/>
      </w:pPr>
      <w:rPr>
        <w:rFonts w:asciiTheme="majorHAnsi" w:eastAsia="Times New Roman" w:hAnsiTheme="majorHAnsi" w:cs="Times New Roman" w:hint="default"/>
        <w:b w:val="0"/>
        <w:i w:val="0"/>
        <w:strike w:val="0"/>
        <w:dstrike w:val="0"/>
        <w:color w:val="000000"/>
        <w:sz w:val="24"/>
        <w:szCs w:val="24"/>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2A4851B2"/>
    <w:multiLevelType w:val="hybridMultilevel"/>
    <w:tmpl w:val="AAE6C51C"/>
    <w:lvl w:ilvl="0" w:tplc="B7B63540">
      <w:start w:val="1"/>
      <w:numFmt w:val="lowerLetter"/>
      <w:lvlText w:val="%1)"/>
      <w:lvlJc w:val="left"/>
      <w:pPr>
        <w:ind w:left="720" w:hanging="360"/>
      </w:pPr>
      <w:rPr>
        <w:rFonts w:ascii="Garamond" w:eastAsia="Calibri" w:hAnsi="Garamond" w:cs="Calibri" w:hint="default"/>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2ADD2A1F"/>
    <w:multiLevelType w:val="hybridMultilevel"/>
    <w:tmpl w:val="66D45858"/>
    <w:lvl w:ilvl="0" w:tplc="FC98FBEC">
      <w:start w:val="1"/>
      <w:numFmt w:val="lowerLetter"/>
      <w:lvlText w:val="%1)"/>
      <w:lvlJc w:val="left"/>
      <w:pPr>
        <w:ind w:left="720" w:hanging="360"/>
      </w:pPr>
      <w:rPr>
        <w:rFonts w:asciiTheme="majorHAnsi" w:eastAsia="Times New Roman" w:hAnsiTheme="majorHAnsi" w:cs="Times New Roman" w:hint="default"/>
        <w:b w:val="0"/>
        <w:i w:val="0"/>
        <w:strike w:val="0"/>
        <w:dstrike w:val="0"/>
        <w:color w:val="000000"/>
        <w:sz w:val="24"/>
        <w:szCs w:val="24"/>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2C2F3540"/>
    <w:multiLevelType w:val="hybridMultilevel"/>
    <w:tmpl w:val="22EC337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2CD93FEC"/>
    <w:multiLevelType w:val="hybridMultilevel"/>
    <w:tmpl w:val="8C02BC0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2EC17044"/>
    <w:multiLevelType w:val="hybridMultilevel"/>
    <w:tmpl w:val="04F697DA"/>
    <w:lvl w:ilvl="0" w:tplc="02888120">
      <w:start w:val="1"/>
      <w:numFmt w:val="lowerLetter"/>
      <w:lvlText w:val="%1)"/>
      <w:lvlJc w:val="left"/>
      <w:pPr>
        <w:ind w:left="1625"/>
      </w:pPr>
      <w:rPr>
        <w:rFonts w:asciiTheme="majorHAnsi" w:eastAsia="Times New Roman" w:hAnsiTheme="majorHAnsi" w:cs="Times New Roman" w:hint="default"/>
        <w:b w:val="0"/>
        <w:i w:val="0"/>
        <w:strike w:val="0"/>
        <w:dstrike w:val="0"/>
        <w:color w:val="000000"/>
        <w:sz w:val="24"/>
        <w:szCs w:val="24"/>
        <w:u w:val="none" w:color="000000"/>
        <w:bdr w:val="none" w:sz="0" w:space="0" w:color="auto"/>
        <w:shd w:val="clear" w:color="auto" w:fill="auto"/>
        <w:vertAlign w:val="baseline"/>
      </w:rPr>
    </w:lvl>
    <w:lvl w:ilvl="1" w:tplc="B56EE848">
      <w:start w:val="1"/>
      <w:numFmt w:val="lowerLetter"/>
      <w:lvlText w:val="%2"/>
      <w:lvlJc w:val="left"/>
      <w:pPr>
        <w:ind w:left="23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CAE09FA">
      <w:start w:val="1"/>
      <w:numFmt w:val="lowerRoman"/>
      <w:lvlText w:val="%3"/>
      <w:lvlJc w:val="left"/>
      <w:pPr>
        <w:ind w:left="30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1D8CC04">
      <w:start w:val="1"/>
      <w:numFmt w:val="decimal"/>
      <w:lvlText w:val="%4"/>
      <w:lvlJc w:val="left"/>
      <w:pPr>
        <w:ind w:left="38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B7E5BAA">
      <w:start w:val="1"/>
      <w:numFmt w:val="lowerLetter"/>
      <w:lvlText w:val="%5"/>
      <w:lvlJc w:val="left"/>
      <w:pPr>
        <w:ind w:left="45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DDA475A">
      <w:start w:val="1"/>
      <w:numFmt w:val="lowerRoman"/>
      <w:lvlText w:val="%6"/>
      <w:lvlJc w:val="left"/>
      <w:pPr>
        <w:ind w:left="524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BB8DDAC">
      <w:start w:val="1"/>
      <w:numFmt w:val="decimal"/>
      <w:lvlText w:val="%7"/>
      <w:lvlJc w:val="left"/>
      <w:pPr>
        <w:ind w:left="59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3F69882">
      <w:start w:val="1"/>
      <w:numFmt w:val="lowerLetter"/>
      <w:lvlText w:val="%8"/>
      <w:lvlJc w:val="left"/>
      <w:pPr>
        <w:ind w:left="66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5F4DC6C">
      <w:start w:val="1"/>
      <w:numFmt w:val="lowerRoman"/>
      <w:lvlText w:val="%9"/>
      <w:lvlJc w:val="left"/>
      <w:pPr>
        <w:ind w:left="74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2" w15:restartNumberingAfterBreak="0">
    <w:nsid w:val="2FF21981"/>
    <w:multiLevelType w:val="hybridMultilevel"/>
    <w:tmpl w:val="3214863C"/>
    <w:lvl w:ilvl="0" w:tplc="D3FCE198">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6F0903C">
      <w:start w:val="1"/>
      <w:numFmt w:val="lowerLetter"/>
      <w:lvlText w:val="%2"/>
      <w:lvlJc w:val="left"/>
      <w:pPr>
        <w:ind w:left="74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0D25770">
      <w:start w:val="1"/>
      <w:numFmt w:val="lowerRoman"/>
      <w:lvlText w:val="%3"/>
      <w:lvlJc w:val="left"/>
      <w:pPr>
        <w:ind w:left="112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EA61E02">
      <w:start w:val="1"/>
      <w:numFmt w:val="decimal"/>
      <w:lvlText w:val="%4"/>
      <w:lvlJc w:val="left"/>
      <w:pPr>
        <w:ind w:left="15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F6478AA">
      <w:start w:val="1"/>
      <w:numFmt w:val="lowerLetter"/>
      <w:lvlRestart w:val="0"/>
      <w:lvlText w:val="%5)"/>
      <w:lvlJc w:val="left"/>
      <w:pPr>
        <w:ind w:left="1950"/>
      </w:pPr>
      <w:rPr>
        <w:rFonts w:asciiTheme="majorHAnsi" w:eastAsia="Times New Roman" w:hAnsiTheme="majorHAnsi" w:cs="Times New Roman" w:hint="default"/>
        <w:b w:val="0"/>
        <w:i w:val="0"/>
        <w:strike w:val="0"/>
        <w:dstrike w:val="0"/>
        <w:color w:val="000000"/>
        <w:sz w:val="24"/>
        <w:szCs w:val="24"/>
        <w:u w:val="none" w:color="000000"/>
        <w:bdr w:val="none" w:sz="0" w:space="0" w:color="auto"/>
        <w:shd w:val="clear" w:color="auto" w:fill="auto"/>
        <w:vertAlign w:val="baseline"/>
      </w:rPr>
    </w:lvl>
    <w:lvl w:ilvl="5" w:tplc="831C2FF8">
      <w:start w:val="1"/>
      <w:numFmt w:val="lowerRoman"/>
      <w:lvlText w:val="%6"/>
      <w:lvlJc w:val="left"/>
      <w:pPr>
        <w:ind w:left="26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3A8FA5E">
      <w:start w:val="1"/>
      <w:numFmt w:val="decimal"/>
      <w:lvlText w:val="%7"/>
      <w:lvlJc w:val="left"/>
      <w:pPr>
        <w:ind w:left="333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C489758">
      <w:start w:val="1"/>
      <w:numFmt w:val="lowerLetter"/>
      <w:lvlText w:val="%8"/>
      <w:lvlJc w:val="left"/>
      <w:pPr>
        <w:ind w:left="405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3603074">
      <w:start w:val="1"/>
      <w:numFmt w:val="lowerRoman"/>
      <w:lvlText w:val="%9"/>
      <w:lvlJc w:val="left"/>
      <w:pPr>
        <w:ind w:left="47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3" w15:restartNumberingAfterBreak="0">
    <w:nsid w:val="318F0446"/>
    <w:multiLevelType w:val="hybridMultilevel"/>
    <w:tmpl w:val="23665B8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31F24469"/>
    <w:multiLevelType w:val="hybridMultilevel"/>
    <w:tmpl w:val="7234AF8E"/>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75" w15:restartNumberingAfterBreak="0">
    <w:nsid w:val="328D7E42"/>
    <w:multiLevelType w:val="hybridMultilevel"/>
    <w:tmpl w:val="F71C73B2"/>
    <w:lvl w:ilvl="0" w:tplc="B7B63540">
      <w:start w:val="1"/>
      <w:numFmt w:val="lowerLetter"/>
      <w:lvlText w:val="%1)"/>
      <w:lvlJc w:val="left"/>
      <w:pPr>
        <w:ind w:left="1068" w:hanging="360"/>
      </w:pPr>
      <w:rPr>
        <w:rFonts w:ascii="Garamond" w:eastAsia="Calibri" w:hAnsi="Garamond" w:cs="Calibri" w:hint="default"/>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76" w15:restartNumberingAfterBreak="0">
    <w:nsid w:val="329258EB"/>
    <w:multiLevelType w:val="hybridMultilevel"/>
    <w:tmpl w:val="5B204530"/>
    <w:lvl w:ilvl="0" w:tplc="C2B66086">
      <w:start w:val="1"/>
      <w:numFmt w:val="upperRoman"/>
      <w:pStyle w:val="Spistreci1"/>
      <w:lvlText w:val="%1."/>
      <w:lvlJc w:val="left"/>
      <w:pPr>
        <w:ind w:left="1080" w:hanging="720"/>
      </w:pPr>
      <w:rPr>
        <w:rFonts w:asciiTheme="majorHAnsi" w:hAnsiTheme="majorHAnsi"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32953011"/>
    <w:multiLevelType w:val="hybridMultilevel"/>
    <w:tmpl w:val="68E80A98"/>
    <w:lvl w:ilvl="0" w:tplc="E974B5B6">
      <w:start w:val="1"/>
      <w:numFmt w:val="lowerLetter"/>
      <w:lvlText w:val="%1)"/>
      <w:lvlJc w:val="left"/>
      <w:pPr>
        <w:ind w:left="14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C2EBF6">
      <w:start w:val="1"/>
      <w:numFmt w:val="lowerLetter"/>
      <w:lvlText w:val="%2"/>
      <w:lvlJc w:val="left"/>
      <w:pPr>
        <w:ind w:left="22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DAC70E">
      <w:start w:val="1"/>
      <w:numFmt w:val="lowerRoman"/>
      <w:lvlText w:val="%3"/>
      <w:lvlJc w:val="left"/>
      <w:pPr>
        <w:ind w:left="2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EA6FF0">
      <w:start w:val="1"/>
      <w:numFmt w:val="decimal"/>
      <w:lvlText w:val="%4"/>
      <w:lvlJc w:val="left"/>
      <w:pPr>
        <w:ind w:left="3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9C3046">
      <w:start w:val="1"/>
      <w:numFmt w:val="lowerLetter"/>
      <w:lvlText w:val="%5"/>
      <w:lvlJc w:val="left"/>
      <w:pPr>
        <w:ind w:left="4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4685E2">
      <w:start w:val="1"/>
      <w:numFmt w:val="lowerRoman"/>
      <w:lvlText w:val="%6"/>
      <w:lvlJc w:val="left"/>
      <w:pPr>
        <w:ind w:left="5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F4216A">
      <w:start w:val="1"/>
      <w:numFmt w:val="decimal"/>
      <w:lvlText w:val="%7"/>
      <w:lvlJc w:val="left"/>
      <w:pPr>
        <w:ind w:left="5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1A4DBA">
      <w:start w:val="1"/>
      <w:numFmt w:val="lowerLetter"/>
      <w:lvlText w:val="%8"/>
      <w:lvlJc w:val="left"/>
      <w:pPr>
        <w:ind w:left="6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CCC908">
      <w:start w:val="1"/>
      <w:numFmt w:val="lowerRoman"/>
      <w:lvlText w:val="%9"/>
      <w:lvlJc w:val="left"/>
      <w:pPr>
        <w:ind w:left="7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32BE5D14"/>
    <w:multiLevelType w:val="hybridMultilevel"/>
    <w:tmpl w:val="048E3E06"/>
    <w:lvl w:ilvl="0" w:tplc="B7E4362E">
      <w:start w:val="1"/>
      <w:numFmt w:val="lowerLetter"/>
      <w:lvlText w:val="%1)"/>
      <w:lvlJc w:val="left"/>
      <w:pPr>
        <w:ind w:left="1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44E342">
      <w:start w:val="1"/>
      <w:numFmt w:val="lowerLetter"/>
      <w:lvlText w:val="%2"/>
      <w:lvlJc w:val="left"/>
      <w:pPr>
        <w:ind w:left="2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DC85CE">
      <w:start w:val="1"/>
      <w:numFmt w:val="lowerRoman"/>
      <w:lvlText w:val="%3"/>
      <w:lvlJc w:val="left"/>
      <w:pPr>
        <w:ind w:left="3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5CD0F4">
      <w:start w:val="1"/>
      <w:numFmt w:val="decimal"/>
      <w:lvlText w:val="%4"/>
      <w:lvlJc w:val="left"/>
      <w:pPr>
        <w:ind w:left="40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4C8F12">
      <w:start w:val="1"/>
      <w:numFmt w:val="lowerLetter"/>
      <w:lvlText w:val="%5"/>
      <w:lvlJc w:val="left"/>
      <w:pPr>
        <w:ind w:left="4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5CED0A">
      <w:start w:val="1"/>
      <w:numFmt w:val="lowerRoman"/>
      <w:lvlText w:val="%6"/>
      <w:lvlJc w:val="left"/>
      <w:pPr>
        <w:ind w:left="5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FD837DA">
      <w:start w:val="1"/>
      <w:numFmt w:val="decimal"/>
      <w:lvlText w:val="%7"/>
      <w:lvlJc w:val="left"/>
      <w:pPr>
        <w:ind w:left="6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0280B8">
      <w:start w:val="1"/>
      <w:numFmt w:val="lowerLetter"/>
      <w:lvlText w:val="%8"/>
      <w:lvlJc w:val="left"/>
      <w:pPr>
        <w:ind w:left="68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CCCF12">
      <w:start w:val="1"/>
      <w:numFmt w:val="lowerRoman"/>
      <w:lvlText w:val="%9"/>
      <w:lvlJc w:val="left"/>
      <w:pPr>
        <w:ind w:left="76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333D64EC"/>
    <w:multiLevelType w:val="hybridMultilevel"/>
    <w:tmpl w:val="D8CA7CD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33F16A32"/>
    <w:multiLevelType w:val="hybridMultilevel"/>
    <w:tmpl w:val="ABBA759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346E0D01"/>
    <w:multiLevelType w:val="hybridMultilevel"/>
    <w:tmpl w:val="36282F5E"/>
    <w:lvl w:ilvl="0" w:tplc="7C5096F8">
      <w:start w:val="1"/>
      <w:numFmt w:val="lowerLetter"/>
      <w:lvlText w:val="%1)"/>
      <w:lvlJc w:val="left"/>
      <w:pPr>
        <w:ind w:left="1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B2FABA">
      <w:start w:val="1"/>
      <w:numFmt w:val="lowerLetter"/>
      <w:lvlText w:val="%2"/>
      <w:lvlJc w:val="left"/>
      <w:pPr>
        <w:ind w:left="2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5C4D9A">
      <w:start w:val="1"/>
      <w:numFmt w:val="lowerRoman"/>
      <w:lvlText w:val="%3"/>
      <w:lvlJc w:val="left"/>
      <w:pPr>
        <w:ind w:left="3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0D2CCDA">
      <w:start w:val="1"/>
      <w:numFmt w:val="decimal"/>
      <w:lvlText w:val="%4"/>
      <w:lvlJc w:val="left"/>
      <w:pPr>
        <w:ind w:left="3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F6C500">
      <w:start w:val="1"/>
      <w:numFmt w:val="lowerLetter"/>
      <w:lvlText w:val="%5"/>
      <w:lvlJc w:val="left"/>
      <w:pPr>
        <w:ind w:left="4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782382">
      <w:start w:val="1"/>
      <w:numFmt w:val="lowerRoman"/>
      <w:lvlText w:val="%6"/>
      <w:lvlJc w:val="left"/>
      <w:pPr>
        <w:ind w:left="5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C485F2">
      <w:start w:val="1"/>
      <w:numFmt w:val="decimal"/>
      <w:lvlText w:val="%7"/>
      <w:lvlJc w:val="left"/>
      <w:pPr>
        <w:ind w:left="6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E8A1252">
      <w:start w:val="1"/>
      <w:numFmt w:val="lowerLetter"/>
      <w:lvlText w:val="%8"/>
      <w:lvlJc w:val="left"/>
      <w:pPr>
        <w:ind w:left="6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05AEBC6">
      <w:start w:val="1"/>
      <w:numFmt w:val="lowerRoman"/>
      <w:lvlText w:val="%9"/>
      <w:lvlJc w:val="left"/>
      <w:pPr>
        <w:ind w:left="7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34D63238"/>
    <w:multiLevelType w:val="hybridMultilevel"/>
    <w:tmpl w:val="39829BA8"/>
    <w:lvl w:ilvl="0" w:tplc="F376BBBE">
      <w:start w:val="1"/>
      <w:numFmt w:val="lowerLetter"/>
      <w:lvlText w:val="%1)"/>
      <w:lvlJc w:val="left"/>
      <w:pPr>
        <w:ind w:left="1820"/>
      </w:pPr>
      <w:rPr>
        <w:rFonts w:ascii="Garamond" w:eastAsia="Times New Roman" w:hAnsi="Garamond" w:cs="Times New Roman" w:hint="default"/>
        <w:b w:val="0"/>
        <w:i w:val="0"/>
        <w:strike w:val="0"/>
        <w:dstrike w:val="0"/>
        <w:color w:val="000000"/>
        <w:sz w:val="24"/>
        <w:szCs w:val="24"/>
        <w:u w:val="none" w:color="000000"/>
        <w:bdr w:val="none" w:sz="0" w:space="0" w:color="auto"/>
        <w:shd w:val="clear" w:color="auto" w:fill="auto"/>
        <w:vertAlign w:val="baseline"/>
      </w:rPr>
    </w:lvl>
    <w:lvl w:ilvl="1" w:tplc="179E5C3C">
      <w:start w:val="1"/>
      <w:numFmt w:val="lowerLetter"/>
      <w:lvlText w:val="%2"/>
      <w:lvlJc w:val="left"/>
      <w:pPr>
        <w:ind w:left="24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B2E39C8">
      <w:start w:val="1"/>
      <w:numFmt w:val="lowerRoman"/>
      <w:lvlText w:val="%3"/>
      <w:lvlJc w:val="left"/>
      <w:pPr>
        <w:ind w:left="32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2463A08">
      <w:start w:val="1"/>
      <w:numFmt w:val="decimal"/>
      <w:lvlText w:val="%4"/>
      <w:lvlJc w:val="left"/>
      <w:pPr>
        <w:ind w:left="39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3BACC40">
      <w:start w:val="1"/>
      <w:numFmt w:val="lowerLetter"/>
      <w:lvlText w:val="%5"/>
      <w:lvlJc w:val="left"/>
      <w:pPr>
        <w:ind w:left="46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7D0087C">
      <w:start w:val="1"/>
      <w:numFmt w:val="lowerRoman"/>
      <w:lvlText w:val="%6"/>
      <w:lvlJc w:val="left"/>
      <w:pPr>
        <w:ind w:left="53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2F2456E">
      <w:start w:val="1"/>
      <w:numFmt w:val="decimal"/>
      <w:lvlText w:val="%7"/>
      <w:lvlJc w:val="left"/>
      <w:pPr>
        <w:ind w:left="60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EA61F56">
      <w:start w:val="1"/>
      <w:numFmt w:val="lowerLetter"/>
      <w:lvlText w:val="%8"/>
      <w:lvlJc w:val="left"/>
      <w:pPr>
        <w:ind w:left="68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16AB42A">
      <w:start w:val="1"/>
      <w:numFmt w:val="lowerRoman"/>
      <w:lvlText w:val="%9"/>
      <w:lvlJc w:val="left"/>
      <w:pPr>
        <w:ind w:left="75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3" w15:restartNumberingAfterBreak="0">
    <w:nsid w:val="35A825C1"/>
    <w:multiLevelType w:val="hybridMultilevel"/>
    <w:tmpl w:val="C2D625A4"/>
    <w:lvl w:ilvl="0" w:tplc="04150017">
      <w:start w:val="1"/>
      <w:numFmt w:val="lowerLetter"/>
      <w:lvlText w:val="%1)"/>
      <w:lvlJc w:val="left"/>
      <w:pPr>
        <w:ind w:left="1819" w:hanging="360"/>
      </w:pPr>
      <w:rPr>
        <w:rFonts w:hint="default"/>
        <w:b w:val="0"/>
        <w:i w:val="0"/>
        <w:strike w:val="0"/>
        <w:dstrike w:val="0"/>
        <w:color w:val="000000"/>
        <w:sz w:val="20"/>
        <w:szCs w:val="20"/>
        <w:u w:val="none" w:color="000000"/>
        <w:bdr w:val="none" w:sz="0" w:space="0" w:color="auto"/>
        <w:shd w:val="clear" w:color="auto" w:fill="auto"/>
        <w:vertAlign w:val="baseline"/>
      </w:rPr>
    </w:lvl>
    <w:lvl w:ilvl="1" w:tplc="04150019" w:tentative="1">
      <w:start w:val="1"/>
      <w:numFmt w:val="lowerLetter"/>
      <w:lvlText w:val="%2."/>
      <w:lvlJc w:val="left"/>
      <w:pPr>
        <w:ind w:left="2539" w:hanging="360"/>
      </w:pPr>
    </w:lvl>
    <w:lvl w:ilvl="2" w:tplc="0415001B" w:tentative="1">
      <w:start w:val="1"/>
      <w:numFmt w:val="lowerRoman"/>
      <w:lvlText w:val="%3."/>
      <w:lvlJc w:val="right"/>
      <w:pPr>
        <w:ind w:left="3259" w:hanging="180"/>
      </w:pPr>
    </w:lvl>
    <w:lvl w:ilvl="3" w:tplc="0415000F">
      <w:start w:val="1"/>
      <w:numFmt w:val="decimal"/>
      <w:lvlText w:val="%4."/>
      <w:lvlJc w:val="left"/>
      <w:pPr>
        <w:ind w:left="3979" w:hanging="360"/>
      </w:pPr>
    </w:lvl>
    <w:lvl w:ilvl="4" w:tplc="04150019" w:tentative="1">
      <w:start w:val="1"/>
      <w:numFmt w:val="lowerLetter"/>
      <w:lvlText w:val="%5."/>
      <w:lvlJc w:val="left"/>
      <w:pPr>
        <w:ind w:left="4699" w:hanging="360"/>
      </w:pPr>
    </w:lvl>
    <w:lvl w:ilvl="5" w:tplc="0415001B" w:tentative="1">
      <w:start w:val="1"/>
      <w:numFmt w:val="lowerRoman"/>
      <w:lvlText w:val="%6."/>
      <w:lvlJc w:val="right"/>
      <w:pPr>
        <w:ind w:left="5419" w:hanging="180"/>
      </w:pPr>
    </w:lvl>
    <w:lvl w:ilvl="6" w:tplc="0415000F" w:tentative="1">
      <w:start w:val="1"/>
      <w:numFmt w:val="decimal"/>
      <w:lvlText w:val="%7."/>
      <w:lvlJc w:val="left"/>
      <w:pPr>
        <w:ind w:left="6139" w:hanging="360"/>
      </w:pPr>
    </w:lvl>
    <w:lvl w:ilvl="7" w:tplc="04150019" w:tentative="1">
      <w:start w:val="1"/>
      <w:numFmt w:val="lowerLetter"/>
      <w:lvlText w:val="%8."/>
      <w:lvlJc w:val="left"/>
      <w:pPr>
        <w:ind w:left="6859" w:hanging="360"/>
      </w:pPr>
    </w:lvl>
    <w:lvl w:ilvl="8" w:tplc="0415001B" w:tentative="1">
      <w:start w:val="1"/>
      <w:numFmt w:val="lowerRoman"/>
      <w:lvlText w:val="%9."/>
      <w:lvlJc w:val="right"/>
      <w:pPr>
        <w:ind w:left="7579" w:hanging="180"/>
      </w:pPr>
    </w:lvl>
  </w:abstractNum>
  <w:abstractNum w:abstractNumId="84" w15:restartNumberingAfterBreak="0">
    <w:nsid w:val="35F66759"/>
    <w:multiLevelType w:val="hybridMultilevel"/>
    <w:tmpl w:val="8000FDEE"/>
    <w:lvl w:ilvl="0" w:tplc="609A79C4">
      <w:start w:val="7"/>
      <w:numFmt w:val="upperRoman"/>
      <w:lvlText w:val="%1."/>
      <w:lvlJc w:val="left"/>
      <w:pPr>
        <w:ind w:left="913"/>
      </w:pPr>
      <w:rPr>
        <w:rFonts w:ascii="Garamond" w:eastAsia="Times New Roman" w:hAnsi="Garamond" w:cs="Times New Roman" w:hint="default"/>
        <w:b/>
        <w:bCs w:val="0"/>
        <w:i w:val="0"/>
        <w:strike w:val="0"/>
        <w:dstrike w:val="0"/>
        <w:color w:val="000000"/>
        <w:sz w:val="24"/>
        <w:szCs w:val="24"/>
        <w:u w:val="none" w:color="000000"/>
        <w:bdr w:val="none" w:sz="0" w:space="0" w:color="auto"/>
        <w:shd w:val="clear" w:color="auto" w:fill="auto"/>
        <w:vertAlign w:val="baseline"/>
      </w:rPr>
    </w:lvl>
    <w:lvl w:ilvl="1" w:tplc="D15C6A42">
      <w:start w:val="1"/>
      <w:numFmt w:val="lowerLetter"/>
      <w:lvlText w:val="%2)"/>
      <w:lvlJc w:val="left"/>
      <w:pPr>
        <w:ind w:left="1705"/>
      </w:pPr>
      <w:rPr>
        <w:rFonts w:ascii="Garamond" w:eastAsia="Times New Roman" w:hAnsi="Garamond" w:cs="Times New Roman" w:hint="default"/>
        <w:b w:val="0"/>
        <w:i w:val="0"/>
        <w:strike w:val="0"/>
        <w:dstrike w:val="0"/>
        <w:color w:val="000000"/>
        <w:sz w:val="24"/>
        <w:szCs w:val="24"/>
        <w:u w:val="none" w:color="000000"/>
        <w:bdr w:val="none" w:sz="0" w:space="0" w:color="auto"/>
        <w:shd w:val="clear" w:color="auto" w:fill="auto"/>
        <w:vertAlign w:val="baseline"/>
      </w:rPr>
    </w:lvl>
    <w:lvl w:ilvl="2" w:tplc="64B03FB4">
      <w:start w:val="1"/>
      <w:numFmt w:val="lowerRoman"/>
      <w:lvlText w:val="%3"/>
      <w:lvlJc w:val="left"/>
      <w:pPr>
        <w:ind w:left="24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1563D0E">
      <w:start w:val="1"/>
      <w:numFmt w:val="decimal"/>
      <w:lvlText w:val="%4"/>
      <w:lvlJc w:val="left"/>
      <w:pPr>
        <w:ind w:left="31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6264AB8">
      <w:start w:val="1"/>
      <w:numFmt w:val="lowerLetter"/>
      <w:lvlText w:val="%5"/>
      <w:lvlJc w:val="left"/>
      <w:pPr>
        <w:ind w:left="38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3902712">
      <w:start w:val="1"/>
      <w:numFmt w:val="lowerRoman"/>
      <w:lvlText w:val="%6"/>
      <w:lvlJc w:val="left"/>
      <w:pPr>
        <w:ind w:left="457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660131A">
      <w:start w:val="1"/>
      <w:numFmt w:val="decimal"/>
      <w:lvlText w:val="%7"/>
      <w:lvlJc w:val="left"/>
      <w:pPr>
        <w:ind w:left="52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3CA4DB8">
      <w:start w:val="1"/>
      <w:numFmt w:val="lowerLetter"/>
      <w:lvlText w:val="%8"/>
      <w:lvlJc w:val="left"/>
      <w:pPr>
        <w:ind w:left="60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2FEF586">
      <w:start w:val="1"/>
      <w:numFmt w:val="lowerRoman"/>
      <w:lvlText w:val="%9"/>
      <w:lvlJc w:val="left"/>
      <w:pPr>
        <w:ind w:left="67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5" w15:restartNumberingAfterBreak="0">
    <w:nsid w:val="36551029"/>
    <w:multiLevelType w:val="hybridMultilevel"/>
    <w:tmpl w:val="51800668"/>
    <w:lvl w:ilvl="0" w:tplc="0B82C0BE">
      <w:start w:val="1"/>
      <w:numFmt w:val="lowerLetter"/>
      <w:lvlText w:val="%1)"/>
      <w:lvlJc w:val="left"/>
      <w:pPr>
        <w:ind w:left="1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9CA8F0">
      <w:start w:val="1"/>
      <w:numFmt w:val="lowerLetter"/>
      <w:lvlText w:val="%2"/>
      <w:lvlJc w:val="left"/>
      <w:pPr>
        <w:ind w:left="2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520EDE">
      <w:start w:val="1"/>
      <w:numFmt w:val="lowerRoman"/>
      <w:lvlText w:val="%3"/>
      <w:lvlJc w:val="left"/>
      <w:pPr>
        <w:ind w:left="3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F8FA80">
      <w:start w:val="1"/>
      <w:numFmt w:val="decimal"/>
      <w:lvlText w:val="%4"/>
      <w:lvlJc w:val="left"/>
      <w:pPr>
        <w:ind w:left="3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DADC00">
      <w:start w:val="1"/>
      <w:numFmt w:val="lowerLetter"/>
      <w:lvlText w:val="%5"/>
      <w:lvlJc w:val="left"/>
      <w:pPr>
        <w:ind w:left="4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08FB84">
      <w:start w:val="1"/>
      <w:numFmt w:val="lowerRoman"/>
      <w:lvlText w:val="%6"/>
      <w:lvlJc w:val="left"/>
      <w:pPr>
        <w:ind w:left="5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029C12">
      <w:start w:val="1"/>
      <w:numFmt w:val="decimal"/>
      <w:lvlText w:val="%7"/>
      <w:lvlJc w:val="left"/>
      <w:pPr>
        <w:ind w:left="6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0615E4">
      <w:start w:val="1"/>
      <w:numFmt w:val="lowerLetter"/>
      <w:lvlText w:val="%8"/>
      <w:lvlJc w:val="left"/>
      <w:pPr>
        <w:ind w:left="6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EC53E6">
      <w:start w:val="1"/>
      <w:numFmt w:val="lowerRoman"/>
      <w:lvlText w:val="%9"/>
      <w:lvlJc w:val="left"/>
      <w:pPr>
        <w:ind w:left="7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37F569A7"/>
    <w:multiLevelType w:val="hybridMultilevel"/>
    <w:tmpl w:val="E042F5D0"/>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87" w15:restartNumberingAfterBreak="0">
    <w:nsid w:val="38893155"/>
    <w:multiLevelType w:val="hybridMultilevel"/>
    <w:tmpl w:val="7CCE56CC"/>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88" w15:restartNumberingAfterBreak="0">
    <w:nsid w:val="38F307AC"/>
    <w:multiLevelType w:val="multilevel"/>
    <w:tmpl w:val="1416E0FE"/>
    <w:styleLink w:val="Biecalista2"/>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lowerLetter"/>
      <w:lvlText w:val="%2"/>
      <w:lvlJc w:val="left"/>
      <w:pPr>
        <w:ind w:left="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3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Restart w:val="0"/>
      <w:lvlText w:val="%5)"/>
      <w:lvlJc w:val="left"/>
      <w:pPr>
        <w:ind w:left="165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start w:val="1"/>
      <w:numFmt w:val="lowerRoman"/>
      <w:lvlText w:val="%6"/>
      <w:lvlJc w:val="left"/>
      <w:pPr>
        <w:ind w:left="2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395A7D80"/>
    <w:multiLevelType w:val="hybridMultilevel"/>
    <w:tmpl w:val="C37C1EF6"/>
    <w:lvl w:ilvl="0" w:tplc="FFFFFFFF">
      <w:start w:val="1"/>
      <w:numFmt w:val="lowerLetter"/>
      <w:lvlText w:val="%1)"/>
      <w:lvlJc w:val="left"/>
      <w:pPr>
        <w:ind w:left="720" w:hanging="360"/>
      </w:pPr>
      <w:rPr>
        <w:rFonts w:ascii="Garamond" w:eastAsia="Calibri" w:hAnsi="Garamond" w:cs="Calibri" w:hint="default"/>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399713D8"/>
    <w:multiLevelType w:val="hybridMultilevel"/>
    <w:tmpl w:val="0F36EB14"/>
    <w:lvl w:ilvl="0" w:tplc="80B4F72C">
      <w:start w:val="1"/>
      <w:numFmt w:val="lowerLetter"/>
      <w:lvlText w:val="%1)"/>
      <w:lvlJc w:val="left"/>
      <w:pPr>
        <w:ind w:left="720" w:hanging="360"/>
      </w:pPr>
      <w:rPr>
        <w:rFonts w:ascii="Garamond" w:eastAsia="Times New Roman" w:hAnsi="Garamond" w:cs="Times New Roman" w:hint="default"/>
        <w:b w:val="0"/>
        <w:i w:val="0"/>
        <w:strike w:val="0"/>
        <w:dstrike w:val="0"/>
        <w:color w:val="000000"/>
        <w:sz w:val="24"/>
        <w:szCs w:val="24"/>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3A021588"/>
    <w:multiLevelType w:val="hybridMultilevel"/>
    <w:tmpl w:val="6030A3CA"/>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92" w15:restartNumberingAfterBreak="0">
    <w:nsid w:val="3A951B8A"/>
    <w:multiLevelType w:val="hybridMultilevel"/>
    <w:tmpl w:val="42D07CC4"/>
    <w:lvl w:ilvl="0" w:tplc="04150017">
      <w:start w:val="1"/>
      <w:numFmt w:val="lowerLetter"/>
      <w:lvlText w:val="%1)"/>
      <w:lvlJc w:val="left"/>
      <w:pPr>
        <w:ind w:left="1838" w:hanging="360"/>
      </w:pPr>
    </w:lvl>
    <w:lvl w:ilvl="1" w:tplc="04150019" w:tentative="1">
      <w:start w:val="1"/>
      <w:numFmt w:val="lowerLetter"/>
      <w:lvlText w:val="%2."/>
      <w:lvlJc w:val="left"/>
      <w:pPr>
        <w:ind w:left="2558" w:hanging="360"/>
      </w:pPr>
    </w:lvl>
    <w:lvl w:ilvl="2" w:tplc="0415001B" w:tentative="1">
      <w:start w:val="1"/>
      <w:numFmt w:val="lowerRoman"/>
      <w:lvlText w:val="%3."/>
      <w:lvlJc w:val="right"/>
      <w:pPr>
        <w:ind w:left="3278" w:hanging="180"/>
      </w:pPr>
    </w:lvl>
    <w:lvl w:ilvl="3" w:tplc="0415000F" w:tentative="1">
      <w:start w:val="1"/>
      <w:numFmt w:val="decimal"/>
      <w:lvlText w:val="%4."/>
      <w:lvlJc w:val="left"/>
      <w:pPr>
        <w:ind w:left="3998" w:hanging="360"/>
      </w:pPr>
    </w:lvl>
    <w:lvl w:ilvl="4" w:tplc="04150019" w:tentative="1">
      <w:start w:val="1"/>
      <w:numFmt w:val="lowerLetter"/>
      <w:lvlText w:val="%5."/>
      <w:lvlJc w:val="left"/>
      <w:pPr>
        <w:ind w:left="4718" w:hanging="360"/>
      </w:pPr>
    </w:lvl>
    <w:lvl w:ilvl="5" w:tplc="0415001B" w:tentative="1">
      <w:start w:val="1"/>
      <w:numFmt w:val="lowerRoman"/>
      <w:lvlText w:val="%6."/>
      <w:lvlJc w:val="right"/>
      <w:pPr>
        <w:ind w:left="5438" w:hanging="180"/>
      </w:pPr>
    </w:lvl>
    <w:lvl w:ilvl="6" w:tplc="0415000F" w:tentative="1">
      <w:start w:val="1"/>
      <w:numFmt w:val="decimal"/>
      <w:lvlText w:val="%7."/>
      <w:lvlJc w:val="left"/>
      <w:pPr>
        <w:ind w:left="6158" w:hanging="360"/>
      </w:pPr>
    </w:lvl>
    <w:lvl w:ilvl="7" w:tplc="04150019" w:tentative="1">
      <w:start w:val="1"/>
      <w:numFmt w:val="lowerLetter"/>
      <w:lvlText w:val="%8."/>
      <w:lvlJc w:val="left"/>
      <w:pPr>
        <w:ind w:left="6878" w:hanging="360"/>
      </w:pPr>
    </w:lvl>
    <w:lvl w:ilvl="8" w:tplc="0415001B" w:tentative="1">
      <w:start w:val="1"/>
      <w:numFmt w:val="lowerRoman"/>
      <w:lvlText w:val="%9."/>
      <w:lvlJc w:val="right"/>
      <w:pPr>
        <w:ind w:left="7598" w:hanging="180"/>
      </w:pPr>
    </w:lvl>
  </w:abstractNum>
  <w:abstractNum w:abstractNumId="93" w15:restartNumberingAfterBreak="0">
    <w:nsid w:val="3A9F1A64"/>
    <w:multiLevelType w:val="hybridMultilevel"/>
    <w:tmpl w:val="5DF89108"/>
    <w:lvl w:ilvl="0" w:tplc="86D4E930">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3B347F99"/>
    <w:multiLevelType w:val="hybridMultilevel"/>
    <w:tmpl w:val="9064B808"/>
    <w:lvl w:ilvl="0" w:tplc="C2B4010E">
      <w:start w:val="4"/>
      <w:numFmt w:val="decimal"/>
      <w:lvlText w:val="%1)"/>
      <w:lvlJc w:val="left"/>
      <w:pPr>
        <w:ind w:left="1640"/>
      </w:pPr>
      <w:rPr>
        <w:rFonts w:asciiTheme="majorHAnsi" w:eastAsia="Times New Roman" w:hAnsiTheme="majorHAnsi" w:cs="Times New Roman" w:hint="default"/>
        <w:b w:val="0"/>
        <w:i w:val="0"/>
        <w:strike w:val="0"/>
        <w:dstrike w:val="0"/>
        <w:color w:val="000000"/>
        <w:sz w:val="24"/>
        <w:szCs w:val="24"/>
        <w:u w:val="none" w:color="000000"/>
        <w:bdr w:val="none" w:sz="0" w:space="0" w:color="auto"/>
        <w:shd w:val="clear" w:color="auto" w:fill="auto"/>
        <w:vertAlign w:val="baseline"/>
      </w:rPr>
    </w:lvl>
    <w:lvl w:ilvl="1" w:tplc="69BCABB6">
      <w:start w:val="1"/>
      <w:numFmt w:val="lowerLetter"/>
      <w:lvlText w:val="%2"/>
      <w:lvlJc w:val="left"/>
      <w:pPr>
        <w:ind w:left="229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F72B190">
      <w:start w:val="1"/>
      <w:numFmt w:val="lowerRoman"/>
      <w:lvlText w:val="%3"/>
      <w:lvlJc w:val="left"/>
      <w:pPr>
        <w:ind w:left="30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BC046C6">
      <w:start w:val="1"/>
      <w:numFmt w:val="decimal"/>
      <w:lvlText w:val="%4"/>
      <w:lvlJc w:val="left"/>
      <w:pPr>
        <w:ind w:left="37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B6C567E">
      <w:start w:val="1"/>
      <w:numFmt w:val="lowerLetter"/>
      <w:lvlText w:val="%5"/>
      <w:lvlJc w:val="left"/>
      <w:pPr>
        <w:ind w:left="445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1AC7EDC">
      <w:start w:val="1"/>
      <w:numFmt w:val="lowerRoman"/>
      <w:lvlText w:val="%6"/>
      <w:lvlJc w:val="left"/>
      <w:pPr>
        <w:ind w:left="517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E64055C">
      <w:start w:val="1"/>
      <w:numFmt w:val="decimal"/>
      <w:lvlText w:val="%7"/>
      <w:lvlJc w:val="left"/>
      <w:pPr>
        <w:ind w:left="589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4403E7E">
      <w:start w:val="1"/>
      <w:numFmt w:val="lowerLetter"/>
      <w:lvlText w:val="%8"/>
      <w:lvlJc w:val="left"/>
      <w:pPr>
        <w:ind w:left="66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FEEA444">
      <w:start w:val="1"/>
      <w:numFmt w:val="lowerRoman"/>
      <w:lvlText w:val="%9"/>
      <w:lvlJc w:val="left"/>
      <w:pPr>
        <w:ind w:left="73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5" w15:restartNumberingAfterBreak="0">
    <w:nsid w:val="3B7F27DE"/>
    <w:multiLevelType w:val="hybridMultilevel"/>
    <w:tmpl w:val="5FF22634"/>
    <w:lvl w:ilvl="0" w:tplc="86D4E930">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3BD21506"/>
    <w:multiLevelType w:val="hybridMultilevel"/>
    <w:tmpl w:val="991EA110"/>
    <w:lvl w:ilvl="0" w:tplc="B7B63540">
      <w:start w:val="1"/>
      <w:numFmt w:val="lowerLetter"/>
      <w:lvlText w:val="%1)"/>
      <w:lvlJc w:val="left"/>
      <w:pPr>
        <w:ind w:left="1068" w:hanging="360"/>
      </w:pPr>
      <w:rPr>
        <w:rFonts w:ascii="Garamond" w:eastAsia="Calibri" w:hAnsi="Garamond" w:cs="Calibri" w:hint="default"/>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97" w15:restartNumberingAfterBreak="0">
    <w:nsid w:val="3BD87F10"/>
    <w:multiLevelType w:val="hybridMultilevel"/>
    <w:tmpl w:val="D15C3350"/>
    <w:lvl w:ilvl="0" w:tplc="B7B63540">
      <w:start w:val="1"/>
      <w:numFmt w:val="lowerLetter"/>
      <w:lvlText w:val="%1)"/>
      <w:lvlJc w:val="left"/>
      <w:pPr>
        <w:ind w:left="720" w:hanging="360"/>
      </w:pPr>
      <w:rPr>
        <w:rFonts w:ascii="Garamond" w:eastAsia="Calibri" w:hAnsi="Garamond" w:cs="Calibri" w:hint="default"/>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3C096022"/>
    <w:multiLevelType w:val="hybridMultilevel"/>
    <w:tmpl w:val="9FC26C52"/>
    <w:lvl w:ilvl="0" w:tplc="B7B63540">
      <w:start w:val="1"/>
      <w:numFmt w:val="lowerLetter"/>
      <w:lvlText w:val="%1)"/>
      <w:lvlJc w:val="left"/>
      <w:pPr>
        <w:ind w:left="720" w:hanging="360"/>
      </w:pPr>
      <w:rPr>
        <w:rFonts w:ascii="Garamond" w:eastAsia="Calibri" w:hAnsi="Garamond" w:cs="Calibri" w:hint="default"/>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3C5B3152"/>
    <w:multiLevelType w:val="hybridMultilevel"/>
    <w:tmpl w:val="AC8E37A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3C926FF7"/>
    <w:multiLevelType w:val="multilevel"/>
    <w:tmpl w:val="8E249162"/>
    <w:lvl w:ilvl="0">
      <w:start w:val="11"/>
      <w:numFmt w:val="decimal"/>
      <w:lvlText w:val="%1."/>
      <w:lvlJc w:val="left"/>
      <w:pPr>
        <w:ind w:left="2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12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start w:val="19"/>
      <w:numFmt w:val="decimal"/>
      <w:lvlText w:val="%1.%2.%3."/>
      <w:lvlJc w:val="left"/>
      <w:pPr>
        <w:ind w:left="19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620"/>
      </w:pPr>
      <w:rPr>
        <w:rFonts w:ascii="Garamond" w:eastAsia="Times New Roman" w:hAnsi="Garamond" w:cs="Times New Roman" w:hint="default"/>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35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0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79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51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23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01" w15:restartNumberingAfterBreak="0">
    <w:nsid w:val="3D4B28A2"/>
    <w:multiLevelType w:val="hybridMultilevel"/>
    <w:tmpl w:val="37F64516"/>
    <w:lvl w:ilvl="0" w:tplc="FC98FBEC">
      <w:start w:val="1"/>
      <w:numFmt w:val="lowerLetter"/>
      <w:lvlText w:val="%1)"/>
      <w:lvlJc w:val="left"/>
      <w:pPr>
        <w:ind w:left="720" w:hanging="360"/>
      </w:pPr>
      <w:rPr>
        <w:rFonts w:asciiTheme="majorHAnsi" w:eastAsia="Times New Roman" w:hAnsiTheme="majorHAnsi" w:cs="Times New Roman" w:hint="default"/>
        <w:b w:val="0"/>
        <w:i w:val="0"/>
        <w:strike w:val="0"/>
        <w:dstrike w:val="0"/>
        <w:color w:val="000000"/>
        <w:sz w:val="24"/>
        <w:szCs w:val="24"/>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3DFF1A87"/>
    <w:multiLevelType w:val="hybridMultilevel"/>
    <w:tmpl w:val="ABF0C154"/>
    <w:lvl w:ilvl="0" w:tplc="FC98FBEC">
      <w:start w:val="1"/>
      <w:numFmt w:val="lowerLetter"/>
      <w:lvlText w:val="%1)"/>
      <w:lvlJc w:val="left"/>
      <w:pPr>
        <w:ind w:left="720" w:hanging="360"/>
      </w:pPr>
      <w:rPr>
        <w:rFonts w:asciiTheme="majorHAnsi" w:eastAsia="Times New Roman" w:hAnsiTheme="majorHAnsi" w:cs="Times New Roman" w:hint="default"/>
        <w:b w:val="0"/>
        <w:i w:val="0"/>
        <w:strike w:val="0"/>
        <w:dstrike w:val="0"/>
        <w:color w:val="000000"/>
        <w:sz w:val="24"/>
        <w:szCs w:val="24"/>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42696DED"/>
    <w:multiLevelType w:val="hybridMultilevel"/>
    <w:tmpl w:val="CB203D50"/>
    <w:lvl w:ilvl="0" w:tplc="80B4F72C">
      <w:start w:val="1"/>
      <w:numFmt w:val="lowerLetter"/>
      <w:lvlText w:val="%1)"/>
      <w:lvlJc w:val="left"/>
      <w:pPr>
        <w:ind w:left="720" w:hanging="360"/>
      </w:pPr>
      <w:rPr>
        <w:rFonts w:ascii="Garamond" w:eastAsia="Times New Roman" w:hAnsi="Garamond" w:cs="Times New Roman" w:hint="default"/>
        <w:b w:val="0"/>
        <w:i w:val="0"/>
        <w:strike w:val="0"/>
        <w:dstrike w:val="0"/>
        <w:color w:val="000000"/>
        <w:sz w:val="24"/>
        <w:szCs w:val="24"/>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429B0353"/>
    <w:multiLevelType w:val="hybridMultilevel"/>
    <w:tmpl w:val="655A905E"/>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05" w15:restartNumberingAfterBreak="0">
    <w:nsid w:val="43347454"/>
    <w:multiLevelType w:val="hybridMultilevel"/>
    <w:tmpl w:val="1610AAC0"/>
    <w:lvl w:ilvl="0" w:tplc="ABE634F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9A73D2">
      <w:start w:val="1"/>
      <w:numFmt w:val="lowerLetter"/>
      <w:lvlText w:val="%2"/>
      <w:lvlJc w:val="left"/>
      <w:pPr>
        <w:ind w:left="7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2E1590">
      <w:start w:val="1"/>
      <w:numFmt w:val="lowerRoman"/>
      <w:lvlText w:val="%3"/>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98FBEC">
      <w:start w:val="1"/>
      <w:numFmt w:val="lowerLetter"/>
      <w:lvlText w:val="%4)"/>
      <w:lvlJc w:val="left"/>
      <w:pPr>
        <w:ind w:left="1464"/>
      </w:pPr>
      <w:rPr>
        <w:rFonts w:asciiTheme="majorHAnsi" w:eastAsia="Times New Roman" w:hAnsiTheme="majorHAnsi" w:cs="Times New Roman" w:hint="default"/>
        <w:b w:val="0"/>
        <w:i w:val="0"/>
        <w:strike w:val="0"/>
        <w:dstrike w:val="0"/>
        <w:color w:val="000000"/>
        <w:sz w:val="24"/>
        <w:szCs w:val="24"/>
        <w:u w:val="none" w:color="000000"/>
        <w:bdr w:val="none" w:sz="0" w:space="0" w:color="auto"/>
        <w:shd w:val="clear" w:color="auto" w:fill="auto"/>
        <w:vertAlign w:val="baseline"/>
      </w:rPr>
    </w:lvl>
    <w:lvl w:ilvl="4" w:tplc="EDE033F4">
      <w:start w:val="1"/>
      <w:numFmt w:val="lowerLetter"/>
      <w:lvlText w:val="%5"/>
      <w:lvlJc w:val="left"/>
      <w:pPr>
        <w:ind w:left="2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128814">
      <w:start w:val="1"/>
      <w:numFmt w:val="lowerRoman"/>
      <w:lvlText w:val="%6"/>
      <w:lvlJc w:val="left"/>
      <w:pPr>
        <w:ind w:left="28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7CD6D6">
      <w:start w:val="1"/>
      <w:numFmt w:val="decimal"/>
      <w:lvlText w:val="%7"/>
      <w:lvlJc w:val="left"/>
      <w:pPr>
        <w:ind w:left="36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387DC2">
      <w:start w:val="1"/>
      <w:numFmt w:val="lowerLetter"/>
      <w:lvlText w:val="%8"/>
      <w:lvlJc w:val="left"/>
      <w:pPr>
        <w:ind w:left="43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7C9C0A">
      <w:start w:val="1"/>
      <w:numFmt w:val="lowerRoman"/>
      <w:lvlText w:val="%9"/>
      <w:lvlJc w:val="left"/>
      <w:pPr>
        <w:ind w:left="50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6" w15:restartNumberingAfterBreak="0">
    <w:nsid w:val="439E3426"/>
    <w:multiLevelType w:val="multilevel"/>
    <w:tmpl w:val="B8DEBDD0"/>
    <w:styleLink w:val="Biecalista5"/>
    <w:lvl w:ilvl="0">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1"/>
      <w:numFmt w:val="lowerLetter"/>
      <w:lvlText w:val="%2"/>
      <w:lvlJc w:val="left"/>
      <w:pPr>
        <w:ind w:left="69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03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lowerLetter"/>
      <w:lvlRestart w:val="0"/>
      <w:lvlText w:val="%4)"/>
      <w:lvlJc w:val="left"/>
      <w:pPr>
        <w:ind w:left="1392"/>
      </w:pPr>
      <w:rPr>
        <w:rFonts w:ascii="Garamond" w:eastAsia="Times New Roman" w:hAnsi="Garamond" w:cs="Times New Roman" w:hint="default"/>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0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28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5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2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49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07" w15:restartNumberingAfterBreak="0">
    <w:nsid w:val="43EC6972"/>
    <w:multiLevelType w:val="multilevel"/>
    <w:tmpl w:val="F320A390"/>
    <w:styleLink w:val="Biecalista1"/>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lowerLetter"/>
      <w:lvlText w:val="%2"/>
      <w:lvlJc w:val="left"/>
      <w:pPr>
        <w:ind w:left="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3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Restart w:val="0"/>
      <w:lvlText w:val="%5)"/>
      <w:lvlJc w:val="left"/>
      <w:pPr>
        <w:ind w:left="166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start w:val="1"/>
      <w:numFmt w:val="lowerRoman"/>
      <w:lvlText w:val="%6"/>
      <w:lvlJc w:val="left"/>
      <w:pPr>
        <w:ind w:left="2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8" w15:restartNumberingAfterBreak="0">
    <w:nsid w:val="451B6120"/>
    <w:multiLevelType w:val="multilevel"/>
    <w:tmpl w:val="A7D41B56"/>
    <w:lvl w:ilvl="0">
      <w:start w:val="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6"/>
      <w:numFmt w:val="decimal"/>
      <w:lvlRestart w:val="0"/>
      <w:lvlText w:val="%1.%2."/>
      <w:lvlJc w:val="left"/>
      <w:pPr>
        <w:ind w:left="1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9" w15:restartNumberingAfterBreak="0">
    <w:nsid w:val="45371C7B"/>
    <w:multiLevelType w:val="hybridMultilevel"/>
    <w:tmpl w:val="C2EAFDCC"/>
    <w:lvl w:ilvl="0" w:tplc="32400EA2">
      <w:start w:val="1"/>
      <w:numFmt w:val="bullet"/>
      <w:lvlText w:val=""/>
      <w:lvlPicBulletId w:val="0"/>
      <w:lvlJc w:val="left"/>
      <w:pPr>
        <w:tabs>
          <w:tab w:val="num" w:pos="720"/>
        </w:tabs>
        <w:ind w:left="720" w:hanging="360"/>
      </w:pPr>
      <w:rPr>
        <w:rFonts w:ascii="Symbol" w:hAnsi="Symbol" w:hint="default"/>
      </w:rPr>
    </w:lvl>
    <w:lvl w:ilvl="1" w:tplc="98B008F0" w:tentative="1">
      <w:start w:val="1"/>
      <w:numFmt w:val="bullet"/>
      <w:lvlText w:val=""/>
      <w:lvlJc w:val="left"/>
      <w:pPr>
        <w:tabs>
          <w:tab w:val="num" w:pos="1440"/>
        </w:tabs>
        <w:ind w:left="1440" w:hanging="360"/>
      </w:pPr>
      <w:rPr>
        <w:rFonts w:ascii="Symbol" w:hAnsi="Symbol" w:hint="default"/>
      </w:rPr>
    </w:lvl>
    <w:lvl w:ilvl="2" w:tplc="514E7892" w:tentative="1">
      <w:start w:val="1"/>
      <w:numFmt w:val="bullet"/>
      <w:lvlText w:val=""/>
      <w:lvlJc w:val="left"/>
      <w:pPr>
        <w:tabs>
          <w:tab w:val="num" w:pos="2160"/>
        </w:tabs>
        <w:ind w:left="2160" w:hanging="360"/>
      </w:pPr>
      <w:rPr>
        <w:rFonts w:ascii="Symbol" w:hAnsi="Symbol" w:hint="default"/>
      </w:rPr>
    </w:lvl>
    <w:lvl w:ilvl="3" w:tplc="ED00DA60" w:tentative="1">
      <w:start w:val="1"/>
      <w:numFmt w:val="bullet"/>
      <w:lvlText w:val=""/>
      <w:lvlJc w:val="left"/>
      <w:pPr>
        <w:tabs>
          <w:tab w:val="num" w:pos="2880"/>
        </w:tabs>
        <w:ind w:left="2880" w:hanging="360"/>
      </w:pPr>
      <w:rPr>
        <w:rFonts w:ascii="Symbol" w:hAnsi="Symbol" w:hint="default"/>
      </w:rPr>
    </w:lvl>
    <w:lvl w:ilvl="4" w:tplc="11DA4404" w:tentative="1">
      <w:start w:val="1"/>
      <w:numFmt w:val="bullet"/>
      <w:lvlText w:val=""/>
      <w:lvlJc w:val="left"/>
      <w:pPr>
        <w:tabs>
          <w:tab w:val="num" w:pos="3600"/>
        </w:tabs>
        <w:ind w:left="3600" w:hanging="360"/>
      </w:pPr>
      <w:rPr>
        <w:rFonts w:ascii="Symbol" w:hAnsi="Symbol" w:hint="default"/>
      </w:rPr>
    </w:lvl>
    <w:lvl w:ilvl="5" w:tplc="B7585472" w:tentative="1">
      <w:start w:val="1"/>
      <w:numFmt w:val="bullet"/>
      <w:lvlText w:val=""/>
      <w:lvlJc w:val="left"/>
      <w:pPr>
        <w:tabs>
          <w:tab w:val="num" w:pos="4320"/>
        </w:tabs>
        <w:ind w:left="4320" w:hanging="360"/>
      </w:pPr>
      <w:rPr>
        <w:rFonts w:ascii="Symbol" w:hAnsi="Symbol" w:hint="default"/>
      </w:rPr>
    </w:lvl>
    <w:lvl w:ilvl="6" w:tplc="1DB8A6B2" w:tentative="1">
      <w:start w:val="1"/>
      <w:numFmt w:val="bullet"/>
      <w:lvlText w:val=""/>
      <w:lvlJc w:val="left"/>
      <w:pPr>
        <w:tabs>
          <w:tab w:val="num" w:pos="5040"/>
        </w:tabs>
        <w:ind w:left="5040" w:hanging="360"/>
      </w:pPr>
      <w:rPr>
        <w:rFonts w:ascii="Symbol" w:hAnsi="Symbol" w:hint="default"/>
      </w:rPr>
    </w:lvl>
    <w:lvl w:ilvl="7" w:tplc="735E614C" w:tentative="1">
      <w:start w:val="1"/>
      <w:numFmt w:val="bullet"/>
      <w:lvlText w:val=""/>
      <w:lvlJc w:val="left"/>
      <w:pPr>
        <w:tabs>
          <w:tab w:val="num" w:pos="5760"/>
        </w:tabs>
        <w:ind w:left="5760" w:hanging="360"/>
      </w:pPr>
      <w:rPr>
        <w:rFonts w:ascii="Symbol" w:hAnsi="Symbol" w:hint="default"/>
      </w:rPr>
    </w:lvl>
    <w:lvl w:ilvl="8" w:tplc="199CDEC2" w:tentative="1">
      <w:start w:val="1"/>
      <w:numFmt w:val="bullet"/>
      <w:lvlText w:val=""/>
      <w:lvlJc w:val="left"/>
      <w:pPr>
        <w:tabs>
          <w:tab w:val="num" w:pos="6480"/>
        </w:tabs>
        <w:ind w:left="6480" w:hanging="360"/>
      </w:pPr>
      <w:rPr>
        <w:rFonts w:ascii="Symbol" w:hAnsi="Symbol" w:hint="default"/>
      </w:rPr>
    </w:lvl>
  </w:abstractNum>
  <w:abstractNum w:abstractNumId="110" w15:restartNumberingAfterBreak="0">
    <w:nsid w:val="45377FEE"/>
    <w:multiLevelType w:val="hybridMultilevel"/>
    <w:tmpl w:val="372CE898"/>
    <w:lvl w:ilvl="0" w:tplc="BF2C9564">
      <w:start w:val="1"/>
      <w:numFmt w:val="lowerLetter"/>
      <w:lvlText w:val="%1)"/>
      <w:lvlJc w:val="left"/>
      <w:pPr>
        <w:ind w:left="1647"/>
      </w:pPr>
      <w:rPr>
        <w:rFonts w:ascii="Garamond" w:eastAsia="Times New Roman" w:hAnsi="Garamond" w:cs="Times New Roman" w:hint="default"/>
        <w:b w:val="0"/>
        <w:i w:val="0"/>
        <w:strike w:val="0"/>
        <w:dstrike w:val="0"/>
        <w:color w:val="000000"/>
        <w:sz w:val="24"/>
        <w:szCs w:val="24"/>
        <w:u w:val="none" w:color="000000"/>
        <w:bdr w:val="none" w:sz="0" w:space="0" w:color="auto"/>
        <w:shd w:val="clear" w:color="auto" w:fill="auto"/>
        <w:vertAlign w:val="baseline"/>
      </w:rPr>
    </w:lvl>
    <w:lvl w:ilvl="1" w:tplc="C99C1CAA">
      <w:start w:val="1"/>
      <w:numFmt w:val="lowerLetter"/>
      <w:lvlText w:val="%2"/>
      <w:lvlJc w:val="left"/>
      <w:pPr>
        <w:ind w:left="23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62C8FD4">
      <w:start w:val="1"/>
      <w:numFmt w:val="lowerRoman"/>
      <w:lvlText w:val="%3"/>
      <w:lvlJc w:val="left"/>
      <w:pPr>
        <w:ind w:left="30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B863186">
      <w:start w:val="1"/>
      <w:numFmt w:val="decimal"/>
      <w:lvlText w:val="%4"/>
      <w:lvlJc w:val="left"/>
      <w:pPr>
        <w:ind w:left="38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558BD1E">
      <w:start w:val="1"/>
      <w:numFmt w:val="lowerLetter"/>
      <w:lvlText w:val="%5"/>
      <w:lvlJc w:val="left"/>
      <w:pPr>
        <w:ind w:left="45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A042A2C">
      <w:start w:val="1"/>
      <w:numFmt w:val="lowerRoman"/>
      <w:lvlText w:val="%6"/>
      <w:lvlJc w:val="left"/>
      <w:pPr>
        <w:ind w:left="52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2FAE380">
      <w:start w:val="1"/>
      <w:numFmt w:val="decimal"/>
      <w:lvlText w:val="%7"/>
      <w:lvlJc w:val="left"/>
      <w:pPr>
        <w:ind w:left="59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470ED3A">
      <w:start w:val="1"/>
      <w:numFmt w:val="lowerLetter"/>
      <w:lvlText w:val="%8"/>
      <w:lvlJc w:val="left"/>
      <w:pPr>
        <w:ind w:left="66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9BA9CC8">
      <w:start w:val="1"/>
      <w:numFmt w:val="lowerRoman"/>
      <w:lvlText w:val="%9"/>
      <w:lvlJc w:val="left"/>
      <w:pPr>
        <w:ind w:left="74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11" w15:restartNumberingAfterBreak="0">
    <w:nsid w:val="45940E8D"/>
    <w:multiLevelType w:val="hybridMultilevel"/>
    <w:tmpl w:val="AF9C7A7E"/>
    <w:lvl w:ilvl="0" w:tplc="B7B63540">
      <w:start w:val="1"/>
      <w:numFmt w:val="lowerLetter"/>
      <w:lvlText w:val="%1)"/>
      <w:lvlJc w:val="left"/>
      <w:pPr>
        <w:ind w:left="1068" w:hanging="360"/>
      </w:pPr>
      <w:rPr>
        <w:rFonts w:ascii="Garamond" w:eastAsia="Calibri" w:hAnsi="Garamond" w:cs="Calibri" w:hint="default"/>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12" w15:restartNumberingAfterBreak="0">
    <w:nsid w:val="46253D3F"/>
    <w:multiLevelType w:val="hybridMultilevel"/>
    <w:tmpl w:val="D69CA028"/>
    <w:lvl w:ilvl="0" w:tplc="8F425CE0">
      <w:start w:val="1"/>
      <w:numFmt w:val="bullet"/>
      <w:lvlText w:val="-"/>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C44D552">
      <w:start w:val="1"/>
      <w:numFmt w:val="bullet"/>
      <w:lvlText w:val="o"/>
      <w:lvlJc w:val="left"/>
      <w:pPr>
        <w:ind w:left="2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501D24">
      <w:start w:val="1"/>
      <w:numFmt w:val="bullet"/>
      <w:lvlText w:val="▪"/>
      <w:lvlJc w:val="left"/>
      <w:pPr>
        <w:ind w:left="2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E43CB0">
      <w:start w:val="1"/>
      <w:numFmt w:val="bullet"/>
      <w:lvlText w:val="•"/>
      <w:lvlJc w:val="left"/>
      <w:pPr>
        <w:ind w:left="3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2D6C51A">
      <w:start w:val="1"/>
      <w:numFmt w:val="bullet"/>
      <w:lvlText w:val="o"/>
      <w:lvlJc w:val="left"/>
      <w:pPr>
        <w:ind w:left="4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0AEB00">
      <w:start w:val="1"/>
      <w:numFmt w:val="bullet"/>
      <w:lvlText w:val="▪"/>
      <w:lvlJc w:val="left"/>
      <w:pPr>
        <w:ind w:left="5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46011A">
      <w:start w:val="1"/>
      <w:numFmt w:val="bullet"/>
      <w:lvlText w:val="•"/>
      <w:lvlJc w:val="left"/>
      <w:pPr>
        <w:ind w:left="5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3E20B8">
      <w:start w:val="1"/>
      <w:numFmt w:val="bullet"/>
      <w:lvlText w:val="o"/>
      <w:lvlJc w:val="left"/>
      <w:pPr>
        <w:ind w:left="6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A67566">
      <w:start w:val="1"/>
      <w:numFmt w:val="bullet"/>
      <w:lvlText w:val="▪"/>
      <w:lvlJc w:val="left"/>
      <w:pPr>
        <w:ind w:left="7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3" w15:restartNumberingAfterBreak="0">
    <w:nsid w:val="47BC3599"/>
    <w:multiLevelType w:val="hybridMultilevel"/>
    <w:tmpl w:val="BB2AD6A8"/>
    <w:lvl w:ilvl="0" w:tplc="FC98FBEC">
      <w:start w:val="1"/>
      <w:numFmt w:val="lowerLetter"/>
      <w:lvlText w:val="%1)"/>
      <w:lvlJc w:val="left"/>
      <w:pPr>
        <w:ind w:left="720" w:hanging="360"/>
      </w:pPr>
      <w:rPr>
        <w:rFonts w:asciiTheme="majorHAnsi" w:eastAsia="Times New Roman" w:hAnsiTheme="majorHAnsi" w:cs="Times New Roman" w:hint="default"/>
        <w:b w:val="0"/>
        <w:i w:val="0"/>
        <w:strike w:val="0"/>
        <w:dstrike w:val="0"/>
        <w:color w:val="000000"/>
        <w:sz w:val="24"/>
        <w:szCs w:val="24"/>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485B095A"/>
    <w:multiLevelType w:val="hybridMultilevel"/>
    <w:tmpl w:val="F34647E0"/>
    <w:lvl w:ilvl="0" w:tplc="86D4E930">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49020896"/>
    <w:multiLevelType w:val="hybridMultilevel"/>
    <w:tmpl w:val="8940C12A"/>
    <w:lvl w:ilvl="0" w:tplc="401E210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284157E">
      <w:start w:val="1"/>
      <w:numFmt w:val="lowerLetter"/>
      <w:lvlText w:val="%2"/>
      <w:lvlJc w:val="left"/>
      <w:pPr>
        <w:ind w:left="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BA1728">
      <w:start w:val="1"/>
      <w:numFmt w:val="lowerRoman"/>
      <w:lvlText w:val="%3"/>
      <w:lvlJc w:val="left"/>
      <w:pPr>
        <w:ind w:left="1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50558C">
      <w:start w:val="5"/>
      <w:numFmt w:val="lowerLetter"/>
      <w:lvlRestart w:val="0"/>
      <w:lvlText w:val="%4)"/>
      <w:lvlJc w:val="left"/>
      <w:pPr>
        <w:ind w:left="133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DA22E888">
      <w:start w:val="1"/>
      <w:numFmt w:val="lowerLetter"/>
      <w:lvlText w:val="%5"/>
      <w:lvlJc w:val="left"/>
      <w:pPr>
        <w:ind w:left="2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C4C4E8">
      <w:start w:val="1"/>
      <w:numFmt w:val="lowerRoman"/>
      <w:lvlText w:val="%6"/>
      <w:lvlJc w:val="left"/>
      <w:pPr>
        <w:ind w:left="28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14BC02">
      <w:start w:val="1"/>
      <w:numFmt w:val="decimal"/>
      <w:lvlText w:val="%7"/>
      <w:lvlJc w:val="left"/>
      <w:pPr>
        <w:ind w:left="35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2E9734">
      <w:start w:val="1"/>
      <w:numFmt w:val="lowerLetter"/>
      <w:lvlText w:val="%8"/>
      <w:lvlJc w:val="left"/>
      <w:pPr>
        <w:ind w:left="42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02CA02">
      <w:start w:val="1"/>
      <w:numFmt w:val="lowerRoman"/>
      <w:lvlText w:val="%9"/>
      <w:lvlJc w:val="left"/>
      <w:pPr>
        <w:ind w:left="50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6" w15:restartNumberingAfterBreak="0">
    <w:nsid w:val="498421F1"/>
    <w:multiLevelType w:val="hybridMultilevel"/>
    <w:tmpl w:val="B366F1A4"/>
    <w:lvl w:ilvl="0" w:tplc="B7B63540">
      <w:start w:val="1"/>
      <w:numFmt w:val="lowerLetter"/>
      <w:lvlText w:val="%1)"/>
      <w:lvlJc w:val="left"/>
      <w:pPr>
        <w:ind w:left="720" w:hanging="360"/>
      </w:pPr>
      <w:rPr>
        <w:rFonts w:ascii="Garamond" w:eastAsia="Calibri" w:hAnsi="Garamond" w:cs="Calibri" w:hint="default"/>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4A014710"/>
    <w:multiLevelType w:val="hybridMultilevel"/>
    <w:tmpl w:val="D23CF9AA"/>
    <w:lvl w:ilvl="0" w:tplc="B7B63540">
      <w:start w:val="1"/>
      <w:numFmt w:val="lowerLetter"/>
      <w:lvlText w:val="%1)"/>
      <w:lvlJc w:val="left"/>
      <w:pPr>
        <w:ind w:left="1068" w:hanging="360"/>
      </w:pPr>
      <w:rPr>
        <w:rFonts w:ascii="Garamond" w:eastAsia="Calibri" w:hAnsi="Garamond" w:cs="Calibri" w:hint="default"/>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18" w15:restartNumberingAfterBreak="0">
    <w:nsid w:val="4A5B3855"/>
    <w:multiLevelType w:val="hybridMultilevel"/>
    <w:tmpl w:val="C9041F60"/>
    <w:lvl w:ilvl="0" w:tplc="1806101C">
      <w:start w:val="1"/>
      <w:numFmt w:val="lowerLetter"/>
      <w:lvlText w:val="%1)"/>
      <w:lvlJc w:val="left"/>
      <w:pPr>
        <w:ind w:left="1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1C6834">
      <w:start w:val="1"/>
      <w:numFmt w:val="lowerLetter"/>
      <w:lvlText w:val="%2"/>
      <w:lvlJc w:val="left"/>
      <w:pPr>
        <w:ind w:left="2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4212A2">
      <w:start w:val="1"/>
      <w:numFmt w:val="lowerRoman"/>
      <w:lvlText w:val="%3"/>
      <w:lvlJc w:val="left"/>
      <w:pPr>
        <w:ind w:left="3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50E126">
      <w:start w:val="1"/>
      <w:numFmt w:val="decimal"/>
      <w:lvlText w:val="%4"/>
      <w:lvlJc w:val="left"/>
      <w:pPr>
        <w:ind w:left="3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943D98">
      <w:start w:val="1"/>
      <w:numFmt w:val="lowerLetter"/>
      <w:lvlText w:val="%5"/>
      <w:lvlJc w:val="left"/>
      <w:pPr>
        <w:ind w:left="4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5ACED8">
      <w:start w:val="1"/>
      <w:numFmt w:val="lowerRoman"/>
      <w:lvlText w:val="%6"/>
      <w:lvlJc w:val="left"/>
      <w:pPr>
        <w:ind w:left="5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2639D8">
      <w:start w:val="1"/>
      <w:numFmt w:val="decimal"/>
      <w:lvlText w:val="%7"/>
      <w:lvlJc w:val="left"/>
      <w:pPr>
        <w:ind w:left="6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54167E">
      <w:start w:val="1"/>
      <w:numFmt w:val="lowerLetter"/>
      <w:lvlText w:val="%8"/>
      <w:lvlJc w:val="left"/>
      <w:pPr>
        <w:ind w:left="6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B65F0C">
      <w:start w:val="1"/>
      <w:numFmt w:val="lowerRoman"/>
      <w:lvlText w:val="%9"/>
      <w:lvlJc w:val="left"/>
      <w:pPr>
        <w:ind w:left="7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9" w15:restartNumberingAfterBreak="0">
    <w:nsid w:val="4AB3717F"/>
    <w:multiLevelType w:val="multilevel"/>
    <w:tmpl w:val="CA467D22"/>
    <w:lvl w:ilvl="0">
      <w:start w:val="8"/>
      <w:numFmt w:val="decimal"/>
      <w:lvlText w:val="%1."/>
      <w:lvlJc w:val="left"/>
      <w:pPr>
        <w:ind w:left="1068" w:hanging="360"/>
      </w:pPr>
      <w:rPr>
        <w:rFonts w:hint="default"/>
      </w:rPr>
    </w:lvl>
    <w:lvl w:ilvl="1">
      <w:start w:val="1"/>
      <w:numFmt w:val="decimal"/>
      <w:isLgl/>
      <w:lvlText w:val="%1.%2."/>
      <w:lvlJc w:val="left"/>
      <w:pPr>
        <w:ind w:left="1768" w:hanging="1060"/>
      </w:pPr>
      <w:rPr>
        <w:rFonts w:hint="default"/>
      </w:rPr>
    </w:lvl>
    <w:lvl w:ilvl="2">
      <w:start w:val="5"/>
      <w:numFmt w:val="decimal"/>
      <w:isLgl/>
      <w:lvlText w:val="%1.%2.%3."/>
      <w:lvlJc w:val="left"/>
      <w:pPr>
        <w:ind w:left="1768" w:hanging="1060"/>
      </w:pPr>
      <w:rPr>
        <w:rFonts w:hint="default"/>
      </w:rPr>
    </w:lvl>
    <w:lvl w:ilvl="3">
      <w:start w:val="1"/>
      <w:numFmt w:val="decimal"/>
      <w:isLgl/>
      <w:lvlText w:val="%1.%2.%3.%4."/>
      <w:lvlJc w:val="left"/>
      <w:pPr>
        <w:ind w:left="1768" w:hanging="106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120" w15:restartNumberingAfterBreak="0">
    <w:nsid w:val="4C8C6C27"/>
    <w:multiLevelType w:val="hybridMultilevel"/>
    <w:tmpl w:val="ADF05B62"/>
    <w:lvl w:ilvl="0" w:tplc="3F285C72">
      <w:start w:val="1"/>
      <w:numFmt w:val="decimal"/>
      <w:lvlText w:val="%1)"/>
      <w:lvlJc w:val="left"/>
      <w:pPr>
        <w:ind w:left="1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603EF6">
      <w:start w:val="1"/>
      <w:numFmt w:val="lowerLetter"/>
      <w:lvlText w:val="%2"/>
      <w:lvlJc w:val="left"/>
      <w:pPr>
        <w:ind w:left="2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DEFEF6">
      <w:start w:val="1"/>
      <w:numFmt w:val="lowerRoman"/>
      <w:lvlText w:val="%3"/>
      <w:lvlJc w:val="left"/>
      <w:pPr>
        <w:ind w:left="2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D6A968">
      <w:start w:val="1"/>
      <w:numFmt w:val="decimal"/>
      <w:lvlText w:val="%4"/>
      <w:lvlJc w:val="left"/>
      <w:pPr>
        <w:ind w:left="3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6043D4">
      <w:start w:val="1"/>
      <w:numFmt w:val="lowerLetter"/>
      <w:lvlText w:val="%5"/>
      <w:lvlJc w:val="left"/>
      <w:pPr>
        <w:ind w:left="4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AA695A">
      <w:start w:val="1"/>
      <w:numFmt w:val="lowerRoman"/>
      <w:lvlText w:val="%6"/>
      <w:lvlJc w:val="left"/>
      <w:pPr>
        <w:ind w:left="5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4814EE">
      <w:start w:val="1"/>
      <w:numFmt w:val="decimal"/>
      <w:lvlText w:val="%7"/>
      <w:lvlJc w:val="left"/>
      <w:pPr>
        <w:ind w:left="5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EAF95C">
      <w:start w:val="1"/>
      <w:numFmt w:val="lowerLetter"/>
      <w:lvlText w:val="%8"/>
      <w:lvlJc w:val="left"/>
      <w:pPr>
        <w:ind w:left="6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E0040C">
      <w:start w:val="1"/>
      <w:numFmt w:val="lowerRoman"/>
      <w:lvlText w:val="%9"/>
      <w:lvlJc w:val="left"/>
      <w:pPr>
        <w:ind w:left="7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1" w15:restartNumberingAfterBreak="0">
    <w:nsid w:val="4C9F46D9"/>
    <w:multiLevelType w:val="hybridMultilevel"/>
    <w:tmpl w:val="555C4636"/>
    <w:lvl w:ilvl="0" w:tplc="FC98FBEC">
      <w:start w:val="1"/>
      <w:numFmt w:val="lowerLetter"/>
      <w:lvlText w:val="%1)"/>
      <w:lvlJc w:val="left"/>
      <w:pPr>
        <w:ind w:left="915" w:hanging="720"/>
      </w:pPr>
      <w:rPr>
        <w:rFonts w:asciiTheme="majorHAnsi" w:eastAsia="Times New Roman" w:hAnsiTheme="majorHAnsi" w:cs="Times New Roman" w:hint="default"/>
        <w:b w:val="0"/>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275" w:hanging="360"/>
      </w:pPr>
    </w:lvl>
    <w:lvl w:ilvl="2" w:tplc="FFFFFFFF">
      <w:start w:val="1"/>
      <w:numFmt w:val="lowerLetter"/>
      <w:lvlText w:val="%3)"/>
      <w:lvlJc w:val="left"/>
      <w:pPr>
        <w:ind w:left="2175" w:hanging="360"/>
      </w:pPr>
      <w:rPr>
        <w:rFonts w:hint="default"/>
      </w:rPr>
    </w:lvl>
    <w:lvl w:ilvl="3" w:tplc="FFFFFFFF">
      <w:start w:val="1"/>
      <w:numFmt w:val="decimal"/>
      <w:lvlText w:val="%4."/>
      <w:lvlJc w:val="left"/>
      <w:pPr>
        <w:ind w:left="2715" w:hanging="360"/>
      </w:pPr>
    </w:lvl>
    <w:lvl w:ilvl="4" w:tplc="FFFFFFFF" w:tentative="1">
      <w:start w:val="1"/>
      <w:numFmt w:val="lowerLetter"/>
      <w:lvlText w:val="%5."/>
      <w:lvlJc w:val="left"/>
      <w:pPr>
        <w:ind w:left="3435" w:hanging="360"/>
      </w:pPr>
    </w:lvl>
    <w:lvl w:ilvl="5" w:tplc="FFFFFFFF" w:tentative="1">
      <w:start w:val="1"/>
      <w:numFmt w:val="lowerRoman"/>
      <w:lvlText w:val="%6."/>
      <w:lvlJc w:val="right"/>
      <w:pPr>
        <w:ind w:left="4155" w:hanging="180"/>
      </w:pPr>
    </w:lvl>
    <w:lvl w:ilvl="6" w:tplc="FFFFFFFF" w:tentative="1">
      <w:start w:val="1"/>
      <w:numFmt w:val="decimal"/>
      <w:lvlText w:val="%7."/>
      <w:lvlJc w:val="left"/>
      <w:pPr>
        <w:ind w:left="4875" w:hanging="360"/>
      </w:pPr>
    </w:lvl>
    <w:lvl w:ilvl="7" w:tplc="FFFFFFFF" w:tentative="1">
      <w:start w:val="1"/>
      <w:numFmt w:val="lowerLetter"/>
      <w:lvlText w:val="%8."/>
      <w:lvlJc w:val="left"/>
      <w:pPr>
        <w:ind w:left="5595" w:hanging="360"/>
      </w:pPr>
    </w:lvl>
    <w:lvl w:ilvl="8" w:tplc="FFFFFFFF" w:tentative="1">
      <w:start w:val="1"/>
      <w:numFmt w:val="lowerRoman"/>
      <w:lvlText w:val="%9."/>
      <w:lvlJc w:val="right"/>
      <w:pPr>
        <w:ind w:left="6315" w:hanging="180"/>
      </w:pPr>
    </w:lvl>
  </w:abstractNum>
  <w:abstractNum w:abstractNumId="122" w15:restartNumberingAfterBreak="0">
    <w:nsid w:val="4DBC7800"/>
    <w:multiLevelType w:val="hybridMultilevel"/>
    <w:tmpl w:val="C9A2E158"/>
    <w:lvl w:ilvl="0" w:tplc="FC98FBEC">
      <w:start w:val="1"/>
      <w:numFmt w:val="lowerLetter"/>
      <w:lvlText w:val="%1)"/>
      <w:lvlJc w:val="left"/>
      <w:pPr>
        <w:ind w:left="720" w:hanging="360"/>
      </w:pPr>
      <w:rPr>
        <w:rFonts w:asciiTheme="majorHAnsi" w:eastAsia="Times New Roman" w:hAnsiTheme="majorHAnsi" w:cs="Times New Roman" w:hint="default"/>
        <w:b w:val="0"/>
        <w:i w:val="0"/>
        <w:strike w:val="0"/>
        <w:dstrike w:val="0"/>
        <w:color w:val="000000"/>
        <w:sz w:val="24"/>
        <w:szCs w:val="24"/>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4E9B4D30"/>
    <w:multiLevelType w:val="hybridMultilevel"/>
    <w:tmpl w:val="CCA09A36"/>
    <w:lvl w:ilvl="0" w:tplc="FC98FBEC">
      <w:start w:val="1"/>
      <w:numFmt w:val="lowerLetter"/>
      <w:lvlText w:val="%1)"/>
      <w:lvlJc w:val="left"/>
      <w:pPr>
        <w:ind w:left="720" w:hanging="360"/>
      </w:pPr>
      <w:rPr>
        <w:rFonts w:asciiTheme="majorHAnsi" w:eastAsia="Times New Roman" w:hAnsiTheme="majorHAnsi" w:cs="Times New Roman" w:hint="default"/>
        <w:b w:val="0"/>
        <w:i w:val="0"/>
        <w:strike w:val="0"/>
        <w:dstrike w:val="0"/>
        <w:color w:val="000000"/>
        <w:sz w:val="24"/>
        <w:szCs w:val="24"/>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4EAB3837"/>
    <w:multiLevelType w:val="hybridMultilevel"/>
    <w:tmpl w:val="B6849042"/>
    <w:lvl w:ilvl="0" w:tplc="B7B63540">
      <w:start w:val="1"/>
      <w:numFmt w:val="lowerLetter"/>
      <w:lvlText w:val="%1)"/>
      <w:lvlJc w:val="left"/>
      <w:pPr>
        <w:ind w:left="720" w:hanging="360"/>
      </w:pPr>
      <w:rPr>
        <w:rFonts w:ascii="Garamond" w:eastAsia="Calibri" w:hAnsi="Garamond" w:cs="Calibri" w:hint="default"/>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4FB06537"/>
    <w:multiLevelType w:val="hybridMultilevel"/>
    <w:tmpl w:val="23A83E9A"/>
    <w:lvl w:ilvl="0" w:tplc="2DF0CAF8">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2BE787E">
      <w:start w:val="1"/>
      <w:numFmt w:val="lowerLetter"/>
      <w:lvlText w:val="%2"/>
      <w:lvlJc w:val="left"/>
      <w:pPr>
        <w:ind w:left="7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07A91BA">
      <w:start w:val="1"/>
      <w:numFmt w:val="lowerRoman"/>
      <w:lvlText w:val="%3"/>
      <w:lvlJc w:val="left"/>
      <w:pPr>
        <w:ind w:left="104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920D30A">
      <w:start w:val="1"/>
      <w:numFmt w:val="decimal"/>
      <w:lvlText w:val="%4"/>
      <w:lvlJc w:val="left"/>
      <w:pPr>
        <w:ind w:left="13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7AC701E">
      <w:start w:val="1"/>
      <w:numFmt w:val="decimal"/>
      <w:lvlRestart w:val="0"/>
      <w:lvlText w:val="%5)"/>
      <w:lvlJc w:val="left"/>
      <w:pPr>
        <w:ind w:left="1791"/>
      </w:pPr>
      <w:rPr>
        <w:rFonts w:ascii="Garamond" w:eastAsia="Times New Roman" w:hAnsi="Garamond" w:cs="Times New Roman" w:hint="default"/>
        <w:b w:val="0"/>
        <w:i w:val="0"/>
        <w:strike w:val="0"/>
        <w:dstrike w:val="0"/>
        <w:color w:val="000000"/>
        <w:sz w:val="24"/>
        <w:szCs w:val="24"/>
        <w:u w:val="none" w:color="000000"/>
        <w:bdr w:val="none" w:sz="0" w:space="0" w:color="auto"/>
        <w:shd w:val="clear" w:color="auto" w:fill="auto"/>
        <w:vertAlign w:val="baseline"/>
      </w:rPr>
    </w:lvl>
    <w:lvl w:ilvl="5" w:tplc="990A9E50">
      <w:start w:val="1"/>
      <w:numFmt w:val="lowerRoman"/>
      <w:lvlText w:val="%6"/>
      <w:lvlJc w:val="left"/>
      <w:pPr>
        <w:ind w:left="24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19A9068">
      <w:start w:val="1"/>
      <w:numFmt w:val="decimal"/>
      <w:lvlText w:val="%7"/>
      <w:lvlJc w:val="left"/>
      <w:pPr>
        <w:ind w:left="31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356DCD2">
      <w:start w:val="1"/>
      <w:numFmt w:val="lowerLetter"/>
      <w:lvlText w:val="%8"/>
      <w:lvlJc w:val="left"/>
      <w:pPr>
        <w:ind w:left="38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5BE4F78">
      <w:start w:val="1"/>
      <w:numFmt w:val="lowerRoman"/>
      <w:lvlText w:val="%9"/>
      <w:lvlJc w:val="left"/>
      <w:pPr>
        <w:ind w:left="46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26" w15:restartNumberingAfterBreak="0">
    <w:nsid w:val="4FBA5D06"/>
    <w:multiLevelType w:val="hybridMultilevel"/>
    <w:tmpl w:val="CD18CEE2"/>
    <w:lvl w:ilvl="0" w:tplc="FC98FBEC">
      <w:start w:val="1"/>
      <w:numFmt w:val="lowerLetter"/>
      <w:lvlText w:val="%1)"/>
      <w:lvlJc w:val="left"/>
      <w:pPr>
        <w:ind w:left="720" w:hanging="360"/>
      </w:pPr>
      <w:rPr>
        <w:rFonts w:asciiTheme="majorHAnsi" w:eastAsia="Times New Roman" w:hAnsiTheme="majorHAnsi" w:cs="Times New Roman" w:hint="default"/>
        <w:b w:val="0"/>
        <w:i w:val="0"/>
        <w:strike w:val="0"/>
        <w:dstrike w:val="0"/>
        <w:color w:val="000000"/>
        <w:sz w:val="24"/>
        <w:szCs w:val="24"/>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509363D3"/>
    <w:multiLevelType w:val="hybridMultilevel"/>
    <w:tmpl w:val="366C5774"/>
    <w:lvl w:ilvl="0" w:tplc="5C1C0FB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523818">
      <w:start w:val="1"/>
      <w:numFmt w:val="lowerLetter"/>
      <w:lvlText w:val="%2"/>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A62278">
      <w:start w:val="1"/>
      <w:numFmt w:val="lowerRoman"/>
      <w:lvlText w:val="%3"/>
      <w:lvlJc w:val="left"/>
      <w:pPr>
        <w:ind w:left="10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ACBEA0">
      <w:start w:val="1"/>
      <w:numFmt w:val="lowerLetter"/>
      <w:lvlRestart w:val="0"/>
      <w:lvlText w:val="%4)"/>
      <w:lvlJc w:val="left"/>
      <w:pPr>
        <w:ind w:left="1454"/>
      </w:pPr>
      <w:rPr>
        <w:rFonts w:ascii="Garamond" w:eastAsia="Times New Roman" w:hAnsi="Garamond" w:cs="Times New Roman" w:hint="default"/>
        <w:b w:val="0"/>
        <w:i w:val="0"/>
        <w:strike w:val="0"/>
        <w:dstrike w:val="0"/>
        <w:color w:val="000000"/>
        <w:sz w:val="24"/>
        <w:szCs w:val="24"/>
        <w:u w:val="none" w:color="000000"/>
        <w:bdr w:val="none" w:sz="0" w:space="0" w:color="auto"/>
        <w:shd w:val="clear" w:color="auto" w:fill="auto"/>
        <w:vertAlign w:val="baseline"/>
      </w:rPr>
    </w:lvl>
    <w:lvl w:ilvl="4" w:tplc="05F24CE8">
      <w:start w:val="1"/>
      <w:numFmt w:val="lowerLetter"/>
      <w:lvlText w:val="%5"/>
      <w:lvlJc w:val="left"/>
      <w:pPr>
        <w:ind w:left="2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A8B468">
      <w:start w:val="1"/>
      <w:numFmt w:val="lowerRoman"/>
      <w:lvlText w:val="%6"/>
      <w:lvlJc w:val="left"/>
      <w:pPr>
        <w:ind w:left="2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3EBD3E">
      <w:start w:val="1"/>
      <w:numFmt w:val="decimal"/>
      <w:lvlText w:val="%7"/>
      <w:lvlJc w:val="left"/>
      <w:pPr>
        <w:ind w:left="3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981FA6">
      <w:start w:val="1"/>
      <w:numFmt w:val="lowerLetter"/>
      <w:lvlText w:val="%8"/>
      <w:lvlJc w:val="left"/>
      <w:pPr>
        <w:ind w:left="4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7247A6">
      <w:start w:val="1"/>
      <w:numFmt w:val="lowerRoman"/>
      <w:lvlText w:val="%9"/>
      <w:lvlJc w:val="left"/>
      <w:pPr>
        <w:ind w:left="5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8" w15:restartNumberingAfterBreak="0">
    <w:nsid w:val="50AE7A3A"/>
    <w:multiLevelType w:val="hybridMultilevel"/>
    <w:tmpl w:val="BA58633E"/>
    <w:lvl w:ilvl="0" w:tplc="FC98FBEC">
      <w:start w:val="1"/>
      <w:numFmt w:val="lowerLetter"/>
      <w:lvlText w:val="%1)"/>
      <w:lvlJc w:val="left"/>
      <w:pPr>
        <w:ind w:left="720" w:hanging="360"/>
      </w:pPr>
      <w:rPr>
        <w:rFonts w:asciiTheme="majorHAnsi" w:eastAsia="Times New Roman" w:hAnsiTheme="majorHAnsi" w:cs="Times New Roman" w:hint="default"/>
        <w:b w:val="0"/>
        <w:i w:val="0"/>
        <w:strike w:val="0"/>
        <w:dstrike w:val="0"/>
        <w:color w:val="000000"/>
        <w:sz w:val="24"/>
        <w:szCs w:val="24"/>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5137005B"/>
    <w:multiLevelType w:val="multilevel"/>
    <w:tmpl w:val="80D86BA4"/>
    <w:lvl w:ilvl="0">
      <w:start w:val="10"/>
      <w:numFmt w:val="upperLetter"/>
      <w:lvlText w:val="%1."/>
      <w:lvlJc w:val="left"/>
      <w:pPr>
        <w:ind w:left="575"/>
      </w:pPr>
      <w:rPr>
        <w:rFonts w:ascii="Garamond" w:eastAsia="Times New Roman" w:hAnsi="Garamond" w:cs="Times New Roman" w:hint="default"/>
        <w:b/>
        <w:bCs w:val="0"/>
        <w:i w:val="0"/>
        <w:strike w:val="0"/>
        <w:dstrike w:val="0"/>
        <w:color w:val="000000"/>
        <w:sz w:val="28"/>
        <w:szCs w:val="28"/>
        <w:u w:val="none" w:color="000000"/>
        <w:bdr w:val="none" w:sz="0" w:space="0" w:color="auto"/>
        <w:shd w:val="clear" w:color="auto" w:fill="auto"/>
        <w:vertAlign w:val="baseline"/>
      </w:rPr>
    </w:lvl>
    <w:lvl w:ilvl="1">
      <w:start w:val="2"/>
      <w:numFmt w:val="decimal"/>
      <w:lvlText w:val="%1.%2"/>
      <w:lvlJc w:val="left"/>
      <w:pPr>
        <w:ind w:left="1173"/>
      </w:pPr>
      <w:rPr>
        <w:rFonts w:asciiTheme="majorHAnsi" w:eastAsia="Times New Roman" w:hAnsiTheme="majorHAnsi" w:cs="Times New Roman" w:hint="default"/>
        <w:b w:val="0"/>
        <w:i w:val="0"/>
        <w:strike w:val="0"/>
        <w:dstrike w:val="0"/>
        <w:color w:val="000000"/>
        <w:sz w:val="24"/>
        <w:szCs w:val="24"/>
        <w:u w:val="none" w:color="000000"/>
        <w:bdr w:val="none" w:sz="0" w:space="0" w:color="auto"/>
        <w:shd w:val="clear" w:color="auto" w:fill="auto"/>
        <w:vertAlign w:val="baseline"/>
      </w:rPr>
    </w:lvl>
    <w:lvl w:ilvl="2">
      <w:start w:val="1"/>
      <w:numFmt w:val="lowerLetter"/>
      <w:lvlText w:val="%3)"/>
      <w:lvlJc w:val="left"/>
      <w:pPr>
        <w:ind w:left="1604"/>
      </w:pPr>
      <w:rPr>
        <w:rFonts w:ascii="Garamond" w:eastAsia="Times New Roman" w:hAnsi="Garamond" w:cs="Times New Roman" w:hint="default"/>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5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9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401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73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45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30" w15:restartNumberingAfterBreak="0">
    <w:nsid w:val="51421050"/>
    <w:multiLevelType w:val="hybridMultilevel"/>
    <w:tmpl w:val="51605E9C"/>
    <w:lvl w:ilvl="0" w:tplc="E4AADDE2">
      <w:start w:val="1"/>
      <w:numFmt w:val="decimal"/>
      <w:lvlText w:val="%1)"/>
      <w:lvlJc w:val="left"/>
      <w:pPr>
        <w:ind w:left="1784"/>
      </w:pPr>
      <w:rPr>
        <w:rFonts w:ascii="Garamond" w:eastAsia="Times New Roman" w:hAnsi="Garamond" w:cs="Times New Roman" w:hint="default"/>
        <w:b w:val="0"/>
        <w:i w:val="0"/>
        <w:strike w:val="0"/>
        <w:dstrike w:val="0"/>
        <w:color w:val="000000"/>
        <w:sz w:val="24"/>
        <w:szCs w:val="24"/>
        <w:u w:val="none" w:color="000000"/>
        <w:bdr w:val="none" w:sz="0" w:space="0" w:color="auto"/>
        <w:shd w:val="clear" w:color="auto" w:fill="auto"/>
        <w:vertAlign w:val="baseline"/>
      </w:rPr>
    </w:lvl>
    <w:lvl w:ilvl="1" w:tplc="2B163358">
      <w:start w:val="1"/>
      <w:numFmt w:val="lowerLetter"/>
      <w:lvlText w:val="%2"/>
      <w:lvlJc w:val="left"/>
      <w:pPr>
        <w:ind w:left="250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368D56E">
      <w:start w:val="1"/>
      <w:numFmt w:val="lowerRoman"/>
      <w:lvlText w:val="%3"/>
      <w:lvlJc w:val="left"/>
      <w:pPr>
        <w:ind w:left="322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97E71FA">
      <w:start w:val="1"/>
      <w:numFmt w:val="decimal"/>
      <w:lvlText w:val="%4"/>
      <w:lvlJc w:val="left"/>
      <w:pPr>
        <w:ind w:left="39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8700526">
      <w:start w:val="1"/>
      <w:numFmt w:val="lowerLetter"/>
      <w:lvlText w:val="%5"/>
      <w:lvlJc w:val="left"/>
      <w:pPr>
        <w:ind w:left="46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64AC8C6">
      <w:start w:val="1"/>
      <w:numFmt w:val="lowerRoman"/>
      <w:lvlText w:val="%6"/>
      <w:lvlJc w:val="left"/>
      <w:pPr>
        <w:ind w:left="538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D7C969C">
      <w:start w:val="1"/>
      <w:numFmt w:val="decimal"/>
      <w:lvlText w:val="%7"/>
      <w:lvlJc w:val="left"/>
      <w:pPr>
        <w:ind w:left="610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B347A20">
      <w:start w:val="1"/>
      <w:numFmt w:val="lowerLetter"/>
      <w:lvlText w:val="%8"/>
      <w:lvlJc w:val="left"/>
      <w:pPr>
        <w:ind w:left="682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D88E09E">
      <w:start w:val="1"/>
      <w:numFmt w:val="lowerRoman"/>
      <w:lvlText w:val="%9"/>
      <w:lvlJc w:val="left"/>
      <w:pPr>
        <w:ind w:left="75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31" w15:restartNumberingAfterBreak="0">
    <w:nsid w:val="51AC7329"/>
    <w:multiLevelType w:val="hybridMultilevel"/>
    <w:tmpl w:val="63C265D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15:restartNumberingAfterBreak="0">
    <w:nsid w:val="52E96A1B"/>
    <w:multiLevelType w:val="hybridMultilevel"/>
    <w:tmpl w:val="C378703A"/>
    <w:lvl w:ilvl="0" w:tplc="FC98FBEC">
      <w:start w:val="1"/>
      <w:numFmt w:val="lowerLetter"/>
      <w:lvlText w:val="%1)"/>
      <w:lvlJc w:val="left"/>
      <w:pPr>
        <w:ind w:left="720" w:hanging="360"/>
      </w:pPr>
      <w:rPr>
        <w:rFonts w:asciiTheme="majorHAnsi" w:eastAsia="Times New Roman" w:hAnsiTheme="majorHAnsi" w:cs="Times New Roman" w:hint="default"/>
        <w:b w:val="0"/>
        <w:i w:val="0"/>
        <w:strike w:val="0"/>
        <w:dstrike w:val="0"/>
        <w:color w:val="000000"/>
        <w:sz w:val="24"/>
        <w:szCs w:val="24"/>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53663BBA"/>
    <w:multiLevelType w:val="multilevel"/>
    <w:tmpl w:val="CDB07BB0"/>
    <w:styleLink w:val="Biecalista7"/>
    <w:lvl w:ilvl="0">
      <w:start w:val="1"/>
      <w:numFmt w:val="lowerLetter"/>
      <w:lvlText w:val="%1)"/>
      <w:lvlJc w:val="left"/>
      <w:pPr>
        <w:ind w:left="1475"/>
      </w:pPr>
      <w:rPr>
        <w:rFonts w:ascii="Garamond" w:eastAsiaTheme="minorEastAsia" w:hAnsi="Garamond" w:cstheme="minorBidi"/>
        <w:b w:val="0"/>
        <w:i w:val="0"/>
        <w:strike w:val="0"/>
        <w:dstrike w:val="0"/>
        <w:color w:val="000000"/>
        <w:sz w:val="24"/>
        <w:szCs w:val="24"/>
        <w:u w:val="none" w:color="000000"/>
        <w:bdr w:val="none" w:sz="0" w:space="0" w:color="auto"/>
        <w:shd w:val="clear" w:color="auto" w:fill="auto"/>
        <w:vertAlign w:val="baseline"/>
      </w:rPr>
    </w:lvl>
    <w:lvl w:ilvl="1">
      <w:start w:val="1"/>
      <w:numFmt w:val="lowerLetter"/>
      <w:lvlText w:val="%2"/>
      <w:lvlJc w:val="left"/>
      <w:pPr>
        <w:ind w:left="162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234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306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378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450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522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594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666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34" w15:restartNumberingAfterBreak="0">
    <w:nsid w:val="555D1F87"/>
    <w:multiLevelType w:val="multilevel"/>
    <w:tmpl w:val="5B3CA9F4"/>
    <w:lvl w:ilvl="0">
      <w:start w:val="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5"/>
      <w:numFmt w:val="decimal"/>
      <w:lvlRestart w:val="0"/>
      <w:lvlText w:val="%1.%2."/>
      <w:lvlJc w:val="left"/>
      <w:pPr>
        <w:ind w:left="1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5" w15:restartNumberingAfterBreak="0">
    <w:nsid w:val="55C81CDF"/>
    <w:multiLevelType w:val="hybridMultilevel"/>
    <w:tmpl w:val="902C8C68"/>
    <w:lvl w:ilvl="0" w:tplc="FC98FBEC">
      <w:start w:val="1"/>
      <w:numFmt w:val="lowerLetter"/>
      <w:lvlText w:val="%1)"/>
      <w:lvlJc w:val="left"/>
      <w:pPr>
        <w:ind w:left="720" w:hanging="360"/>
      </w:pPr>
      <w:rPr>
        <w:rFonts w:asciiTheme="majorHAnsi" w:eastAsia="Times New Roman" w:hAnsiTheme="majorHAnsi" w:cs="Times New Roman" w:hint="default"/>
        <w:b w:val="0"/>
        <w:i w:val="0"/>
        <w:strike w:val="0"/>
        <w:dstrike w:val="0"/>
        <w:color w:val="000000"/>
        <w:sz w:val="24"/>
        <w:szCs w:val="24"/>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56280050"/>
    <w:multiLevelType w:val="hybridMultilevel"/>
    <w:tmpl w:val="93861422"/>
    <w:lvl w:ilvl="0" w:tplc="9E441E02">
      <w:start w:val="4"/>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562A5F0E"/>
    <w:multiLevelType w:val="hybridMultilevel"/>
    <w:tmpl w:val="35DA78D8"/>
    <w:lvl w:ilvl="0" w:tplc="8430C078">
      <w:start w:val="1"/>
      <w:numFmt w:val="upperRoman"/>
      <w:lvlText w:val="%1."/>
      <w:lvlJc w:val="left"/>
      <w:pPr>
        <w:ind w:left="1080" w:hanging="720"/>
      </w:pPr>
      <w:rPr>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572D1B67"/>
    <w:multiLevelType w:val="multilevel"/>
    <w:tmpl w:val="ABCE694E"/>
    <w:styleLink w:val="Biecalista6"/>
    <w:lvl w:ilvl="0">
      <w:start w:val="1"/>
      <w:numFmt w:val="lowerLetter"/>
      <w:lvlText w:val="%1)"/>
      <w:lvlJc w:val="left"/>
      <w:pPr>
        <w:ind w:left="1475"/>
      </w:pPr>
      <w:rPr>
        <w:rFonts w:ascii="Garamond" w:eastAsiaTheme="minorEastAsia" w:hAnsi="Garamond" w:cstheme="minorBidi"/>
        <w:b w:val="0"/>
        <w:i w:val="0"/>
        <w:strike w:val="0"/>
        <w:dstrike w:val="0"/>
        <w:color w:val="000000"/>
        <w:sz w:val="24"/>
        <w:szCs w:val="24"/>
        <w:u w:val="none" w:color="000000"/>
        <w:bdr w:val="none" w:sz="0" w:space="0" w:color="auto"/>
        <w:shd w:val="clear" w:color="auto" w:fill="auto"/>
        <w:vertAlign w:val="baseline"/>
      </w:rPr>
    </w:lvl>
    <w:lvl w:ilvl="1">
      <w:start w:val="1"/>
      <w:numFmt w:val="lowerLetter"/>
      <w:lvlText w:val="%2"/>
      <w:lvlJc w:val="left"/>
      <w:pPr>
        <w:ind w:left="162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234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306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378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450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522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594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666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39" w15:restartNumberingAfterBreak="0">
    <w:nsid w:val="57DD085C"/>
    <w:multiLevelType w:val="multilevel"/>
    <w:tmpl w:val="E642F470"/>
    <w:lvl w:ilvl="0">
      <w:start w:val="6"/>
      <w:numFmt w:val="upperLetter"/>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3"/>
      <w:numFmt w:val="decimal"/>
      <w:lvlText w:val="%1.%2"/>
      <w:lvlJc w:val="left"/>
      <w:pPr>
        <w:ind w:left="59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decimal"/>
      <w:lvlRestart w:val="0"/>
      <w:lvlText w:val="%1.%2.%3."/>
      <w:lvlJc w:val="left"/>
      <w:pPr>
        <w:ind w:left="1173"/>
      </w:pPr>
      <w:rPr>
        <w:rFonts w:ascii="Garamond" w:eastAsia="Times New Roman" w:hAnsi="Garamond" w:cs="Times New Roman" w:hint="default"/>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55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27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299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7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4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15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0" w15:restartNumberingAfterBreak="0">
    <w:nsid w:val="580B60EB"/>
    <w:multiLevelType w:val="hybridMultilevel"/>
    <w:tmpl w:val="C1602CA8"/>
    <w:lvl w:ilvl="0" w:tplc="B5C841C0">
      <w:start w:val="1"/>
      <w:numFmt w:val="lowerLetter"/>
      <w:lvlText w:val="%1)"/>
      <w:lvlJc w:val="left"/>
      <w:pPr>
        <w:ind w:left="1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F2A574">
      <w:start w:val="1"/>
      <w:numFmt w:val="lowerLetter"/>
      <w:lvlText w:val="%2"/>
      <w:lvlJc w:val="left"/>
      <w:pPr>
        <w:ind w:left="24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F2ED38">
      <w:start w:val="1"/>
      <w:numFmt w:val="lowerRoman"/>
      <w:lvlText w:val="%3"/>
      <w:lvlJc w:val="left"/>
      <w:pPr>
        <w:ind w:left="3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5EF644">
      <w:start w:val="1"/>
      <w:numFmt w:val="decimal"/>
      <w:lvlText w:val="%4"/>
      <w:lvlJc w:val="left"/>
      <w:pPr>
        <w:ind w:left="39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DEBBBC">
      <w:start w:val="1"/>
      <w:numFmt w:val="lowerLetter"/>
      <w:lvlText w:val="%5"/>
      <w:lvlJc w:val="left"/>
      <w:pPr>
        <w:ind w:left="46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1840A82">
      <w:start w:val="1"/>
      <w:numFmt w:val="lowerRoman"/>
      <w:lvlText w:val="%6"/>
      <w:lvlJc w:val="left"/>
      <w:pPr>
        <w:ind w:left="5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F263D0">
      <w:start w:val="1"/>
      <w:numFmt w:val="decimal"/>
      <w:lvlText w:val="%7"/>
      <w:lvlJc w:val="left"/>
      <w:pPr>
        <w:ind w:left="6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0AD9C8">
      <w:start w:val="1"/>
      <w:numFmt w:val="lowerLetter"/>
      <w:lvlText w:val="%8"/>
      <w:lvlJc w:val="left"/>
      <w:pPr>
        <w:ind w:left="6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FEE464">
      <w:start w:val="1"/>
      <w:numFmt w:val="lowerRoman"/>
      <w:lvlText w:val="%9"/>
      <w:lvlJc w:val="left"/>
      <w:pPr>
        <w:ind w:left="7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1" w15:restartNumberingAfterBreak="0">
    <w:nsid w:val="587D0BA5"/>
    <w:multiLevelType w:val="hybridMultilevel"/>
    <w:tmpl w:val="B99C4E50"/>
    <w:lvl w:ilvl="0" w:tplc="FC98FBEC">
      <w:start w:val="1"/>
      <w:numFmt w:val="lowerLetter"/>
      <w:lvlText w:val="%1)"/>
      <w:lvlJc w:val="left"/>
      <w:pPr>
        <w:ind w:left="720" w:hanging="360"/>
      </w:pPr>
      <w:rPr>
        <w:rFonts w:asciiTheme="majorHAnsi" w:eastAsia="Times New Roman" w:hAnsiTheme="majorHAnsi" w:cs="Times New Roman" w:hint="default"/>
        <w:b w:val="0"/>
        <w:i w:val="0"/>
        <w:strike w:val="0"/>
        <w:dstrike w:val="0"/>
        <w:color w:val="000000"/>
        <w:sz w:val="24"/>
        <w:szCs w:val="24"/>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15:restartNumberingAfterBreak="0">
    <w:nsid w:val="58CD7F96"/>
    <w:multiLevelType w:val="hybridMultilevel"/>
    <w:tmpl w:val="2B863B62"/>
    <w:lvl w:ilvl="0" w:tplc="9F1ED194">
      <w:start w:val="1"/>
      <w:numFmt w:val="decimal"/>
      <w:lvlText w:val="%1)"/>
      <w:lvlJc w:val="left"/>
      <w:pPr>
        <w:ind w:left="1734"/>
      </w:pPr>
      <w:rPr>
        <w:rFonts w:ascii="Garamond" w:eastAsia="Times New Roman" w:hAnsi="Garamond" w:cs="Times New Roman" w:hint="default"/>
        <w:b w:val="0"/>
        <w:i w:val="0"/>
        <w:strike w:val="0"/>
        <w:dstrike w:val="0"/>
        <w:color w:val="000000"/>
        <w:sz w:val="24"/>
        <w:szCs w:val="24"/>
        <w:u w:val="none" w:color="000000"/>
        <w:bdr w:val="none" w:sz="0" w:space="0" w:color="auto"/>
        <w:shd w:val="clear" w:color="auto" w:fill="auto"/>
        <w:vertAlign w:val="baseline"/>
      </w:rPr>
    </w:lvl>
    <w:lvl w:ilvl="1" w:tplc="009263A0">
      <w:start w:val="1"/>
      <w:numFmt w:val="lowerLetter"/>
      <w:lvlText w:val="%2"/>
      <w:lvlJc w:val="left"/>
      <w:pPr>
        <w:ind w:left="24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BE1F94">
      <w:start w:val="1"/>
      <w:numFmt w:val="lowerRoman"/>
      <w:lvlText w:val="%3"/>
      <w:lvlJc w:val="left"/>
      <w:pPr>
        <w:ind w:left="3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065608">
      <w:start w:val="1"/>
      <w:numFmt w:val="decimal"/>
      <w:lvlText w:val="%4"/>
      <w:lvlJc w:val="left"/>
      <w:pPr>
        <w:ind w:left="3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90A412">
      <w:start w:val="1"/>
      <w:numFmt w:val="lowerLetter"/>
      <w:lvlText w:val="%5"/>
      <w:lvlJc w:val="left"/>
      <w:pPr>
        <w:ind w:left="4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DAAF06">
      <w:start w:val="1"/>
      <w:numFmt w:val="lowerRoman"/>
      <w:lvlText w:val="%6"/>
      <w:lvlJc w:val="left"/>
      <w:pPr>
        <w:ind w:left="5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FA43F6">
      <w:start w:val="1"/>
      <w:numFmt w:val="decimal"/>
      <w:lvlText w:val="%7"/>
      <w:lvlJc w:val="left"/>
      <w:pPr>
        <w:ind w:left="6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D8CB1C">
      <w:start w:val="1"/>
      <w:numFmt w:val="lowerLetter"/>
      <w:lvlText w:val="%8"/>
      <w:lvlJc w:val="left"/>
      <w:pPr>
        <w:ind w:left="6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E84A14">
      <w:start w:val="1"/>
      <w:numFmt w:val="lowerRoman"/>
      <w:lvlText w:val="%9"/>
      <w:lvlJc w:val="left"/>
      <w:pPr>
        <w:ind w:left="7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3" w15:restartNumberingAfterBreak="0">
    <w:nsid w:val="59956AF2"/>
    <w:multiLevelType w:val="hybridMultilevel"/>
    <w:tmpl w:val="6DB41C7E"/>
    <w:lvl w:ilvl="0" w:tplc="EB829C64">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168A1D8">
      <w:start w:val="1"/>
      <w:numFmt w:val="lowerLetter"/>
      <w:lvlText w:val="%2"/>
      <w:lvlJc w:val="left"/>
      <w:pPr>
        <w:ind w:left="7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D62A080">
      <w:start w:val="1"/>
      <w:numFmt w:val="lowerRoman"/>
      <w:lvlText w:val="%3"/>
      <w:lvlJc w:val="left"/>
      <w:pPr>
        <w:ind w:left="10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14A6ABA">
      <w:start w:val="1"/>
      <w:numFmt w:val="lowerLetter"/>
      <w:lvlRestart w:val="0"/>
      <w:lvlText w:val="%4)"/>
      <w:lvlJc w:val="left"/>
      <w:pPr>
        <w:ind w:left="1767"/>
      </w:pPr>
      <w:rPr>
        <w:rFonts w:asciiTheme="majorHAnsi" w:eastAsia="Times New Roman" w:hAnsiTheme="majorHAnsi" w:cs="Times New Roman" w:hint="default"/>
        <w:b w:val="0"/>
        <w:i w:val="0"/>
        <w:strike w:val="0"/>
        <w:dstrike w:val="0"/>
        <w:color w:val="000000"/>
        <w:sz w:val="24"/>
        <w:szCs w:val="24"/>
        <w:u w:val="none" w:color="000000"/>
        <w:bdr w:val="none" w:sz="0" w:space="0" w:color="auto"/>
        <w:shd w:val="clear" w:color="auto" w:fill="auto"/>
        <w:vertAlign w:val="baseline"/>
      </w:rPr>
    </w:lvl>
    <w:lvl w:ilvl="4" w:tplc="DF4638AA">
      <w:start w:val="1"/>
      <w:numFmt w:val="lowerLetter"/>
      <w:lvlText w:val="%5"/>
      <w:lvlJc w:val="left"/>
      <w:pPr>
        <w:ind w:left="21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8968CD6">
      <w:start w:val="1"/>
      <w:numFmt w:val="lowerRoman"/>
      <w:lvlText w:val="%6"/>
      <w:lvlJc w:val="left"/>
      <w:pPr>
        <w:ind w:left="28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8B4C3AA">
      <w:start w:val="1"/>
      <w:numFmt w:val="decimal"/>
      <w:lvlText w:val="%7"/>
      <w:lvlJc w:val="left"/>
      <w:pPr>
        <w:ind w:left="35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82CD41E">
      <w:start w:val="1"/>
      <w:numFmt w:val="lowerLetter"/>
      <w:lvlText w:val="%8"/>
      <w:lvlJc w:val="left"/>
      <w:pPr>
        <w:ind w:left="42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9A01FE4">
      <w:start w:val="1"/>
      <w:numFmt w:val="lowerRoman"/>
      <w:lvlText w:val="%9"/>
      <w:lvlJc w:val="left"/>
      <w:pPr>
        <w:ind w:left="50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4" w15:restartNumberingAfterBreak="0">
    <w:nsid w:val="59BB1214"/>
    <w:multiLevelType w:val="hybridMultilevel"/>
    <w:tmpl w:val="781ADEA2"/>
    <w:lvl w:ilvl="0" w:tplc="6F5CAB1C">
      <w:start w:val="1"/>
      <w:numFmt w:val="lowerLetter"/>
      <w:lvlText w:val="%1)"/>
      <w:lvlJc w:val="left"/>
      <w:pPr>
        <w:ind w:left="14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CA1430">
      <w:start w:val="1"/>
      <w:numFmt w:val="lowerLetter"/>
      <w:lvlText w:val="%2"/>
      <w:lvlJc w:val="left"/>
      <w:pPr>
        <w:ind w:left="22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32281A">
      <w:start w:val="1"/>
      <w:numFmt w:val="lowerRoman"/>
      <w:lvlText w:val="%3"/>
      <w:lvlJc w:val="left"/>
      <w:pPr>
        <w:ind w:left="2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BCC46A4">
      <w:start w:val="1"/>
      <w:numFmt w:val="decimal"/>
      <w:lvlText w:val="%4"/>
      <w:lvlJc w:val="left"/>
      <w:pPr>
        <w:ind w:left="3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BAB82E">
      <w:start w:val="1"/>
      <w:numFmt w:val="lowerLetter"/>
      <w:lvlText w:val="%5"/>
      <w:lvlJc w:val="left"/>
      <w:pPr>
        <w:ind w:left="4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842936">
      <w:start w:val="1"/>
      <w:numFmt w:val="lowerRoman"/>
      <w:lvlText w:val="%6"/>
      <w:lvlJc w:val="left"/>
      <w:pPr>
        <w:ind w:left="5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F2013E">
      <w:start w:val="1"/>
      <w:numFmt w:val="decimal"/>
      <w:lvlText w:val="%7"/>
      <w:lvlJc w:val="left"/>
      <w:pPr>
        <w:ind w:left="5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9ADE50">
      <w:start w:val="1"/>
      <w:numFmt w:val="lowerLetter"/>
      <w:lvlText w:val="%8"/>
      <w:lvlJc w:val="left"/>
      <w:pPr>
        <w:ind w:left="6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F6E3EE">
      <w:start w:val="1"/>
      <w:numFmt w:val="lowerRoman"/>
      <w:lvlText w:val="%9"/>
      <w:lvlJc w:val="left"/>
      <w:pPr>
        <w:ind w:left="7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5" w15:restartNumberingAfterBreak="0">
    <w:nsid w:val="59EA2A51"/>
    <w:multiLevelType w:val="hybridMultilevel"/>
    <w:tmpl w:val="34BA4548"/>
    <w:lvl w:ilvl="0" w:tplc="FC98FBEC">
      <w:start w:val="1"/>
      <w:numFmt w:val="lowerLetter"/>
      <w:lvlText w:val="%1)"/>
      <w:lvlJc w:val="left"/>
      <w:pPr>
        <w:ind w:left="720" w:hanging="360"/>
      </w:pPr>
      <w:rPr>
        <w:rFonts w:asciiTheme="majorHAnsi" w:eastAsia="Times New Roman" w:hAnsiTheme="majorHAnsi" w:cs="Times New Roman" w:hint="default"/>
        <w:b w:val="0"/>
        <w:i w:val="0"/>
        <w:strike w:val="0"/>
        <w:dstrike w:val="0"/>
        <w:color w:val="000000"/>
        <w:sz w:val="24"/>
        <w:szCs w:val="24"/>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5ADB4476"/>
    <w:multiLevelType w:val="hybridMultilevel"/>
    <w:tmpl w:val="2550F392"/>
    <w:lvl w:ilvl="0" w:tplc="B7B63540">
      <w:start w:val="1"/>
      <w:numFmt w:val="lowerLetter"/>
      <w:lvlText w:val="%1)"/>
      <w:lvlJc w:val="left"/>
      <w:pPr>
        <w:ind w:left="720" w:hanging="360"/>
      </w:pPr>
      <w:rPr>
        <w:rFonts w:ascii="Garamond" w:eastAsia="Calibri" w:hAnsi="Garamond" w:cs="Calibri" w:hint="default"/>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15:restartNumberingAfterBreak="0">
    <w:nsid w:val="5BB02C3A"/>
    <w:multiLevelType w:val="hybridMultilevel"/>
    <w:tmpl w:val="5D3AED86"/>
    <w:lvl w:ilvl="0" w:tplc="0415000F">
      <w:start w:val="1"/>
      <w:numFmt w:val="decimal"/>
      <w:lvlText w:val="%1."/>
      <w:lvlJc w:val="left"/>
      <w:pPr>
        <w:ind w:left="720" w:hanging="360"/>
      </w:pPr>
      <w:rPr>
        <w:rFonts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8" w15:restartNumberingAfterBreak="0">
    <w:nsid w:val="5BB16C86"/>
    <w:multiLevelType w:val="hybridMultilevel"/>
    <w:tmpl w:val="1B6EC26A"/>
    <w:lvl w:ilvl="0" w:tplc="FC98FBEC">
      <w:start w:val="1"/>
      <w:numFmt w:val="lowerLetter"/>
      <w:lvlText w:val="%1)"/>
      <w:lvlJc w:val="left"/>
      <w:pPr>
        <w:ind w:left="720" w:hanging="360"/>
      </w:pPr>
      <w:rPr>
        <w:rFonts w:asciiTheme="majorHAnsi" w:eastAsia="Times New Roman" w:hAnsiTheme="majorHAnsi" w:cs="Times New Roman" w:hint="default"/>
        <w:b w:val="0"/>
        <w:i w:val="0"/>
        <w:strike w:val="0"/>
        <w:dstrike w:val="0"/>
        <w:color w:val="000000"/>
        <w:sz w:val="24"/>
        <w:szCs w:val="24"/>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15:restartNumberingAfterBreak="0">
    <w:nsid w:val="5C10215E"/>
    <w:multiLevelType w:val="hybridMultilevel"/>
    <w:tmpl w:val="254AFF5E"/>
    <w:lvl w:ilvl="0" w:tplc="5804EFEC">
      <w:start w:val="7"/>
      <w:numFmt w:val="decimal"/>
      <w:lvlText w:val="%1)"/>
      <w:lvlJc w:val="left"/>
      <w:pPr>
        <w:ind w:left="1604"/>
      </w:pPr>
      <w:rPr>
        <w:rFonts w:ascii="Garamond" w:eastAsia="Times New Roman" w:hAnsi="Garamond" w:cs="Times New Roman" w:hint="default"/>
        <w:b w:val="0"/>
        <w:i w:val="0"/>
        <w:strike w:val="0"/>
        <w:dstrike w:val="0"/>
        <w:color w:val="000000"/>
        <w:sz w:val="24"/>
        <w:szCs w:val="24"/>
        <w:u w:val="none" w:color="000000"/>
        <w:bdr w:val="none" w:sz="0" w:space="0" w:color="auto"/>
        <w:shd w:val="clear" w:color="auto" w:fill="auto"/>
        <w:vertAlign w:val="baseline"/>
      </w:rPr>
    </w:lvl>
    <w:lvl w:ilvl="1" w:tplc="187A5F86">
      <w:start w:val="1"/>
      <w:numFmt w:val="lowerLetter"/>
      <w:lvlText w:val="%2"/>
      <w:lvlJc w:val="left"/>
      <w:pPr>
        <w:ind w:left="15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C944428">
      <w:start w:val="1"/>
      <w:numFmt w:val="lowerRoman"/>
      <w:lvlText w:val="%3"/>
      <w:lvlJc w:val="left"/>
      <w:pPr>
        <w:ind w:left="22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8F2595C">
      <w:start w:val="1"/>
      <w:numFmt w:val="decimal"/>
      <w:lvlText w:val="%4"/>
      <w:lvlJc w:val="left"/>
      <w:pPr>
        <w:ind w:left="29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4F41C4A">
      <w:start w:val="1"/>
      <w:numFmt w:val="lowerLetter"/>
      <w:lvlText w:val="%5"/>
      <w:lvlJc w:val="left"/>
      <w:pPr>
        <w:ind w:left="36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D62FCEC">
      <w:start w:val="1"/>
      <w:numFmt w:val="lowerRoman"/>
      <w:lvlText w:val="%6"/>
      <w:lvlJc w:val="left"/>
      <w:pPr>
        <w:ind w:left="44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97CA702">
      <w:start w:val="1"/>
      <w:numFmt w:val="decimal"/>
      <w:lvlText w:val="%7"/>
      <w:lvlJc w:val="left"/>
      <w:pPr>
        <w:ind w:left="51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458C376">
      <w:start w:val="1"/>
      <w:numFmt w:val="lowerLetter"/>
      <w:lvlText w:val="%8"/>
      <w:lvlJc w:val="left"/>
      <w:pPr>
        <w:ind w:left="58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7A207D2">
      <w:start w:val="1"/>
      <w:numFmt w:val="lowerRoman"/>
      <w:lvlText w:val="%9"/>
      <w:lvlJc w:val="left"/>
      <w:pPr>
        <w:ind w:left="65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50" w15:restartNumberingAfterBreak="0">
    <w:nsid w:val="5C112F63"/>
    <w:multiLevelType w:val="hybridMultilevel"/>
    <w:tmpl w:val="69B4BB50"/>
    <w:lvl w:ilvl="0" w:tplc="80B4F72C">
      <w:start w:val="1"/>
      <w:numFmt w:val="lowerLetter"/>
      <w:lvlText w:val="%1)"/>
      <w:lvlJc w:val="left"/>
      <w:pPr>
        <w:ind w:left="720" w:hanging="360"/>
      </w:pPr>
      <w:rPr>
        <w:rFonts w:ascii="Garamond" w:eastAsia="Times New Roman" w:hAnsi="Garamond" w:cs="Times New Roman" w:hint="default"/>
        <w:b w:val="0"/>
        <w:i w:val="0"/>
        <w:strike w:val="0"/>
        <w:dstrike w:val="0"/>
        <w:color w:val="000000"/>
        <w:sz w:val="24"/>
        <w:szCs w:val="24"/>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15:restartNumberingAfterBreak="0">
    <w:nsid w:val="5CC65461"/>
    <w:multiLevelType w:val="hybridMultilevel"/>
    <w:tmpl w:val="9F1ECB50"/>
    <w:lvl w:ilvl="0" w:tplc="B7B63540">
      <w:start w:val="1"/>
      <w:numFmt w:val="lowerLetter"/>
      <w:lvlText w:val="%1)"/>
      <w:lvlJc w:val="left"/>
      <w:pPr>
        <w:ind w:left="720" w:hanging="360"/>
      </w:pPr>
      <w:rPr>
        <w:rFonts w:ascii="Garamond" w:eastAsia="Calibri" w:hAnsi="Garamond" w:cs="Calibri" w:hint="default"/>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15:restartNumberingAfterBreak="0">
    <w:nsid w:val="5CEA4E6F"/>
    <w:multiLevelType w:val="hybridMultilevel"/>
    <w:tmpl w:val="7D2CA578"/>
    <w:lvl w:ilvl="0" w:tplc="FC98FBEC">
      <w:start w:val="1"/>
      <w:numFmt w:val="lowerLetter"/>
      <w:lvlText w:val="%1)"/>
      <w:lvlJc w:val="left"/>
      <w:pPr>
        <w:ind w:left="720" w:hanging="360"/>
      </w:pPr>
      <w:rPr>
        <w:rFonts w:asciiTheme="majorHAnsi" w:eastAsia="Times New Roman" w:hAnsiTheme="majorHAnsi" w:cs="Times New Roman" w:hint="default"/>
        <w:b w:val="0"/>
        <w:i w:val="0"/>
        <w:strike w:val="0"/>
        <w:dstrike w:val="0"/>
        <w:color w:val="000000"/>
        <w:sz w:val="24"/>
        <w:szCs w:val="24"/>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5DB40792"/>
    <w:multiLevelType w:val="hybridMultilevel"/>
    <w:tmpl w:val="36C2FAD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4" w15:restartNumberingAfterBreak="0">
    <w:nsid w:val="5E1C2609"/>
    <w:multiLevelType w:val="hybridMultilevel"/>
    <w:tmpl w:val="A852FF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15:restartNumberingAfterBreak="0">
    <w:nsid w:val="5E774381"/>
    <w:multiLevelType w:val="hybridMultilevel"/>
    <w:tmpl w:val="D28E4BE6"/>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56" w15:restartNumberingAfterBreak="0">
    <w:nsid w:val="5E9F4055"/>
    <w:multiLevelType w:val="hybridMultilevel"/>
    <w:tmpl w:val="67082EC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5F771815"/>
    <w:multiLevelType w:val="hybridMultilevel"/>
    <w:tmpl w:val="459CCD6A"/>
    <w:lvl w:ilvl="0" w:tplc="FC98FBEC">
      <w:start w:val="1"/>
      <w:numFmt w:val="lowerLetter"/>
      <w:lvlText w:val="%1)"/>
      <w:lvlJc w:val="left"/>
      <w:pPr>
        <w:ind w:left="720" w:hanging="360"/>
      </w:pPr>
      <w:rPr>
        <w:rFonts w:asciiTheme="majorHAnsi" w:eastAsia="Times New Roman" w:hAnsiTheme="majorHAnsi" w:cs="Times New Roman" w:hint="default"/>
        <w:b w:val="0"/>
        <w:i w:val="0"/>
        <w:strike w:val="0"/>
        <w:dstrike w:val="0"/>
        <w:color w:val="000000"/>
        <w:sz w:val="24"/>
        <w:szCs w:val="24"/>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8" w15:restartNumberingAfterBreak="0">
    <w:nsid w:val="60B715CF"/>
    <w:multiLevelType w:val="hybridMultilevel"/>
    <w:tmpl w:val="043026AA"/>
    <w:lvl w:ilvl="0" w:tplc="7B3ABD0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F25826">
      <w:start w:val="1"/>
      <w:numFmt w:val="lowerLetter"/>
      <w:lvlText w:val="%2"/>
      <w:lvlJc w:val="left"/>
      <w:pPr>
        <w:ind w:left="7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68EA8C2">
      <w:start w:val="1"/>
      <w:numFmt w:val="lowerRoman"/>
      <w:lvlText w:val="%3"/>
      <w:lvlJc w:val="left"/>
      <w:pPr>
        <w:ind w:left="1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B4ED34">
      <w:start w:val="1"/>
      <w:numFmt w:val="decimal"/>
      <w:lvlRestart w:val="0"/>
      <w:lvlText w:val="%4)"/>
      <w:lvlJc w:val="left"/>
      <w:pPr>
        <w:ind w:left="1647"/>
      </w:pPr>
      <w:rPr>
        <w:rFonts w:asciiTheme="majorHAnsi" w:eastAsia="Times New Roman" w:hAnsiTheme="majorHAnsi" w:cs="Times New Roman" w:hint="default"/>
        <w:b w:val="0"/>
        <w:i w:val="0"/>
        <w:strike w:val="0"/>
        <w:dstrike w:val="0"/>
        <w:color w:val="000000"/>
        <w:sz w:val="24"/>
        <w:szCs w:val="24"/>
        <w:u w:val="none" w:color="000000"/>
        <w:bdr w:val="none" w:sz="0" w:space="0" w:color="auto"/>
        <w:shd w:val="clear" w:color="auto" w:fill="auto"/>
        <w:vertAlign w:val="baseline"/>
      </w:rPr>
    </w:lvl>
    <w:lvl w:ilvl="4" w:tplc="EE503586">
      <w:start w:val="1"/>
      <w:numFmt w:val="lowerLetter"/>
      <w:lvlText w:val="%5"/>
      <w:lvlJc w:val="left"/>
      <w:pPr>
        <w:ind w:left="22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9821EA">
      <w:start w:val="1"/>
      <w:numFmt w:val="lowerRoman"/>
      <w:lvlText w:val="%6"/>
      <w:lvlJc w:val="left"/>
      <w:pPr>
        <w:ind w:left="29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02BB06">
      <w:start w:val="1"/>
      <w:numFmt w:val="decimal"/>
      <w:lvlText w:val="%7"/>
      <w:lvlJc w:val="left"/>
      <w:pPr>
        <w:ind w:left="3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A438DE">
      <w:start w:val="1"/>
      <w:numFmt w:val="lowerLetter"/>
      <w:lvlText w:val="%8"/>
      <w:lvlJc w:val="left"/>
      <w:pPr>
        <w:ind w:left="4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52C94C">
      <w:start w:val="1"/>
      <w:numFmt w:val="lowerRoman"/>
      <w:lvlText w:val="%9"/>
      <w:lvlJc w:val="left"/>
      <w:pPr>
        <w:ind w:left="51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9" w15:restartNumberingAfterBreak="0">
    <w:nsid w:val="60E04D5B"/>
    <w:multiLevelType w:val="hybridMultilevel"/>
    <w:tmpl w:val="CC9648EE"/>
    <w:lvl w:ilvl="0" w:tplc="B7B63540">
      <w:start w:val="1"/>
      <w:numFmt w:val="lowerLetter"/>
      <w:lvlText w:val="%1)"/>
      <w:lvlJc w:val="left"/>
      <w:pPr>
        <w:ind w:left="720" w:hanging="360"/>
      </w:pPr>
      <w:rPr>
        <w:rFonts w:ascii="Garamond" w:eastAsia="Calibri" w:hAnsi="Garamond" w:cs="Calibri" w:hint="default"/>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0" w15:restartNumberingAfterBreak="0">
    <w:nsid w:val="60F442C6"/>
    <w:multiLevelType w:val="hybridMultilevel"/>
    <w:tmpl w:val="D22C721C"/>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61" w15:restartNumberingAfterBreak="0">
    <w:nsid w:val="61D16AE5"/>
    <w:multiLevelType w:val="hybridMultilevel"/>
    <w:tmpl w:val="7472B4DA"/>
    <w:lvl w:ilvl="0" w:tplc="128CDBD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1EF4DA">
      <w:start w:val="1"/>
      <w:numFmt w:val="lowerLetter"/>
      <w:lvlText w:val="%2"/>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3A2B22">
      <w:start w:val="1"/>
      <w:numFmt w:val="lowerRoman"/>
      <w:lvlText w:val="%3"/>
      <w:lvlJc w:val="left"/>
      <w:pPr>
        <w:ind w:left="10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38085A">
      <w:start w:val="1"/>
      <w:numFmt w:val="lowerLetter"/>
      <w:lvlRestart w:val="0"/>
      <w:lvlText w:val="%4)"/>
      <w:lvlJc w:val="left"/>
      <w:pPr>
        <w:ind w:left="145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F7E0FAA8">
      <w:start w:val="1"/>
      <w:numFmt w:val="lowerLetter"/>
      <w:lvlText w:val="%5"/>
      <w:lvlJc w:val="left"/>
      <w:pPr>
        <w:ind w:left="2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B680FC6">
      <w:start w:val="1"/>
      <w:numFmt w:val="lowerRoman"/>
      <w:lvlText w:val="%6"/>
      <w:lvlJc w:val="left"/>
      <w:pPr>
        <w:ind w:left="2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36E1D8C">
      <w:start w:val="1"/>
      <w:numFmt w:val="decimal"/>
      <w:lvlText w:val="%7"/>
      <w:lvlJc w:val="left"/>
      <w:pPr>
        <w:ind w:left="3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DAEC5A">
      <w:start w:val="1"/>
      <w:numFmt w:val="lowerLetter"/>
      <w:lvlText w:val="%8"/>
      <w:lvlJc w:val="left"/>
      <w:pPr>
        <w:ind w:left="42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D21D68">
      <w:start w:val="1"/>
      <w:numFmt w:val="lowerRoman"/>
      <w:lvlText w:val="%9"/>
      <w:lvlJc w:val="left"/>
      <w:pPr>
        <w:ind w:left="50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2" w15:restartNumberingAfterBreak="0">
    <w:nsid w:val="6267492B"/>
    <w:multiLevelType w:val="hybridMultilevel"/>
    <w:tmpl w:val="622822E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3" w15:restartNumberingAfterBreak="0">
    <w:nsid w:val="629701A8"/>
    <w:multiLevelType w:val="multilevel"/>
    <w:tmpl w:val="56428A00"/>
    <w:lvl w:ilvl="0">
      <w:start w:val="1"/>
      <w:numFmt w:val="decimal"/>
      <w:lvlText w:val="%1."/>
      <w:lvlJc w:val="left"/>
      <w:pPr>
        <w:ind w:left="720" w:hanging="360"/>
      </w:pPr>
    </w:lvl>
    <w:lvl w:ilvl="1">
      <w:start w:val="2"/>
      <w:numFmt w:val="decimal"/>
      <w:isLgl/>
      <w:lvlText w:val="%1.%2."/>
      <w:lvlJc w:val="left"/>
      <w:pPr>
        <w:ind w:left="1020" w:hanging="66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4" w15:restartNumberingAfterBreak="0">
    <w:nsid w:val="62982918"/>
    <w:multiLevelType w:val="hybridMultilevel"/>
    <w:tmpl w:val="33C215CC"/>
    <w:lvl w:ilvl="0" w:tplc="388CA08E">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0C2526C">
      <w:start w:val="1"/>
      <w:numFmt w:val="lowerLetter"/>
      <w:lvlText w:val="%2"/>
      <w:lvlJc w:val="left"/>
      <w:pPr>
        <w:ind w:left="7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5E4437A">
      <w:start w:val="1"/>
      <w:numFmt w:val="lowerRoman"/>
      <w:lvlText w:val="%3"/>
      <w:lvlJc w:val="left"/>
      <w:pPr>
        <w:ind w:left="11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DEC1438">
      <w:start w:val="15"/>
      <w:numFmt w:val="decimal"/>
      <w:lvlRestart w:val="0"/>
      <w:lvlText w:val="%4)"/>
      <w:lvlJc w:val="left"/>
      <w:pPr>
        <w:ind w:left="1625"/>
      </w:pPr>
      <w:rPr>
        <w:rFonts w:asciiTheme="majorHAnsi" w:eastAsia="Times New Roman" w:hAnsiTheme="majorHAnsi" w:cs="Times New Roman" w:hint="default"/>
        <w:b w:val="0"/>
        <w:i w:val="0"/>
        <w:strike w:val="0"/>
        <w:dstrike w:val="0"/>
        <w:color w:val="000000"/>
        <w:sz w:val="24"/>
        <w:szCs w:val="24"/>
        <w:u w:val="none" w:color="000000"/>
        <w:bdr w:val="none" w:sz="0" w:space="0" w:color="auto"/>
        <w:shd w:val="clear" w:color="auto" w:fill="auto"/>
        <w:vertAlign w:val="baseline"/>
      </w:rPr>
    </w:lvl>
    <w:lvl w:ilvl="4" w:tplc="2F98624A">
      <w:start w:val="1"/>
      <w:numFmt w:val="lowerLetter"/>
      <w:lvlText w:val="%5"/>
      <w:lvlJc w:val="left"/>
      <w:pPr>
        <w:ind w:left="22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1301CC4">
      <w:start w:val="1"/>
      <w:numFmt w:val="lowerRoman"/>
      <w:lvlText w:val="%6"/>
      <w:lvlJc w:val="left"/>
      <w:pPr>
        <w:ind w:left="30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8FC920C">
      <w:start w:val="1"/>
      <w:numFmt w:val="decimal"/>
      <w:lvlText w:val="%7"/>
      <w:lvlJc w:val="left"/>
      <w:pPr>
        <w:ind w:left="37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0A279C6">
      <w:start w:val="1"/>
      <w:numFmt w:val="lowerLetter"/>
      <w:lvlText w:val="%8"/>
      <w:lvlJc w:val="left"/>
      <w:pPr>
        <w:ind w:left="44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AA4AE06">
      <w:start w:val="1"/>
      <w:numFmt w:val="lowerRoman"/>
      <w:lvlText w:val="%9"/>
      <w:lvlJc w:val="left"/>
      <w:pPr>
        <w:ind w:left="51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65" w15:restartNumberingAfterBreak="0">
    <w:nsid w:val="62B45994"/>
    <w:multiLevelType w:val="hybridMultilevel"/>
    <w:tmpl w:val="8304BA3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15:restartNumberingAfterBreak="0">
    <w:nsid w:val="62BE5AB6"/>
    <w:multiLevelType w:val="hybridMultilevel"/>
    <w:tmpl w:val="9C086D8E"/>
    <w:lvl w:ilvl="0" w:tplc="60CCE2E0">
      <w:start w:val="1"/>
      <w:numFmt w:val="lowerLetter"/>
      <w:lvlText w:val="%1)"/>
      <w:lvlJc w:val="left"/>
      <w:pPr>
        <w:ind w:left="1820"/>
      </w:pPr>
      <w:rPr>
        <w:rFonts w:ascii="Garamond" w:eastAsia="Times New Roman" w:hAnsi="Garamond" w:cs="Times New Roman" w:hint="default"/>
        <w:b w:val="0"/>
        <w:i w:val="0"/>
        <w:strike w:val="0"/>
        <w:dstrike w:val="0"/>
        <w:color w:val="000000"/>
        <w:sz w:val="24"/>
        <w:szCs w:val="24"/>
        <w:u w:val="none" w:color="000000"/>
        <w:bdr w:val="none" w:sz="0" w:space="0" w:color="auto"/>
        <w:shd w:val="clear" w:color="auto" w:fill="auto"/>
        <w:vertAlign w:val="baseline"/>
      </w:rPr>
    </w:lvl>
    <w:lvl w:ilvl="1" w:tplc="EE6AFFDE">
      <w:start w:val="1"/>
      <w:numFmt w:val="lowerLetter"/>
      <w:lvlText w:val="%2"/>
      <w:lvlJc w:val="left"/>
      <w:pPr>
        <w:ind w:left="247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F50F17A">
      <w:start w:val="1"/>
      <w:numFmt w:val="lowerRoman"/>
      <w:lvlText w:val="%3"/>
      <w:lvlJc w:val="left"/>
      <w:pPr>
        <w:ind w:left="319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FC2EEBC">
      <w:start w:val="1"/>
      <w:numFmt w:val="decimal"/>
      <w:lvlText w:val="%4"/>
      <w:lvlJc w:val="left"/>
      <w:pPr>
        <w:ind w:left="391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48E8CA4">
      <w:start w:val="1"/>
      <w:numFmt w:val="lowerLetter"/>
      <w:lvlText w:val="%5"/>
      <w:lvlJc w:val="left"/>
      <w:pPr>
        <w:ind w:left="463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3665250">
      <w:start w:val="1"/>
      <w:numFmt w:val="lowerRoman"/>
      <w:lvlText w:val="%6"/>
      <w:lvlJc w:val="left"/>
      <w:pPr>
        <w:ind w:left="535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0F2DF04">
      <w:start w:val="1"/>
      <w:numFmt w:val="decimal"/>
      <w:lvlText w:val="%7"/>
      <w:lvlJc w:val="left"/>
      <w:pPr>
        <w:ind w:left="607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5E8836A">
      <w:start w:val="1"/>
      <w:numFmt w:val="lowerLetter"/>
      <w:lvlText w:val="%8"/>
      <w:lvlJc w:val="left"/>
      <w:pPr>
        <w:ind w:left="679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3782858">
      <w:start w:val="1"/>
      <w:numFmt w:val="lowerRoman"/>
      <w:lvlText w:val="%9"/>
      <w:lvlJc w:val="left"/>
      <w:pPr>
        <w:ind w:left="751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67" w15:restartNumberingAfterBreak="0">
    <w:nsid w:val="639D3F43"/>
    <w:multiLevelType w:val="hybridMultilevel"/>
    <w:tmpl w:val="62306B5A"/>
    <w:lvl w:ilvl="0" w:tplc="CA48AC0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24BF94">
      <w:start w:val="1"/>
      <w:numFmt w:val="lowerLetter"/>
      <w:lvlText w:val="%2"/>
      <w:lvlJc w:val="left"/>
      <w:pPr>
        <w:ind w:left="7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6B6ADC0">
      <w:start w:val="1"/>
      <w:numFmt w:val="lowerRoman"/>
      <w:lvlText w:val="%3"/>
      <w:lvlJc w:val="left"/>
      <w:pPr>
        <w:ind w:left="11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72871B4">
      <w:start w:val="1"/>
      <w:numFmt w:val="lowerLetter"/>
      <w:lvlRestart w:val="0"/>
      <w:lvlText w:val="%4)"/>
      <w:lvlJc w:val="left"/>
      <w:pPr>
        <w:ind w:left="1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D26320">
      <w:start w:val="1"/>
      <w:numFmt w:val="lowerLetter"/>
      <w:lvlText w:val="%5"/>
      <w:lvlJc w:val="left"/>
      <w:pPr>
        <w:ind w:left="2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3C56F6">
      <w:start w:val="1"/>
      <w:numFmt w:val="lowerRoman"/>
      <w:lvlText w:val="%6"/>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FC71A4">
      <w:start w:val="1"/>
      <w:numFmt w:val="decimal"/>
      <w:lvlText w:val="%7"/>
      <w:lvlJc w:val="left"/>
      <w:pPr>
        <w:ind w:left="3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E9E2CA8">
      <w:start w:val="1"/>
      <w:numFmt w:val="lowerLetter"/>
      <w:lvlText w:val="%8"/>
      <w:lvlJc w:val="left"/>
      <w:pPr>
        <w:ind w:left="4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0E5DD0">
      <w:start w:val="1"/>
      <w:numFmt w:val="lowerRoman"/>
      <w:lvlText w:val="%9"/>
      <w:lvlJc w:val="left"/>
      <w:pPr>
        <w:ind w:left="5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8" w15:restartNumberingAfterBreak="0">
    <w:nsid w:val="644A44EC"/>
    <w:multiLevelType w:val="hybridMultilevel"/>
    <w:tmpl w:val="852C7F4A"/>
    <w:lvl w:ilvl="0" w:tplc="80B4F72C">
      <w:start w:val="1"/>
      <w:numFmt w:val="lowerLetter"/>
      <w:lvlText w:val="%1)"/>
      <w:lvlJc w:val="left"/>
      <w:pPr>
        <w:ind w:left="1068" w:hanging="360"/>
      </w:pPr>
      <w:rPr>
        <w:rFonts w:ascii="Garamond" w:eastAsia="Times New Roman" w:hAnsi="Garamond" w:cs="Times New Roman"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69" w15:restartNumberingAfterBreak="0">
    <w:nsid w:val="64944CF5"/>
    <w:multiLevelType w:val="hybridMultilevel"/>
    <w:tmpl w:val="2454F950"/>
    <w:lvl w:ilvl="0" w:tplc="80B4F72C">
      <w:start w:val="1"/>
      <w:numFmt w:val="lowerLetter"/>
      <w:lvlText w:val="%1)"/>
      <w:lvlJc w:val="left"/>
      <w:pPr>
        <w:ind w:left="720" w:hanging="360"/>
      </w:pPr>
      <w:rPr>
        <w:rFonts w:ascii="Garamond" w:eastAsia="Times New Roman" w:hAnsi="Garamond" w:cs="Times New Roman" w:hint="default"/>
        <w:b w:val="0"/>
        <w:i w:val="0"/>
        <w:strike w:val="0"/>
        <w:dstrike w:val="0"/>
        <w:color w:val="000000"/>
        <w:sz w:val="24"/>
        <w:szCs w:val="24"/>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0" w15:restartNumberingAfterBreak="0">
    <w:nsid w:val="64D469F5"/>
    <w:multiLevelType w:val="hybridMultilevel"/>
    <w:tmpl w:val="61E04204"/>
    <w:lvl w:ilvl="0" w:tplc="241212A0">
      <w:start w:val="1"/>
      <w:numFmt w:val="decimal"/>
      <w:lvlText w:val="%1."/>
      <w:lvlJc w:val="left"/>
      <w:pPr>
        <w:ind w:left="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C5ED206">
      <w:start w:val="1"/>
      <w:numFmt w:val="lowerLetter"/>
      <w:lvlText w:val="%2"/>
      <w:lvlJc w:val="left"/>
      <w:pPr>
        <w:ind w:left="10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A66E236">
      <w:start w:val="1"/>
      <w:numFmt w:val="lowerRoman"/>
      <w:lvlText w:val="%3"/>
      <w:lvlJc w:val="left"/>
      <w:pPr>
        <w:ind w:left="18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DD89E50">
      <w:start w:val="1"/>
      <w:numFmt w:val="decimal"/>
      <w:lvlText w:val="%4"/>
      <w:lvlJc w:val="left"/>
      <w:pPr>
        <w:ind w:left="25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12E8DDA">
      <w:start w:val="1"/>
      <w:numFmt w:val="lowerLetter"/>
      <w:lvlText w:val="%5"/>
      <w:lvlJc w:val="left"/>
      <w:pPr>
        <w:ind w:left="32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10A5096">
      <w:start w:val="1"/>
      <w:numFmt w:val="lowerRoman"/>
      <w:lvlText w:val="%6"/>
      <w:lvlJc w:val="left"/>
      <w:pPr>
        <w:ind w:left="39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C768F8E">
      <w:start w:val="1"/>
      <w:numFmt w:val="decimal"/>
      <w:lvlText w:val="%7"/>
      <w:lvlJc w:val="left"/>
      <w:pPr>
        <w:ind w:left="46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050A154">
      <w:start w:val="1"/>
      <w:numFmt w:val="lowerLetter"/>
      <w:lvlText w:val="%8"/>
      <w:lvlJc w:val="left"/>
      <w:pPr>
        <w:ind w:left="54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15CF2B4">
      <w:start w:val="1"/>
      <w:numFmt w:val="lowerRoman"/>
      <w:lvlText w:val="%9"/>
      <w:lvlJc w:val="left"/>
      <w:pPr>
        <w:ind w:left="6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1" w15:restartNumberingAfterBreak="0">
    <w:nsid w:val="658558F9"/>
    <w:multiLevelType w:val="multilevel"/>
    <w:tmpl w:val="0AA842BA"/>
    <w:styleLink w:val="Biecalista3"/>
    <w:lvl w:ilvl="0">
      <w:start w:val="6"/>
      <w:numFmt w:val="upperRoman"/>
      <w:lvlText w:val="%1."/>
      <w:lvlJc w:val="left"/>
      <w:pPr>
        <w:ind w:left="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1190"/>
      </w:pPr>
      <w:rPr>
        <w:rFonts w:ascii="Times New Roman" w:eastAsia="Times New Roman" w:hAnsi="Times New Roman" w:cs="Times New Roman"/>
        <w:b/>
        <w:bCs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13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lowerLetter"/>
      <w:lvlText w:val="%4)"/>
      <w:lvlJc w:val="left"/>
      <w:pPr>
        <w:ind w:left="154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start w:val="1"/>
      <w:numFmt w:val="lowerLetter"/>
      <w:lvlText w:val="%5"/>
      <w:lvlJc w:val="left"/>
      <w:pPr>
        <w:ind w:left="21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287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59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31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03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72" w15:restartNumberingAfterBreak="0">
    <w:nsid w:val="66510023"/>
    <w:multiLevelType w:val="hybridMultilevel"/>
    <w:tmpl w:val="FA427AA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15:restartNumberingAfterBreak="0">
    <w:nsid w:val="66790448"/>
    <w:multiLevelType w:val="hybridMultilevel"/>
    <w:tmpl w:val="D716F2F8"/>
    <w:lvl w:ilvl="0" w:tplc="04150017">
      <w:start w:val="1"/>
      <w:numFmt w:val="lowerLetter"/>
      <w:lvlText w:val="%1)"/>
      <w:lvlJc w:val="left"/>
      <w:pPr>
        <w:ind w:left="1838" w:hanging="360"/>
      </w:pPr>
    </w:lvl>
    <w:lvl w:ilvl="1" w:tplc="04150019" w:tentative="1">
      <w:start w:val="1"/>
      <w:numFmt w:val="lowerLetter"/>
      <w:lvlText w:val="%2."/>
      <w:lvlJc w:val="left"/>
      <w:pPr>
        <w:ind w:left="2558" w:hanging="360"/>
      </w:pPr>
    </w:lvl>
    <w:lvl w:ilvl="2" w:tplc="0415001B" w:tentative="1">
      <w:start w:val="1"/>
      <w:numFmt w:val="lowerRoman"/>
      <w:lvlText w:val="%3."/>
      <w:lvlJc w:val="right"/>
      <w:pPr>
        <w:ind w:left="3278" w:hanging="180"/>
      </w:pPr>
    </w:lvl>
    <w:lvl w:ilvl="3" w:tplc="0415000F" w:tentative="1">
      <w:start w:val="1"/>
      <w:numFmt w:val="decimal"/>
      <w:lvlText w:val="%4."/>
      <w:lvlJc w:val="left"/>
      <w:pPr>
        <w:ind w:left="3998" w:hanging="360"/>
      </w:pPr>
    </w:lvl>
    <w:lvl w:ilvl="4" w:tplc="04150019" w:tentative="1">
      <w:start w:val="1"/>
      <w:numFmt w:val="lowerLetter"/>
      <w:lvlText w:val="%5."/>
      <w:lvlJc w:val="left"/>
      <w:pPr>
        <w:ind w:left="4718" w:hanging="360"/>
      </w:pPr>
    </w:lvl>
    <w:lvl w:ilvl="5" w:tplc="0415001B" w:tentative="1">
      <w:start w:val="1"/>
      <w:numFmt w:val="lowerRoman"/>
      <w:lvlText w:val="%6."/>
      <w:lvlJc w:val="right"/>
      <w:pPr>
        <w:ind w:left="5438" w:hanging="180"/>
      </w:pPr>
    </w:lvl>
    <w:lvl w:ilvl="6" w:tplc="0415000F" w:tentative="1">
      <w:start w:val="1"/>
      <w:numFmt w:val="decimal"/>
      <w:lvlText w:val="%7."/>
      <w:lvlJc w:val="left"/>
      <w:pPr>
        <w:ind w:left="6158" w:hanging="360"/>
      </w:pPr>
    </w:lvl>
    <w:lvl w:ilvl="7" w:tplc="04150019" w:tentative="1">
      <w:start w:val="1"/>
      <w:numFmt w:val="lowerLetter"/>
      <w:lvlText w:val="%8."/>
      <w:lvlJc w:val="left"/>
      <w:pPr>
        <w:ind w:left="6878" w:hanging="360"/>
      </w:pPr>
    </w:lvl>
    <w:lvl w:ilvl="8" w:tplc="0415001B" w:tentative="1">
      <w:start w:val="1"/>
      <w:numFmt w:val="lowerRoman"/>
      <w:lvlText w:val="%9."/>
      <w:lvlJc w:val="right"/>
      <w:pPr>
        <w:ind w:left="7598" w:hanging="180"/>
      </w:pPr>
    </w:lvl>
  </w:abstractNum>
  <w:abstractNum w:abstractNumId="174" w15:restartNumberingAfterBreak="0">
    <w:nsid w:val="669E7AA0"/>
    <w:multiLevelType w:val="hybridMultilevel"/>
    <w:tmpl w:val="5B7C1354"/>
    <w:lvl w:ilvl="0" w:tplc="E1589804">
      <w:start w:val="1"/>
      <w:numFmt w:val="lowerLetter"/>
      <w:lvlText w:val="%1)"/>
      <w:lvlJc w:val="left"/>
      <w:pPr>
        <w:ind w:left="14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42E8D0">
      <w:start w:val="1"/>
      <w:numFmt w:val="lowerLetter"/>
      <w:lvlText w:val="%2"/>
      <w:lvlJc w:val="left"/>
      <w:pPr>
        <w:ind w:left="22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C814D8">
      <w:start w:val="1"/>
      <w:numFmt w:val="lowerRoman"/>
      <w:lvlText w:val="%3"/>
      <w:lvlJc w:val="left"/>
      <w:pPr>
        <w:ind w:left="2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9A05D94">
      <w:start w:val="1"/>
      <w:numFmt w:val="decimal"/>
      <w:lvlText w:val="%4"/>
      <w:lvlJc w:val="left"/>
      <w:pPr>
        <w:ind w:left="3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C0A6FE">
      <w:start w:val="1"/>
      <w:numFmt w:val="lowerLetter"/>
      <w:lvlText w:val="%5"/>
      <w:lvlJc w:val="left"/>
      <w:pPr>
        <w:ind w:left="4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E4EF10">
      <w:start w:val="1"/>
      <w:numFmt w:val="lowerRoman"/>
      <w:lvlText w:val="%6"/>
      <w:lvlJc w:val="left"/>
      <w:pPr>
        <w:ind w:left="5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AE8642">
      <w:start w:val="1"/>
      <w:numFmt w:val="decimal"/>
      <w:lvlText w:val="%7"/>
      <w:lvlJc w:val="left"/>
      <w:pPr>
        <w:ind w:left="5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8494F0">
      <w:start w:val="1"/>
      <w:numFmt w:val="lowerLetter"/>
      <w:lvlText w:val="%8"/>
      <w:lvlJc w:val="left"/>
      <w:pPr>
        <w:ind w:left="6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465056">
      <w:start w:val="1"/>
      <w:numFmt w:val="lowerRoman"/>
      <w:lvlText w:val="%9"/>
      <w:lvlJc w:val="left"/>
      <w:pPr>
        <w:ind w:left="7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5" w15:restartNumberingAfterBreak="0">
    <w:nsid w:val="677837C2"/>
    <w:multiLevelType w:val="hybridMultilevel"/>
    <w:tmpl w:val="809C7CCC"/>
    <w:lvl w:ilvl="0" w:tplc="FC98FBEC">
      <w:start w:val="1"/>
      <w:numFmt w:val="lowerLetter"/>
      <w:lvlText w:val="%1)"/>
      <w:lvlJc w:val="left"/>
      <w:pPr>
        <w:ind w:left="720" w:hanging="360"/>
      </w:pPr>
      <w:rPr>
        <w:rFonts w:asciiTheme="majorHAnsi" w:eastAsia="Times New Roman" w:hAnsiTheme="majorHAnsi" w:cs="Times New Roman" w:hint="default"/>
        <w:b w:val="0"/>
        <w:i w:val="0"/>
        <w:strike w:val="0"/>
        <w:dstrike w:val="0"/>
        <w:color w:val="000000"/>
        <w:sz w:val="24"/>
        <w:szCs w:val="24"/>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6" w15:restartNumberingAfterBreak="0">
    <w:nsid w:val="67AA3714"/>
    <w:multiLevelType w:val="hybridMultilevel"/>
    <w:tmpl w:val="7256E48A"/>
    <w:lvl w:ilvl="0" w:tplc="3DD20756">
      <w:start w:val="1"/>
      <w:numFmt w:val="lowerLetter"/>
      <w:lvlText w:val="%1)"/>
      <w:lvlJc w:val="left"/>
      <w:pPr>
        <w:ind w:left="1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56A6F0">
      <w:start w:val="1"/>
      <w:numFmt w:val="lowerLetter"/>
      <w:lvlText w:val="%2"/>
      <w:lvlJc w:val="left"/>
      <w:pPr>
        <w:ind w:left="2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A8D618">
      <w:start w:val="1"/>
      <w:numFmt w:val="lowerRoman"/>
      <w:lvlText w:val="%3"/>
      <w:lvlJc w:val="left"/>
      <w:pPr>
        <w:ind w:left="3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DAE152">
      <w:start w:val="1"/>
      <w:numFmt w:val="decimal"/>
      <w:lvlText w:val="%4"/>
      <w:lvlJc w:val="left"/>
      <w:pPr>
        <w:ind w:left="3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AE6B20">
      <w:start w:val="1"/>
      <w:numFmt w:val="lowerLetter"/>
      <w:lvlText w:val="%5"/>
      <w:lvlJc w:val="left"/>
      <w:pPr>
        <w:ind w:left="4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743D66">
      <w:start w:val="1"/>
      <w:numFmt w:val="lowerRoman"/>
      <w:lvlText w:val="%6"/>
      <w:lvlJc w:val="left"/>
      <w:pPr>
        <w:ind w:left="5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946D48">
      <w:start w:val="1"/>
      <w:numFmt w:val="decimal"/>
      <w:lvlText w:val="%7"/>
      <w:lvlJc w:val="left"/>
      <w:pPr>
        <w:ind w:left="6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901E00">
      <w:start w:val="1"/>
      <w:numFmt w:val="lowerLetter"/>
      <w:lvlText w:val="%8"/>
      <w:lvlJc w:val="left"/>
      <w:pPr>
        <w:ind w:left="6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56B352">
      <w:start w:val="1"/>
      <w:numFmt w:val="lowerRoman"/>
      <w:lvlText w:val="%9"/>
      <w:lvlJc w:val="left"/>
      <w:pPr>
        <w:ind w:left="7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7" w15:restartNumberingAfterBreak="0">
    <w:nsid w:val="67FC7867"/>
    <w:multiLevelType w:val="hybridMultilevel"/>
    <w:tmpl w:val="A866D3D4"/>
    <w:lvl w:ilvl="0" w:tplc="FFFFFFFF">
      <w:start w:val="1"/>
      <w:numFmt w:val="lowerLetter"/>
      <w:lvlText w:val="%1)"/>
      <w:lvlJc w:val="left"/>
      <w:pPr>
        <w:ind w:left="927" w:hanging="360"/>
      </w:p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78" w15:restartNumberingAfterBreak="0">
    <w:nsid w:val="682530DC"/>
    <w:multiLevelType w:val="hybridMultilevel"/>
    <w:tmpl w:val="7E261446"/>
    <w:lvl w:ilvl="0" w:tplc="04150011">
      <w:start w:val="1"/>
      <w:numFmt w:val="decimal"/>
      <w:lvlText w:val="%1)"/>
      <w:lvlJc w:val="left"/>
      <w:pPr>
        <w:ind w:left="927" w:hanging="360"/>
      </w:pPr>
      <w:rPr>
        <w:rFonts w:hint="default"/>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79" w15:restartNumberingAfterBreak="0">
    <w:nsid w:val="686D76F1"/>
    <w:multiLevelType w:val="hybridMultilevel"/>
    <w:tmpl w:val="9B988A3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0" w15:restartNumberingAfterBreak="0">
    <w:nsid w:val="68943636"/>
    <w:multiLevelType w:val="hybridMultilevel"/>
    <w:tmpl w:val="F496B7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15:restartNumberingAfterBreak="0">
    <w:nsid w:val="68F42A66"/>
    <w:multiLevelType w:val="hybridMultilevel"/>
    <w:tmpl w:val="7B56142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2" w15:restartNumberingAfterBreak="0">
    <w:nsid w:val="6A3C4B92"/>
    <w:multiLevelType w:val="hybridMultilevel"/>
    <w:tmpl w:val="C890B976"/>
    <w:lvl w:ilvl="0" w:tplc="51D603D6">
      <w:start w:val="1"/>
      <w:numFmt w:val="lowerLetter"/>
      <w:lvlText w:val="%1)"/>
      <w:lvlJc w:val="left"/>
      <w:pPr>
        <w:ind w:left="1817"/>
      </w:pPr>
      <w:rPr>
        <w:rFonts w:ascii="Garamond" w:eastAsia="Times New Roman" w:hAnsi="Garamond" w:cs="Times New Roman" w:hint="default"/>
        <w:b w:val="0"/>
        <w:i w:val="0"/>
        <w:strike w:val="0"/>
        <w:dstrike w:val="0"/>
        <w:color w:val="000000"/>
        <w:sz w:val="24"/>
        <w:szCs w:val="24"/>
        <w:u w:val="none" w:color="000000"/>
        <w:bdr w:val="none" w:sz="0" w:space="0" w:color="auto"/>
        <w:shd w:val="clear" w:color="auto" w:fill="auto"/>
        <w:vertAlign w:val="baseline"/>
      </w:rPr>
    </w:lvl>
    <w:lvl w:ilvl="1" w:tplc="5BC8766E">
      <w:start w:val="1"/>
      <w:numFmt w:val="lowerLetter"/>
      <w:lvlText w:val="%2"/>
      <w:lvlJc w:val="left"/>
      <w:pPr>
        <w:ind w:left="247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930596C">
      <w:start w:val="1"/>
      <w:numFmt w:val="lowerRoman"/>
      <w:lvlText w:val="%3"/>
      <w:lvlJc w:val="left"/>
      <w:pPr>
        <w:ind w:left="319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548F06E">
      <w:start w:val="1"/>
      <w:numFmt w:val="decimal"/>
      <w:lvlText w:val="%4"/>
      <w:lvlJc w:val="left"/>
      <w:pPr>
        <w:ind w:left="391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6B23DBC">
      <w:start w:val="1"/>
      <w:numFmt w:val="lowerLetter"/>
      <w:lvlText w:val="%5"/>
      <w:lvlJc w:val="left"/>
      <w:pPr>
        <w:ind w:left="463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482A99E">
      <w:start w:val="1"/>
      <w:numFmt w:val="lowerRoman"/>
      <w:lvlText w:val="%6"/>
      <w:lvlJc w:val="left"/>
      <w:pPr>
        <w:ind w:left="53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C38E88E">
      <w:start w:val="1"/>
      <w:numFmt w:val="decimal"/>
      <w:lvlText w:val="%7"/>
      <w:lvlJc w:val="left"/>
      <w:pPr>
        <w:ind w:left="607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B706192">
      <w:start w:val="1"/>
      <w:numFmt w:val="lowerLetter"/>
      <w:lvlText w:val="%8"/>
      <w:lvlJc w:val="left"/>
      <w:pPr>
        <w:ind w:left="679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BD46D18">
      <w:start w:val="1"/>
      <w:numFmt w:val="lowerRoman"/>
      <w:lvlText w:val="%9"/>
      <w:lvlJc w:val="left"/>
      <w:pPr>
        <w:ind w:left="751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83" w15:restartNumberingAfterBreak="0">
    <w:nsid w:val="6A4943BA"/>
    <w:multiLevelType w:val="hybridMultilevel"/>
    <w:tmpl w:val="FB5CB91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15:restartNumberingAfterBreak="0">
    <w:nsid w:val="6B72459B"/>
    <w:multiLevelType w:val="hybridMultilevel"/>
    <w:tmpl w:val="11682A9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5" w15:restartNumberingAfterBreak="0">
    <w:nsid w:val="6E1C70E5"/>
    <w:multiLevelType w:val="hybridMultilevel"/>
    <w:tmpl w:val="A09E5BF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6" w15:restartNumberingAfterBreak="0">
    <w:nsid w:val="6F276887"/>
    <w:multiLevelType w:val="hybridMultilevel"/>
    <w:tmpl w:val="BFBAD794"/>
    <w:lvl w:ilvl="0" w:tplc="FC98FBEC">
      <w:start w:val="1"/>
      <w:numFmt w:val="lowerLetter"/>
      <w:lvlText w:val="%1)"/>
      <w:lvlJc w:val="left"/>
      <w:pPr>
        <w:ind w:left="720" w:hanging="360"/>
      </w:pPr>
      <w:rPr>
        <w:rFonts w:asciiTheme="majorHAnsi" w:eastAsia="Times New Roman" w:hAnsiTheme="majorHAnsi" w:cs="Times New Roman" w:hint="default"/>
        <w:b w:val="0"/>
        <w:i w:val="0"/>
        <w:strike w:val="0"/>
        <w:dstrike w:val="0"/>
        <w:color w:val="000000"/>
        <w:sz w:val="24"/>
        <w:szCs w:val="24"/>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7" w15:restartNumberingAfterBreak="0">
    <w:nsid w:val="6FC528FD"/>
    <w:multiLevelType w:val="hybridMultilevel"/>
    <w:tmpl w:val="721CF722"/>
    <w:lvl w:ilvl="0" w:tplc="FC98FBEC">
      <w:start w:val="1"/>
      <w:numFmt w:val="lowerLetter"/>
      <w:lvlText w:val="%1)"/>
      <w:lvlJc w:val="left"/>
      <w:pPr>
        <w:ind w:left="720" w:hanging="360"/>
      </w:pPr>
      <w:rPr>
        <w:rFonts w:asciiTheme="majorHAnsi" w:eastAsia="Times New Roman" w:hAnsiTheme="majorHAnsi" w:cs="Times New Roman" w:hint="default"/>
        <w:b w:val="0"/>
        <w:i w:val="0"/>
        <w:strike w:val="0"/>
        <w:dstrike w:val="0"/>
        <w:color w:val="000000"/>
        <w:sz w:val="24"/>
        <w:szCs w:val="24"/>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15:restartNumberingAfterBreak="0">
    <w:nsid w:val="6FCB047A"/>
    <w:multiLevelType w:val="multilevel"/>
    <w:tmpl w:val="A1EA39CC"/>
    <w:styleLink w:val="Biecalista8"/>
    <w:lvl w:ilvl="0">
      <w:start w:val="1"/>
      <w:numFmt w:val="decimal"/>
      <w:lvlText w:val="%1)"/>
      <w:lvlJc w:val="left"/>
      <w:pPr>
        <w:ind w:left="1611"/>
      </w:pPr>
      <w:rPr>
        <w:rFonts w:ascii="Garamond" w:eastAsia="Times New Roman" w:hAnsi="Garamond" w:cs="Times New Roman" w:hint="default"/>
        <w:b w:val="0"/>
        <w:i w:val="0"/>
        <w:strike w:val="0"/>
        <w:dstrike w:val="0"/>
        <w:color w:val="000000"/>
        <w:sz w:val="24"/>
        <w:szCs w:val="24"/>
        <w:u w:val="none" w:color="000000"/>
        <w:bdr w:val="none" w:sz="0" w:space="0" w:color="auto"/>
        <w:shd w:val="clear" w:color="auto" w:fill="auto"/>
        <w:vertAlign w:val="baseline"/>
      </w:rPr>
    </w:lvl>
    <w:lvl w:ilvl="1">
      <w:start w:val="1"/>
      <w:numFmt w:val="lowerLetter"/>
      <w:lvlText w:val="%2)"/>
      <w:lvlJc w:val="left"/>
      <w:pPr>
        <w:ind w:left="1474"/>
      </w:pPr>
      <w:rPr>
        <w:rFonts w:ascii="Garamond" w:eastAsia="Times New Roman" w:hAnsi="Garamond" w:cs="Times New Roman" w:hint="default"/>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22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29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36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44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51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58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65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89" w15:restartNumberingAfterBreak="0">
    <w:nsid w:val="71742D63"/>
    <w:multiLevelType w:val="hybridMultilevel"/>
    <w:tmpl w:val="F8543264"/>
    <w:lvl w:ilvl="0" w:tplc="B7B63540">
      <w:start w:val="1"/>
      <w:numFmt w:val="lowerLetter"/>
      <w:lvlText w:val="%1)"/>
      <w:lvlJc w:val="left"/>
      <w:pPr>
        <w:ind w:left="720" w:hanging="360"/>
      </w:pPr>
      <w:rPr>
        <w:rFonts w:ascii="Garamond" w:eastAsia="Calibri" w:hAnsi="Garamond" w:cs="Calibri" w:hint="default"/>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0" w15:restartNumberingAfterBreak="0">
    <w:nsid w:val="71F763A3"/>
    <w:multiLevelType w:val="hybridMultilevel"/>
    <w:tmpl w:val="11E6EE92"/>
    <w:lvl w:ilvl="0" w:tplc="B7B63540">
      <w:start w:val="1"/>
      <w:numFmt w:val="lowerLetter"/>
      <w:lvlText w:val="%1)"/>
      <w:lvlJc w:val="left"/>
      <w:pPr>
        <w:ind w:left="1068" w:hanging="360"/>
      </w:pPr>
      <w:rPr>
        <w:rFonts w:ascii="Garamond" w:eastAsia="Calibri" w:hAnsi="Garamond" w:cs="Calibri" w:hint="default"/>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91" w15:restartNumberingAfterBreak="0">
    <w:nsid w:val="7232280B"/>
    <w:multiLevelType w:val="hybridMultilevel"/>
    <w:tmpl w:val="DAB884B0"/>
    <w:lvl w:ilvl="0" w:tplc="FC98FBEC">
      <w:start w:val="1"/>
      <w:numFmt w:val="lowerLetter"/>
      <w:lvlText w:val="%1)"/>
      <w:lvlJc w:val="left"/>
      <w:pPr>
        <w:ind w:left="720" w:hanging="360"/>
      </w:pPr>
      <w:rPr>
        <w:rFonts w:asciiTheme="majorHAnsi" w:eastAsia="Times New Roman" w:hAnsiTheme="majorHAnsi" w:cs="Times New Roman" w:hint="default"/>
        <w:b w:val="0"/>
        <w:i w:val="0"/>
        <w:strike w:val="0"/>
        <w:dstrike w:val="0"/>
        <w:color w:val="000000"/>
        <w:sz w:val="24"/>
        <w:szCs w:val="24"/>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2" w15:restartNumberingAfterBreak="0">
    <w:nsid w:val="72864939"/>
    <w:multiLevelType w:val="hybridMultilevel"/>
    <w:tmpl w:val="C738512C"/>
    <w:lvl w:ilvl="0" w:tplc="80B4F72C">
      <w:start w:val="1"/>
      <w:numFmt w:val="lowerLetter"/>
      <w:lvlText w:val="%1)"/>
      <w:lvlJc w:val="left"/>
      <w:pPr>
        <w:ind w:left="720" w:hanging="360"/>
      </w:pPr>
      <w:rPr>
        <w:rFonts w:ascii="Garamond" w:eastAsia="Times New Roman" w:hAnsi="Garamond" w:cs="Times New Roman" w:hint="default"/>
        <w:b w:val="0"/>
        <w:i w:val="0"/>
        <w:strike w:val="0"/>
        <w:dstrike w:val="0"/>
        <w:color w:val="000000"/>
        <w:sz w:val="24"/>
        <w:szCs w:val="24"/>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3" w15:restartNumberingAfterBreak="0">
    <w:nsid w:val="72F8563B"/>
    <w:multiLevelType w:val="multilevel"/>
    <w:tmpl w:val="833E629C"/>
    <w:styleLink w:val="Biecalista4"/>
    <w:lvl w:ilvl="0">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1"/>
      <w:numFmt w:val="lowerLetter"/>
      <w:lvlText w:val="%2"/>
      <w:lvlJc w:val="left"/>
      <w:pPr>
        <w:ind w:left="110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lowerLetter"/>
      <w:lvlRestart w:val="0"/>
      <w:lvlText w:val="%3)"/>
      <w:lvlJc w:val="left"/>
      <w:pPr>
        <w:ind w:left="189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start w:val="1"/>
      <w:numFmt w:val="decimal"/>
      <w:lvlText w:val="%4"/>
      <w:lvlJc w:val="left"/>
      <w:pPr>
        <w:ind w:left="11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329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40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473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545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61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94" w15:restartNumberingAfterBreak="0">
    <w:nsid w:val="736D6ECB"/>
    <w:multiLevelType w:val="hybridMultilevel"/>
    <w:tmpl w:val="491AB95A"/>
    <w:lvl w:ilvl="0" w:tplc="80B4F72C">
      <w:start w:val="1"/>
      <w:numFmt w:val="lowerLetter"/>
      <w:lvlText w:val="%1)"/>
      <w:lvlJc w:val="left"/>
      <w:pPr>
        <w:ind w:left="720" w:hanging="360"/>
      </w:pPr>
      <w:rPr>
        <w:rFonts w:ascii="Garamond" w:eastAsia="Times New Roman" w:hAnsi="Garamond" w:cs="Times New Roman" w:hint="default"/>
        <w:b w:val="0"/>
        <w:i w:val="0"/>
        <w:strike w:val="0"/>
        <w:dstrike w:val="0"/>
        <w:color w:val="000000"/>
        <w:sz w:val="24"/>
        <w:szCs w:val="24"/>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740B1B5C"/>
    <w:multiLevelType w:val="hybridMultilevel"/>
    <w:tmpl w:val="9DC4E2A8"/>
    <w:lvl w:ilvl="0" w:tplc="B7B63540">
      <w:start w:val="1"/>
      <w:numFmt w:val="lowerLetter"/>
      <w:lvlText w:val="%1)"/>
      <w:lvlJc w:val="left"/>
      <w:pPr>
        <w:ind w:left="720" w:hanging="360"/>
      </w:pPr>
      <w:rPr>
        <w:rFonts w:ascii="Garamond" w:eastAsia="Calibri" w:hAnsi="Garamond" w:cs="Calibri" w:hint="default"/>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6" w15:restartNumberingAfterBreak="0">
    <w:nsid w:val="74F82AB6"/>
    <w:multiLevelType w:val="hybridMultilevel"/>
    <w:tmpl w:val="974E0B1C"/>
    <w:lvl w:ilvl="0" w:tplc="FC98FBEC">
      <w:start w:val="1"/>
      <w:numFmt w:val="lowerLetter"/>
      <w:lvlText w:val="%1)"/>
      <w:lvlJc w:val="left"/>
      <w:pPr>
        <w:ind w:left="720" w:hanging="360"/>
      </w:pPr>
      <w:rPr>
        <w:rFonts w:asciiTheme="majorHAnsi" w:eastAsia="Times New Roman" w:hAnsiTheme="majorHAnsi" w:cs="Times New Roman" w:hint="default"/>
        <w:b w:val="0"/>
        <w:i w:val="0"/>
        <w:strike w:val="0"/>
        <w:dstrike w:val="0"/>
        <w:color w:val="000000"/>
        <w:sz w:val="24"/>
        <w:szCs w:val="24"/>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7" w15:restartNumberingAfterBreak="0">
    <w:nsid w:val="75272E25"/>
    <w:multiLevelType w:val="hybridMultilevel"/>
    <w:tmpl w:val="0BAC0C5A"/>
    <w:lvl w:ilvl="0" w:tplc="B7B63540">
      <w:start w:val="1"/>
      <w:numFmt w:val="lowerLetter"/>
      <w:lvlText w:val="%1)"/>
      <w:lvlJc w:val="left"/>
      <w:pPr>
        <w:ind w:left="720" w:hanging="360"/>
      </w:pPr>
      <w:rPr>
        <w:rFonts w:ascii="Garamond" w:eastAsia="Calibri" w:hAnsi="Garamond" w:cs="Calibri" w:hint="default"/>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8" w15:restartNumberingAfterBreak="0">
    <w:nsid w:val="754A6B7B"/>
    <w:multiLevelType w:val="hybridMultilevel"/>
    <w:tmpl w:val="2CDE8DAC"/>
    <w:lvl w:ilvl="0" w:tplc="A32684C6">
      <w:start w:val="4"/>
      <w:numFmt w:val="decimal"/>
      <w:lvlText w:val="%1."/>
      <w:lvlJc w:val="left"/>
      <w:pPr>
        <w:ind w:left="4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6507744">
      <w:start w:val="1"/>
      <w:numFmt w:val="lowerLetter"/>
      <w:lvlText w:val="%2"/>
      <w:lvlJc w:val="left"/>
      <w:pPr>
        <w:ind w:left="11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BAA2A74">
      <w:start w:val="1"/>
      <w:numFmt w:val="lowerRoman"/>
      <w:lvlText w:val="%3"/>
      <w:lvlJc w:val="left"/>
      <w:pPr>
        <w:ind w:left="18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E74BF4A">
      <w:start w:val="1"/>
      <w:numFmt w:val="decimal"/>
      <w:lvlText w:val="%4"/>
      <w:lvlJc w:val="left"/>
      <w:pPr>
        <w:ind w:left="25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1DC7ABC">
      <w:start w:val="1"/>
      <w:numFmt w:val="lowerLetter"/>
      <w:lvlText w:val="%5"/>
      <w:lvlJc w:val="left"/>
      <w:pPr>
        <w:ind w:left="32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48C9C02">
      <w:start w:val="1"/>
      <w:numFmt w:val="lowerRoman"/>
      <w:lvlText w:val="%6"/>
      <w:lvlJc w:val="left"/>
      <w:pPr>
        <w:ind w:left="39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14686B8">
      <w:start w:val="1"/>
      <w:numFmt w:val="decimal"/>
      <w:lvlText w:val="%7"/>
      <w:lvlJc w:val="left"/>
      <w:pPr>
        <w:ind w:left="4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5BEB4C4">
      <w:start w:val="1"/>
      <w:numFmt w:val="lowerLetter"/>
      <w:lvlText w:val="%8"/>
      <w:lvlJc w:val="left"/>
      <w:pPr>
        <w:ind w:left="54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DC81638">
      <w:start w:val="1"/>
      <w:numFmt w:val="lowerRoman"/>
      <w:lvlText w:val="%9"/>
      <w:lvlJc w:val="left"/>
      <w:pPr>
        <w:ind w:left="61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9" w15:restartNumberingAfterBreak="0">
    <w:nsid w:val="75BD1F6E"/>
    <w:multiLevelType w:val="hybridMultilevel"/>
    <w:tmpl w:val="5590D4E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0" w15:restartNumberingAfterBreak="0">
    <w:nsid w:val="760C6BCC"/>
    <w:multiLevelType w:val="hybridMultilevel"/>
    <w:tmpl w:val="A8461354"/>
    <w:lvl w:ilvl="0" w:tplc="E89A135A">
      <w:start w:val="2"/>
      <w:numFmt w:val="lowerLetter"/>
      <w:lvlText w:val="%1)"/>
      <w:lvlJc w:val="left"/>
      <w:pPr>
        <w:ind w:left="14"/>
      </w:pPr>
      <w:rPr>
        <w:rFonts w:ascii="Garamond" w:eastAsia="Times New Roman" w:hAnsi="Garamond" w:cs="Times New Roman" w:hint="default"/>
        <w:b w:val="0"/>
        <w:i w:val="0"/>
        <w:strike w:val="0"/>
        <w:dstrike w:val="0"/>
        <w:color w:val="000000"/>
        <w:sz w:val="24"/>
        <w:szCs w:val="24"/>
        <w:u w:val="none" w:color="000000"/>
        <w:bdr w:val="none" w:sz="0" w:space="0" w:color="auto"/>
        <w:shd w:val="clear" w:color="auto" w:fill="auto"/>
        <w:vertAlign w:val="baseline"/>
      </w:rPr>
    </w:lvl>
    <w:lvl w:ilvl="1" w:tplc="728276D2">
      <w:start w:val="1"/>
      <w:numFmt w:val="lowerLetter"/>
      <w:lvlText w:val="%2"/>
      <w:lvlJc w:val="left"/>
      <w:pPr>
        <w:ind w:left="1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182ACC">
      <w:start w:val="1"/>
      <w:numFmt w:val="lowerRoman"/>
      <w:lvlText w:val="%3"/>
      <w:lvlJc w:val="left"/>
      <w:pPr>
        <w:ind w:left="18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8A28FA">
      <w:start w:val="1"/>
      <w:numFmt w:val="decimal"/>
      <w:lvlText w:val="%4"/>
      <w:lvlJc w:val="left"/>
      <w:pPr>
        <w:ind w:left="25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004AFC">
      <w:start w:val="1"/>
      <w:numFmt w:val="lowerLetter"/>
      <w:lvlText w:val="%5"/>
      <w:lvlJc w:val="left"/>
      <w:pPr>
        <w:ind w:left="3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F6FB72">
      <w:start w:val="1"/>
      <w:numFmt w:val="lowerRoman"/>
      <w:lvlText w:val="%6"/>
      <w:lvlJc w:val="left"/>
      <w:pPr>
        <w:ind w:left="40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70A124">
      <w:start w:val="1"/>
      <w:numFmt w:val="decimal"/>
      <w:lvlText w:val="%7"/>
      <w:lvlJc w:val="left"/>
      <w:pPr>
        <w:ind w:left="47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94A68E">
      <w:start w:val="1"/>
      <w:numFmt w:val="lowerLetter"/>
      <w:lvlText w:val="%8"/>
      <w:lvlJc w:val="left"/>
      <w:pPr>
        <w:ind w:left="54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FC721E">
      <w:start w:val="1"/>
      <w:numFmt w:val="lowerRoman"/>
      <w:lvlText w:val="%9"/>
      <w:lvlJc w:val="left"/>
      <w:pPr>
        <w:ind w:left="6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1" w15:restartNumberingAfterBreak="0">
    <w:nsid w:val="763117DA"/>
    <w:multiLevelType w:val="hybridMultilevel"/>
    <w:tmpl w:val="606468AE"/>
    <w:lvl w:ilvl="0" w:tplc="7428A756">
      <w:start w:val="1"/>
      <w:numFmt w:val="upperLetter"/>
      <w:lvlText w:val="%1."/>
      <w:lvlJc w:val="left"/>
      <w:pPr>
        <w:ind w:left="5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80A8FB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9B4AEA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05E94B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466511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E4AB55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C02F77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F28A9C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2BA503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2" w15:restartNumberingAfterBreak="0">
    <w:nsid w:val="766A229B"/>
    <w:multiLevelType w:val="hybridMultilevel"/>
    <w:tmpl w:val="A664CC30"/>
    <w:lvl w:ilvl="0" w:tplc="FB220924">
      <w:start w:val="2"/>
      <w:numFmt w:val="decimal"/>
      <w:lvlText w:val="%1)"/>
      <w:lvlJc w:val="left"/>
      <w:pPr>
        <w:ind w:left="993"/>
      </w:pPr>
      <w:rPr>
        <w:rFonts w:asciiTheme="majorHAnsi" w:eastAsia="Times New Roman" w:hAnsiTheme="majorHAnsi" w:cs="Times New Roman" w:hint="default"/>
        <w:b w:val="0"/>
        <w:i w:val="0"/>
        <w:strike w:val="0"/>
        <w:dstrike w:val="0"/>
        <w:color w:val="000000"/>
        <w:sz w:val="24"/>
        <w:szCs w:val="24"/>
        <w:u w:val="none" w:color="000000"/>
        <w:bdr w:val="none" w:sz="0" w:space="0" w:color="auto"/>
        <w:shd w:val="clear" w:color="auto" w:fill="auto"/>
        <w:vertAlign w:val="baseline"/>
      </w:rPr>
    </w:lvl>
    <w:lvl w:ilvl="1" w:tplc="196C8ED4">
      <w:start w:val="1"/>
      <w:numFmt w:val="lowerLetter"/>
      <w:lvlText w:val="%2"/>
      <w:lvlJc w:val="left"/>
      <w:pPr>
        <w:ind w:left="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84806C">
      <w:start w:val="1"/>
      <w:numFmt w:val="lowerRoman"/>
      <w:lvlText w:val="%3"/>
      <w:lvlJc w:val="left"/>
      <w:pPr>
        <w:ind w:left="15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D3EF738">
      <w:start w:val="1"/>
      <w:numFmt w:val="decimal"/>
      <w:lvlText w:val="%4"/>
      <w:lvlJc w:val="left"/>
      <w:pPr>
        <w:ind w:left="2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B43DD0">
      <w:start w:val="1"/>
      <w:numFmt w:val="lowerLetter"/>
      <w:lvlText w:val="%5"/>
      <w:lvlJc w:val="left"/>
      <w:pPr>
        <w:ind w:left="29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C211E6">
      <w:start w:val="1"/>
      <w:numFmt w:val="lowerRoman"/>
      <w:lvlText w:val="%6"/>
      <w:lvlJc w:val="left"/>
      <w:pPr>
        <w:ind w:left="3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DAAC54">
      <w:start w:val="1"/>
      <w:numFmt w:val="decimal"/>
      <w:lvlText w:val="%7"/>
      <w:lvlJc w:val="left"/>
      <w:pPr>
        <w:ind w:left="4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3A8A58">
      <w:start w:val="1"/>
      <w:numFmt w:val="lowerLetter"/>
      <w:lvlText w:val="%8"/>
      <w:lvlJc w:val="left"/>
      <w:pPr>
        <w:ind w:left="5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664802">
      <w:start w:val="1"/>
      <w:numFmt w:val="lowerRoman"/>
      <w:lvlText w:val="%9"/>
      <w:lvlJc w:val="left"/>
      <w:pPr>
        <w:ind w:left="58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3" w15:restartNumberingAfterBreak="0">
    <w:nsid w:val="76D93A79"/>
    <w:multiLevelType w:val="hybridMultilevel"/>
    <w:tmpl w:val="211EC746"/>
    <w:lvl w:ilvl="0" w:tplc="478E758E">
      <w:start w:val="1"/>
      <w:numFmt w:val="lowerLetter"/>
      <w:lvlText w:val="%1)"/>
      <w:lvlJc w:val="left"/>
      <w:pPr>
        <w:ind w:left="1640"/>
      </w:pPr>
      <w:rPr>
        <w:rFonts w:ascii="Garamond" w:eastAsia="Times New Roman" w:hAnsi="Garamond" w:cs="Times New Roman" w:hint="default"/>
        <w:b w:val="0"/>
        <w:i w:val="0"/>
        <w:strike w:val="0"/>
        <w:dstrike w:val="0"/>
        <w:color w:val="000000"/>
        <w:sz w:val="22"/>
        <w:szCs w:val="22"/>
        <w:u w:val="none" w:color="000000"/>
        <w:bdr w:val="none" w:sz="0" w:space="0" w:color="auto"/>
        <w:shd w:val="clear" w:color="auto" w:fill="auto"/>
        <w:vertAlign w:val="baseline"/>
      </w:rPr>
    </w:lvl>
    <w:lvl w:ilvl="1" w:tplc="57F26E72">
      <w:start w:val="1"/>
      <w:numFmt w:val="lowerLetter"/>
      <w:lvlText w:val="%2"/>
      <w:lvlJc w:val="left"/>
      <w:pPr>
        <w:ind w:left="234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534FC24">
      <w:start w:val="1"/>
      <w:numFmt w:val="lowerRoman"/>
      <w:lvlText w:val="%3"/>
      <w:lvlJc w:val="left"/>
      <w:pPr>
        <w:ind w:left="30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E9A3F28">
      <w:start w:val="1"/>
      <w:numFmt w:val="decimal"/>
      <w:lvlText w:val="%4"/>
      <w:lvlJc w:val="left"/>
      <w:pPr>
        <w:ind w:left="378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AA0B8B2">
      <w:start w:val="1"/>
      <w:numFmt w:val="lowerLetter"/>
      <w:lvlText w:val="%5"/>
      <w:lvlJc w:val="left"/>
      <w:pPr>
        <w:ind w:left="450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4E81760">
      <w:start w:val="1"/>
      <w:numFmt w:val="lowerRoman"/>
      <w:lvlText w:val="%6"/>
      <w:lvlJc w:val="left"/>
      <w:pPr>
        <w:ind w:left="52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358937E">
      <w:start w:val="1"/>
      <w:numFmt w:val="decimal"/>
      <w:lvlText w:val="%7"/>
      <w:lvlJc w:val="left"/>
      <w:pPr>
        <w:ind w:left="594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7AA20AE">
      <w:start w:val="1"/>
      <w:numFmt w:val="lowerLetter"/>
      <w:lvlText w:val="%8"/>
      <w:lvlJc w:val="left"/>
      <w:pPr>
        <w:ind w:left="66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F54454E">
      <w:start w:val="1"/>
      <w:numFmt w:val="lowerRoman"/>
      <w:lvlText w:val="%9"/>
      <w:lvlJc w:val="left"/>
      <w:pPr>
        <w:ind w:left="738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04" w15:restartNumberingAfterBreak="0">
    <w:nsid w:val="772D4AB7"/>
    <w:multiLevelType w:val="hybridMultilevel"/>
    <w:tmpl w:val="09B234C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5" w15:restartNumberingAfterBreak="0">
    <w:nsid w:val="77B23E18"/>
    <w:multiLevelType w:val="hybridMultilevel"/>
    <w:tmpl w:val="A38A6C08"/>
    <w:lvl w:ilvl="0" w:tplc="FC98FBEC">
      <w:start w:val="1"/>
      <w:numFmt w:val="lowerLetter"/>
      <w:lvlText w:val="%1)"/>
      <w:lvlJc w:val="left"/>
      <w:pPr>
        <w:ind w:left="720" w:hanging="360"/>
      </w:pPr>
      <w:rPr>
        <w:rFonts w:asciiTheme="majorHAnsi" w:eastAsia="Times New Roman" w:hAnsiTheme="majorHAnsi" w:cs="Times New Roman" w:hint="default"/>
        <w:b w:val="0"/>
        <w:i w:val="0"/>
        <w:strike w:val="0"/>
        <w:dstrike w:val="0"/>
        <w:color w:val="000000"/>
        <w:sz w:val="24"/>
        <w:szCs w:val="24"/>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6" w15:restartNumberingAfterBreak="0">
    <w:nsid w:val="781F1EF6"/>
    <w:multiLevelType w:val="hybridMultilevel"/>
    <w:tmpl w:val="0B8A08EE"/>
    <w:lvl w:ilvl="0" w:tplc="F5AA3AA0">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FB296B2">
      <w:start w:val="1"/>
      <w:numFmt w:val="lowerLetter"/>
      <w:lvlText w:val="%2"/>
      <w:lvlJc w:val="left"/>
      <w:pPr>
        <w:ind w:left="7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830808A">
      <w:start w:val="1"/>
      <w:numFmt w:val="lowerRoman"/>
      <w:lvlText w:val="%3"/>
      <w:lvlJc w:val="left"/>
      <w:pPr>
        <w:ind w:left="10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1F2108E">
      <w:start w:val="1"/>
      <w:numFmt w:val="lowerLetter"/>
      <w:lvlRestart w:val="0"/>
      <w:lvlText w:val="%4)"/>
      <w:lvlJc w:val="left"/>
      <w:pPr>
        <w:ind w:left="13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91A103E">
      <w:start w:val="1"/>
      <w:numFmt w:val="lowerLetter"/>
      <w:lvlText w:val="%5"/>
      <w:lvlJc w:val="left"/>
      <w:pPr>
        <w:ind w:left="21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496D2CC">
      <w:start w:val="1"/>
      <w:numFmt w:val="lowerRoman"/>
      <w:lvlText w:val="%6"/>
      <w:lvlJc w:val="left"/>
      <w:pPr>
        <w:ind w:left="28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D4816F4">
      <w:start w:val="1"/>
      <w:numFmt w:val="decimal"/>
      <w:lvlText w:val="%7"/>
      <w:lvlJc w:val="left"/>
      <w:pPr>
        <w:ind w:left="36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D1838E2">
      <w:start w:val="1"/>
      <w:numFmt w:val="lowerLetter"/>
      <w:lvlText w:val="%8"/>
      <w:lvlJc w:val="left"/>
      <w:pPr>
        <w:ind w:left="43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45C0928">
      <w:start w:val="1"/>
      <w:numFmt w:val="lowerRoman"/>
      <w:lvlText w:val="%9"/>
      <w:lvlJc w:val="left"/>
      <w:pPr>
        <w:ind w:left="50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07" w15:restartNumberingAfterBreak="0">
    <w:nsid w:val="78C918EF"/>
    <w:multiLevelType w:val="hybridMultilevel"/>
    <w:tmpl w:val="7B18E84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8" w15:restartNumberingAfterBreak="0">
    <w:nsid w:val="78F46D06"/>
    <w:multiLevelType w:val="hybridMultilevel"/>
    <w:tmpl w:val="EC52B790"/>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9" w15:restartNumberingAfterBreak="0">
    <w:nsid w:val="78F51686"/>
    <w:multiLevelType w:val="hybridMultilevel"/>
    <w:tmpl w:val="9DAAFD5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0" w15:restartNumberingAfterBreak="0">
    <w:nsid w:val="7A9618D3"/>
    <w:multiLevelType w:val="hybridMultilevel"/>
    <w:tmpl w:val="34F60A68"/>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1" w15:restartNumberingAfterBreak="0">
    <w:nsid w:val="7AD45FE0"/>
    <w:multiLevelType w:val="hybridMultilevel"/>
    <w:tmpl w:val="B704B4A0"/>
    <w:lvl w:ilvl="0" w:tplc="86D4E930">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2" w15:restartNumberingAfterBreak="0">
    <w:nsid w:val="7B386219"/>
    <w:multiLevelType w:val="hybridMultilevel"/>
    <w:tmpl w:val="2578BC8C"/>
    <w:lvl w:ilvl="0" w:tplc="80B4F72C">
      <w:start w:val="1"/>
      <w:numFmt w:val="lowerLetter"/>
      <w:lvlText w:val="%1)"/>
      <w:lvlJc w:val="left"/>
      <w:pPr>
        <w:ind w:left="720" w:hanging="360"/>
      </w:pPr>
      <w:rPr>
        <w:rFonts w:ascii="Garamond" w:eastAsia="Times New Roman" w:hAnsi="Garamond" w:cs="Times New Roman" w:hint="default"/>
        <w:b w:val="0"/>
        <w:i w:val="0"/>
        <w:strike w:val="0"/>
        <w:dstrike w:val="0"/>
        <w:color w:val="000000"/>
        <w:sz w:val="24"/>
        <w:szCs w:val="24"/>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3" w15:restartNumberingAfterBreak="0">
    <w:nsid w:val="7C0F2504"/>
    <w:multiLevelType w:val="hybridMultilevel"/>
    <w:tmpl w:val="BD726D4C"/>
    <w:lvl w:ilvl="0" w:tplc="04150011">
      <w:start w:val="1"/>
      <w:numFmt w:val="decimal"/>
      <w:lvlText w:val="%1)"/>
      <w:lvlJc w:val="left"/>
      <w:pPr>
        <w:ind w:left="720" w:hanging="360"/>
      </w:pPr>
    </w:lvl>
    <w:lvl w:ilvl="1" w:tplc="676609FE">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4" w15:restartNumberingAfterBreak="0">
    <w:nsid w:val="7C4655A3"/>
    <w:multiLevelType w:val="hybridMultilevel"/>
    <w:tmpl w:val="86A4A09C"/>
    <w:lvl w:ilvl="0" w:tplc="0415000F">
      <w:start w:val="1"/>
      <w:numFmt w:val="decimal"/>
      <w:lvlText w:val="%1."/>
      <w:lvlJc w:val="left"/>
      <w:pPr>
        <w:ind w:left="720" w:hanging="360"/>
      </w:pPr>
      <w:rPr>
        <w:rFonts w:hint="default"/>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5" w15:restartNumberingAfterBreak="0">
    <w:nsid w:val="7CBF6BFB"/>
    <w:multiLevelType w:val="hybridMultilevel"/>
    <w:tmpl w:val="76007AB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6" w15:restartNumberingAfterBreak="0">
    <w:nsid w:val="7D3F3584"/>
    <w:multiLevelType w:val="hybridMultilevel"/>
    <w:tmpl w:val="6E2ADE76"/>
    <w:lvl w:ilvl="0" w:tplc="0415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7" w15:restartNumberingAfterBreak="0">
    <w:nsid w:val="7D545867"/>
    <w:multiLevelType w:val="hybridMultilevel"/>
    <w:tmpl w:val="B0F63F7C"/>
    <w:lvl w:ilvl="0" w:tplc="2834BB44">
      <w:start w:val="7"/>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8" w15:restartNumberingAfterBreak="0">
    <w:nsid w:val="7D671C59"/>
    <w:multiLevelType w:val="hybridMultilevel"/>
    <w:tmpl w:val="688675F4"/>
    <w:lvl w:ilvl="0" w:tplc="86D4E930">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9" w15:restartNumberingAfterBreak="0">
    <w:nsid w:val="7D7B2678"/>
    <w:multiLevelType w:val="hybridMultilevel"/>
    <w:tmpl w:val="FBBCDFC4"/>
    <w:lvl w:ilvl="0" w:tplc="86D4E930">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20" w15:restartNumberingAfterBreak="0">
    <w:nsid w:val="7DDF2C23"/>
    <w:multiLevelType w:val="hybridMultilevel"/>
    <w:tmpl w:val="01E27988"/>
    <w:lvl w:ilvl="0" w:tplc="FC98FBEC">
      <w:start w:val="1"/>
      <w:numFmt w:val="lowerLetter"/>
      <w:lvlText w:val="%1)"/>
      <w:lvlJc w:val="left"/>
      <w:pPr>
        <w:ind w:left="720" w:hanging="360"/>
      </w:pPr>
      <w:rPr>
        <w:rFonts w:asciiTheme="majorHAnsi" w:eastAsia="Times New Roman" w:hAnsiTheme="majorHAnsi" w:cs="Times New Roman" w:hint="default"/>
        <w:b w:val="0"/>
        <w:i w:val="0"/>
        <w:strike w:val="0"/>
        <w:dstrike w:val="0"/>
        <w:color w:val="000000"/>
        <w:sz w:val="24"/>
        <w:szCs w:val="24"/>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1" w15:restartNumberingAfterBreak="0">
    <w:nsid w:val="7EA83EBF"/>
    <w:multiLevelType w:val="hybridMultilevel"/>
    <w:tmpl w:val="5978C2F0"/>
    <w:lvl w:ilvl="0" w:tplc="33883E58">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A50B99E">
      <w:start w:val="1"/>
      <w:numFmt w:val="lowerLetter"/>
      <w:lvlText w:val="%2"/>
      <w:lvlJc w:val="left"/>
      <w:pPr>
        <w:ind w:left="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75A235E">
      <w:start w:val="1"/>
      <w:numFmt w:val="lowerRoman"/>
      <w:lvlText w:val="%3"/>
      <w:lvlJc w:val="left"/>
      <w:pPr>
        <w:ind w:left="121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4662C30">
      <w:start w:val="1"/>
      <w:numFmt w:val="decimal"/>
      <w:lvlRestart w:val="0"/>
      <w:lvlText w:val="%4)"/>
      <w:lvlJc w:val="left"/>
      <w:pPr>
        <w:ind w:left="1705"/>
      </w:pPr>
      <w:rPr>
        <w:rFonts w:asciiTheme="majorHAnsi" w:eastAsia="Times New Roman" w:hAnsiTheme="majorHAnsi" w:cs="Times New Roman" w:hint="default"/>
        <w:b w:val="0"/>
        <w:i w:val="0"/>
        <w:strike w:val="0"/>
        <w:dstrike w:val="0"/>
        <w:color w:val="000000"/>
        <w:sz w:val="24"/>
        <w:szCs w:val="24"/>
        <w:u w:val="none" w:color="000000"/>
        <w:bdr w:val="none" w:sz="0" w:space="0" w:color="auto"/>
        <w:shd w:val="clear" w:color="auto" w:fill="auto"/>
        <w:vertAlign w:val="baseline"/>
      </w:rPr>
    </w:lvl>
    <w:lvl w:ilvl="4" w:tplc="1D28F8CA">
      <w:start w:val="1"/>
      <w:numFmt w:val="lowerLetter"/>
      <w:lvlText w:val="%5"/>
      <w:lvlJc w:val="left"/>
      <w:pPr>
        <w:ind w:left="23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A6A4594">
      <w:start w:val="1"/>
      <w:numFmt w:val="lowerRoman"/>
      <w:lvlText w:val="%6"/>
      <w:lvlJc w:val="left"/>
      <w:pPr>
        <w:ind w:left="30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46AEB64">
      <w:start w:val="1"/>
      <w:numFmt w:val="decimal"/>
      <w:lvlText w:val="%7"/>
      <w:lvlJc w:val="left"/>
      <w:pPr>
        <w:ind w:left="38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7B8FB86">
      <w:start w:val="1"/>
      <w:numFmt w:val="lowerLetter"/>
      <w:lvlText w:val="%8"/>
      <w:lvlJc w:val="left"/>
      <w:pPr>
        <w:ind w:left="45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40062AC">
      <w:start w:val="1"/>
      <w:numFmt w:val="lowerRoman"/>
      <w:lvlText w:val="%9"/>
      <w:lvlJc w:val="left"/>
      <w:pPr>
        <w:ind w:left="524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22" w15:restartNumberingAfterBreak="0">
    <w:nsid w:val="7EED30C4"/>
    <w:multiLevelType w:val="hybridMultilevel"/>
    <w:tmpl w:val="67523D94"/>
    <w:lvl w:ilvl="0" w:tplc="D032B0B8">
      <w:start w:val="1"/>
      <w:numFmt w:val="lowerLetter"/>
      <w:lvlText w:val="%1)"/>
      <w:lvlJc w:val="left"/>
      <w:pPr>
        <w:ind w:left="14"/>
      </w:pPr>
      <w:rPr>
        <w:rFonts w:ascii="Garamond" w:eastAsia="Times New Roman" w:hAnsi="Garamond" w:cs="Times New Roman" w:hint="default"/>
        <w:b w:val="0"/>
        <w:i w:val="0"/>
        <w:strike w:val="0"/>
        <w:dstrike w:val="0"/>
        <w:color w:val="000000"/>
        <w:sz w:val="24"/>
        <w:szCs w:val="24"/>
        <w:u w:val="none" w:color="000000"/>
        <w:bdr w:val="none" w:sz="0" w:space="0" w:color="auto"/>
        <w:shd w:val="clear" w:color="auto" w:fill="auto"/>
        <w:vertAlign w:val="baseline"/>
      </w:rPr>
    </w:lvl>
    <w:lvl w:ilvl="1" w:tplc="55D2E1CC">
      <w:start w:val="1"/>
      <w:numFmt w:val="lowerLetter"/>
      <w:lvlText w:val="%2"/>
      <w:lvlJc w:val="left"/>
      <w:pPr>
        <w:ind w:left="11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28E24CC">
      <w:start w:val="1"/>
      <w:numFmt w:val="lowerRoman"/>
      <w:lvlText w:val="%3"/>
      <w:lvlJc w:val="left"/>
      <w:pPr>
        <w:ind w:left="18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2526644">
      <w:start w:val="1"/>
      <w:numFmt w:val="decimal"/>
      <w:lvlText w:val="%4"/>
      <w:lvlJc w:val="left"/>
      <w:pPr>
        <w:ind w:left="2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0C8A5E">
      <w:start w:val="1"/>
      <w:numFmt w:val="lowerLetter"/>
      <w:lvlText w:val="%5"/>
      <w:lvlJc w:val="left"/>
      <w:pPr>
        <w:ind w:left="33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EEFF8E">
      <w:start w:val="1"/>
      <w:numFmt w:val="lowerRoman"/>
      <w:lvlText w:val="%6"/>
      <w:lvlJc w:val="left"/>
      <w:pPr>
        <w:ind w:left="40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7689E8">
      <w:start w:val="1"/>
      <w:numFmt w:val="decimal"/>
      <w:lvlText w:val="%7"/>
      <w:lvlJc w:val="left"/>
      <w:pPr>
        <w:ind w:left="47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04199E">
      <w:start w:val="1"/>
      <w:numFmt w:val="lowerLetter"/>
      <w:lvlText w:val="%8"/>
      <w:lvlJc w:val="left"/>
      <w:pPr>
        <w:ind w:left="54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60AD72">
      <w:start w:val="1"/>
      <w:numFmt w:val="lowerRoman"/>
      <w:lvlText w:val="%9"/>
      <w:lvlJc w:val="left"/>
      <w:pPr>
        <w:ind w:left="61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1236432276">
    <w:abstractNumId w:val="202"/>
  </w:num>
  <w:num w:numId="2" w16cid:durableId="672683626">
    <w:abstractNumId w:val="167"/>
  </w:num>
  <w:num w:numId="3" w16cid:durableId="1242057314">
    <w:abstractNumId w:val="161"/>
  </w:num>
  <w:num w:numId="4" w16cid:durableId="776560251">
    <w:abstractNumId w:val="206"/>
  </w:num>
  <w:num w:numId="5" w16cid:durableId="2069914898">
    <w:abstractNumId w:val="127"/>
  </w:num>
  <w:num w:numId="6" w16cid:durableId="988168992">
    <w:abstractNumId w:val="143"/>
  </w:num>
  <w:num w:numId="7" w16cid:durableId="1014919876">
    <w:abstractNumId w:val="115"/>
  </w:num>
  <w:num w:numId="8" w16cid:durableId="1758285953">
    <w:abstractNumId w:val="105"/>
  </w:num>
  <w:num w:numId="9" w16cid:durableId="1184972538">
    <w:abstractNumId w:val="2"/>
  </w:num>
  <w:num w:numId="10" w16cid:durableId="1000616121">
    <w:abstractNumId w:val="170"/>
  </w:num>
  <w:num w:numId="11" w16cid:durableId="434910695">
    <w:abstractNumId w:val="198"/>
  </w:num>
  <w:num w:numId="12" w16cid:durableId="461773971">
    <w:abstractNumId w:val="48"/>
  </w:num>
  <w:num w:numId="13" w16cid:durableId="1820998461">
    <w:abstractNumId w:val="83"/>
  </w:num>
  <w:num w:numId="14" w16cid:durableId="1106803715">
    <w:abstractNumId w:val="107"/>
  </w:num>
  <w:num w:numId="15" w16cid:durableId="1885602970">
    <w:abstractNumId w:val="88"/>
  </w:num>
  <w:num w:numId="16" w16cid:durableId="1531726787">
    <w:abstractNumId w:val="171"/>
  </w:num>
  <w:num w:numId="17" w16cid:durableId="2088532509">
    <w:abstractNumId w:val="193"/>
  </w:num>
  <w:num w:numId="18" w16cid:durableId="1549994126">
    <w:abstractNumId w:val="35"/>
  </w:num>
  <w:num w:numId="19" w16cid:durableId="315377020">
    <w:abstractNumId w:val="94"/>
  </w:num>
  <w:num w:numId="20" w16cid:durableId="1309091939">
    <w:abstractNumId w:val="158"/>
  </w:num>
  <w:num w:numId="21" w16cid:durableId="1702633612">
    <w:abstractNumId w:val="72"/>
  </w:num>
  <w:num w:numId="22" w16cid:durableId="111361622">
    <w:abstractNumId w:val="37"/>
  </w:num>
  <w:num w:numId="23" w16cid:durableId="426509425">
    <w:abstractNumId w:val="164"/>
  </w:num>
  <w:num w:numId="24" w16cid:durableId="123431509">
    <w:abstractNumId w:val="125"/>
  </w:num>
  <w:num w:numId="25" w16cid:durableId="1457135363">
    <w:abstractNumId w:val="221"/>
  </w:num>
  <w:num w:numId="26" w16cid:durableId="325285211">
    <w:abstractNumId w:val="16"/>
  </w:num>
  <w:num w:numId="27" w16cid:durableId="1456560096">
    <w:abstractNumId w:val="100"/>
  </w:num>
  <w:num w:numId="28" w16cid:durableId="2013875006">
    <w:abstractNumId w:val="142"/>
  </w:num>
  <w:num w:numId="29" w16cid:durableId="1274634942">
    <w:abstractNumId w:val="13"/>
  </w:num>
  <w:num w:numId="30" w16cid:durableId="251015647">
    <w:abstractNumId w:val="42"/>
  </w:num>
  <w:num w:numId="31" w16cid:durableId="1394816790">
    <w:abstractNumId w:val="5"/>
  </w:num>
  <w:num w:numId="32" w16cid:durableId="1507092881">
    <w:abstractNumId w:val="130"/>
  </w:num>
  <w:num w:numId="33" w16cid:durableId="584417044">
    <w:abstractNumId w:val="71"/>
  </w:num>
  <w:num w:numId="34" w16cid:durableId="39331495">
    <w:abstractNumId w:val="203"/>
  </w:num>
  <w:num w:numId="35" w16cid:durableId="582765053">
    <w:abstractNumId w:val="110"/>
  </w:num>
  <w:num w:numId="36" w16cid:durableId="226771649">
    <w:abstractNumId w:val="31"/>
  </w:num>
  <w:num w:numId="37" w16cid:durableId="972292578">
    <w:abstractNumId w:val="82"/>
  </w:num>
  <w:num w:numId="38" w16cid:durableId="2036693314">
    <w:abstractNumId w:val="182"/>
  </w:num>
  <w:num w:numId="39" w16cid:durableId="479005076">
    <w:abstractNumId w:val="166"/>
  </w:num>
  <w:num w:numId="40" w16cid:durableId="1484195246">
    <w:abstractNumId w:val="84"/>
  </w:num>
  <w:num w:numId="41" w16cid:durableId="1439568539">
    <w:abstractNumId w:val="109"/>
  </w:num>
  <w:num w:numId="42" w16cid:durableId="81798499">
    <w:abstractNumId w:val="201"/>
  </w:num>
  <w:num w:numId="43" w16cid:durableId="1431462453">
    <w:abstractNumId w:val="63"/>
  </w:num>
  <w:num w:numId="44" w16cid:durableId="1248343234">
    <w:abstractNumId w:val="57"/>
  </w:num>
  <w:num w:numId="45" w16cid:durableId="689600495">
    <w:abstractNumId w:val="106"/>
  </w:num>
  <w:num w:numId="46" w16cid:durableId="1162158755">
    <w:abstractNumId w:val="43"/>
  </w:num>
  <w:num w:numId="47" w16cid:durableId="1019694164">
    <w:abstractNumId w:val="40"/>
  </w:num>
  <w:num w:numId="48" w16cid:durableId="590238742">
    <w:abstractNumId w:val="45"/>
  </w:num>
  <w:num w:numId="49" w16cid:durableId="961380257">
    <w:abstractNumId w:val="9"/>
  </w:num>
  <w:num w:numId="50" w16cid:durableId="848177659">
    <w:abstractNumId w:val="21"/>
  </w:num>
  <w:num w:numId="51" w16cid:durableId="1405107212">
    <w:abstractNumId w:val="149"/>
  </w:num>
  <w:num w:numId="52" w16cid:durableId="100341141">
    <w:abstractNumId w:val="139"/>
  </w:num>
  <w:num w:numId="53" w16cid:durableId="1387070131">
    <w:abstractNumId w:val="4"/>
  </w:num>
  <w:num w:numId="54" w16cid:durableId="154414522">
    <w:abstractNumId w:val="129"/>
  </w:num>
  <w:num w:numId="55" w16cid:durableId="1772166868">
    <w:abstractNumId w:val="200"/>
  </w:num>
  <w:num w:numId="56" w16cid:durableId="648822652">
    <w:abstractNumId w:val="14"/>
  </w:num>
  <w:num w:numId="57" w16cid:durableId="2064325248">
    <w:abstractNumId w:val="222"/>
  </w:num>
  <w:num w:numId="58" w16cid:durableId="642344689">
    <w:abstractNumId w:val="138"/>
  </w:num>
  <w:num w:numId="59" w16cid:durableId="1405106019">
    <w:abstractNumId w:val="133"/>
  </w:num>
  <w:num w:numId="60" w16cid:durableId="2091081297">
    <w:abstractNumId w:val="188"/>
  </w:num>
  <w:num w:numId="61" w16cid:durableId="2082218690">
    <w:abstractNumId w:val="76"/>
  </w:num>
  <w:num w:numId="62" w16cid:durableId="500971959">
    <w:abstractNumId w:val="137"/>
  </w:num>
  <w:num w:numId="63" w16cid:durableId="2043433944">
    <w:abstractNumId w:val="136"/>
  </w:num>
  <w:num w:numId="64" w16cid:durableId="437985864">
    <w:abstractNumId w:val="217"/>
  </w:num>
  <w:num w:numId="65" w16cid:durableId="630407321">
    <w:abstractNumId w:val="210"/>
  </w:num>
  <w:num w:numId="66" w16cid:durableId="1047989317">
    <w:abstractNumId w:val="163"/>
  </w:num>
  <w:num w:numId="67" w16cid:durableId="2055537133">
    <w:abstractNumId w:val="17"/>
  </w:num>
  <w:num w:numId="68" w16cid:durableId="1831096983">
    <w:abstractNumId w:val="99"/>
  </w:num>
  <w:num w:numId="69" w16cid:durableId="984971206">
    <w:abstractNumId w:val="22"/>
  </w:num>
  <w:num w:numId="70" w16cid:durableId="1392342058">
    <w:abstractNumId w:val="216"/>
  </w:num>
  <w:num w:numId="71" w16cid:durableId="1398554903">
    <w:abstractNumId w:val="162"/>
  </w:num>
  <w:num w:numId="72" w16cid:durableId="1454716518">
    <w:abstractNumId w:val="30"/>
  </w:num>
  <w:num w:numId="73" w16cid:durableId="1260064901">
    <w:abstractNumId w:val="209"/>
  </w:num>
  <w:num w:numId="74" w16cid:durableId="1963271471">
    <w:abstractNumId w:val="80"/>
  </w:num>
  <w:num w:numId="75" w16cid:durableId="1717200281">
    <w:abstractNumId w:val="213"/>
  </w:num>
  <w:num w:numId="76" w16cid:durableId="1398092345">
    <w:abstractNumId w:val="207"/>
  </w:num>
  <w:num w:numId="77" w16cid:durableId="1177380573">
    <w:abstractNumId w:val="180"/>
  </w:num>
  <w:num w:numId="78" w16cid:durableId="399837964">
    <w:abstractNumId w:val="215"/>
  </w:num>
  <w:num w:numId="79" w16cid:durableId="1160459094">
    <w:abstractNumId w:val="79"/>
  </w:num>
  <w:num w:numId="80" w16cid:durableId="1644042503">
    <w:abstractNumId w:val="131"/>
  </w:num>
  <w:num w:numId="81" w16cid:durableId="1075788204">
    <w:abstractNumId w:val="69"/>
  </w:num>
  <w:num w:numId="82" w16cid:durableId="738793518">
    <w:abstractNumId w:val="165"/>
  </w:num>
  <w:num w:numId="83" w16cid:durableId="1073040224">
    <w:abstractNumId w:val="156"/>
  </w:num>
  <w:num w:numId="84" w16cid:durableId="473257488">
    <w:abstractNumId w:val="154"/>
  </w:num>
  <w:num w:numId="85" w16cid:durableId="2128041828">
    <w:abstractNumId w:val="179"/>
  </w:num>
  <w:num w:numId="86" w16cid:durableId="1185094091">
    <w:abstractNumId w:val="73"/>
  </w:num>
  <w:num w:numId="87" w16cid:durableId="1952277593">
    <w:abstractNumId w:val="172"/>
  </w:num>
  <w:num w:numId="88" w16cid:durableId="2080709717">
    <w:abstractNumId w:val="29"/>
  </w:num>
  <w:num w:numId="89" w16cid:durableId="2032877320">
    <w:abstractNumId w:val="60"/>
  </w:num>
  <w:num w:numId="90" w16cid:durableId="124471933">
    <w:abstractNumId w:val="155"/>
  </w:num>
  <w:num w:numId="91" w16cid:durableId="1761681398">
    <w:abstractNumId w:val="160"/>
  </w:num>
  <w:num w:numId="92" w16cid:durableId="1140070979">
    <w:abstractNumId w:val="74"/>
  </w:num>
  <w:num w:numId="93" w16cid:durableId="174539891">
    <w:abstractNumId w:val="87"/>
  </w:num>
  <w:num w:numId="94" w16cid:durableId="1245526371">
    <w:abstractNumId w:val="86"/>
  </w:num>
  <w:num w:numId="95" w16cid:durableId="1963611650">
    <w:abstractNumId w:val="104"/>
  </w:num>
  <w:num w:numId="96" w16cid:durableId="547298411">
    <w:abstractNumId w:val="153"/>
  </w:num>
  <w:num w:numId="97" w16cid:durableId="1829664641">
    <w:abstractNumId w:val="177"/>
  </w:num>
  <w:num w:numId="98" w16cid:durableId="196967089">
    <w:abstractNumId w:val="58"/>
  </w:num>
  <w:num w:numId="99" w16cid:durableId="90318826">
    <w:abstractNumId w:val="220"/>
  </w:num>
  <w:num w:numId="100" w16cid:durableId="1710759883">
    <w:abstractNumId w:val="145"/>
  </w:num>
  <w:num w:numId="101" w16cid:durableId="910040663">
    <w:abstractNumId w:val="56"/>
  </w:num>
  <w:num w:numId="102" w16cid:durableId="120809125">
    <w:abstractNumId w:val="33"/>
  </w:num>
  <w:num w:numId="103" w16cid:durableId="3824983">
    <w:abstractNumId w:val="47"/>
  </w:num>
  <w:num w:numId="104" w16cid:durableId="1844591202">
    <w:abstractNumId w:val="205"/>
  </w:num>
  <w:num w:numId="105" w16cid:durableId="1077556087">
    <w:abstractNumId w:val="121"/>
  </w:num>
  <w:num w:numId="106" w16cid:durableId="1711956440">
    <w:abstractNumId w:val="141"/>
  </w:num>
  <w:num w:numId="107" w16cid:durableId="1225751448">
    <w:abstractNumId w:val="135"/>
  </w:num>
  <w:num w:numId="108" w16cid:durableId="1347902175">
    <w:abstractNumId w:val="152"/>
  </w:num>
  <w:num w:numId="109" w16cid:durableId="195385517">
    <w:abstractNumId w:val="44"/>
  </w:num>
  <w:num w:numId="110" w16cid:durableId="1586650449">
    <w:abstractNumId w:val="101"/>
  </w:num>
  <w:num w:numId="111" w16cid:durableId="2053070318">
    <w:abstractNumId w:val="126"/>
  </w:num>
  <w:num w:numId="112" w16cid:durableId="61416775">
    <w:abstractNumId w:val="157"/>
  </w:num>
  <w:num w:numId="113" w16cid:durableId="423259839">
    <w:abstractNumId w:val="186"/>
  </w:num>
  <w:num w:numId="114" w16cid:durableId="820468748">
    <w:abstractNumId w:val="3"/>
  </w:num>
  <w:num w:numId="115" w16cid:durableId="736634343">
    <w:abstractNumId w:val="123"/>
  </w:num>
  <w:num w:numId="116" w16cid:durableId="525096934">
    <w:abstractNumId w:val="122"/>
  </w:num>
  <w:num w:numId="117" w16cid:durableId="1664815572">
    <w:abstractNumId w:val="34"/>
  </w:num>
  <w:num w:numId="118" w16cid:durableId="1610426387">
    <w:abstractNumId w:val="68"/>
  </w:num>
  <w:num w:numId="119" w16cid:durableId="107045024">
    <w:abstractNumId w:val="23"/>
  </w:num>
  <w:num w:numId="120" w16cid:durableId="970407053">
    <w:abstractNumId w:val="65"/>
  </w:num>
  <w:num w:numId="121" w16cid:durableId="1624993945">
    <w:abstractNumId w:val="175"/>
  </w:num>
  <w:num w:numId="122" w16cid:durableId="2099014166">
    <w:abstractNumId w:val="11"/>
  </w:num>
  <w:num w:numId="123" w16cid:durableId="441925900">
    <w:abstractNumId w:val="66"/>
  </w:num>
  <w:num w:numId="124" w16cid:durableId="622275618">
    <w:abstractNumId w:val="102"/>
  </w:num>
  <w:num w:numId="125" w16cid:durableId="1102145851">
    <w:abstractNumId w:val="132"/>
  </w:num>
  <w:num w:numId="126" w16cid:durableId="1560243353">
    <w:abstractNumId w:val="191"/>
  </w:num>
  <w:num w:numId="127" w16cid:durableId="1159539387">
    <w:abstractNumId w:val="196"/>
  </w:num>
  <w:num w:numId="128" w16cid:durableId="138618471">
    <w:abstractNumId w:val="187"/>
  </w:num>
  <w:num w:numId="129" w16cid:durableId="436605293">
    <w:abstractNumId w:val="53"/>
  </w:num>
  <w:num w:numId="130" w16cid:durableId="1542940552">
    <w:abstractNumId w:val="8"/>
  </w:num>
  <w:num w:numId="131" w16cid:durableId="947201007">
    <w:abstractNumId w:val="128"/>
  </w:num>
  <w:num w:numId="132" w16cid:durableId="340788364">
    <w:abstractNumId w:val="26"/>
  </w:num>
  <w:num w:numId="133" w16cid:durableId="1123694807">
    <w:abstractNumId w:val="113"/>
  </w:num>
  <w:num w:numId="134" w16cid:durableId="1133866313">
    <w:abstractNumId w:val="148"/>
  </w:num>
  <w:num w:numId="135" w16cid:durableId="615255001">
    <w:abstractNumId w:val="95"/>
  </w:num>
  <w:num w:numId="136" w16cid:durableId="741683233">
    <w:abstractNumId w:val="70"/>
  </w:num>
  <w:num w:numId="137" w16cid:durableId="890922378">
    <w:abstractNumId w:val="59"/>
  </w:num>
  <w:num w:numId="138" w16cid:durableId="49889664">
    <w:abstractNumId w:val="219"/>
  </w:num>
  <w:num w:numId="139" w16cid:durableId="1404794247">
    <w:abstractNumId w:val="15"/>
  </w:num>
  <w:num w:numId="140" w16cid:durableId="1533423716">
    <w:abstractNumId w:val="93"/>
  </w:num>
  <w:num w:numId="141" w16cid:durableId="2127654258">
    <w:abstractNumId w:val="211"/>
  </w:num>
  <w:num w:numId="142" w16cid:durableId="698318485">
    <w:abstractNumId w:val="218"/>
  </w:num>
  <w:num w:numId="143" w16cid:durableId="1616521895">
    <w:abstractNumId w:val="208"/>
  </w:num>
  <w:num w:numId="144" w16cid:durableId="784735623">
    <w:abstractNumId w:val="181"/>
  </w:num>
  <w:num w:numId="145" w16cid:durableId="1135831614">
    <w:abstractNumId w:val="46"/>
  </w:num>
  <w:num w:numId="146" w16cid:durableId="1008172944">
    <w:abstractNumId w:val="190"/>
  </w:num>
  <w:num w:numId="147" w16cid:durableId="1880780971">
    <w:abstractNumId w:val="75"/>
  </w:num>
  <w:num w:numId="148" w16cid:durableId="1859542714">
    <w:abstractNumId w:val="199"/>
  </w:num>
  <w:num w:numId="149" w16cid:durableId="915087677">
    <w:abstractNumId w:val="96"/>
  </w:num>
  <w:num w:numId="150" w16cid:durableId="640501489">
    <w:abstractNumId w:val="214"/>
  </w:num>
  <w:num w:numId="151" w16cid:durableId="1015570731">
    <w:abstractNumId w:val="197"/>
  </w:num>
  <w:num w:numId="152" w16cid:durableId="500585269">
    <w:abstractNumId w:val="159"/>
  </w:num>
  <w:num w:numId="153" w16cid:durableId="1497720162">
    <w:abstractNumId w:val="98"/>
  </w:num>
  <w:num w:numId="154" w16cid:durableId="2092778022">
    <w:abstractNumId w:val="183"/>
  </w:num>
  <w:num w:numId="155" w16cid:durableId="2023778838">
    <w:abstractNumId w:val="67"/>
  </w:num>
  <w:num w:numId="156" w16cid:durableId="1024018106">
    <w:abstractNumId w:val="51"/>
  </w:num>
  <w:num w:numId="157" w16cid:durableId="1321888341">
    <w:abstractNumId w:val="39"/>
  </w:num>
  <w:num w:numId="158" w16cid:durableId="1692485119">
    <w:abstractNumId w:val="7"/>
  </w:num>
  <w:num w:numId="159" w16cid:durableId="771124963">
    <w:abstractNumId w:val="178"/>
  </w:num>
  <w:num w:numId="160" w16cid:durableId="2048599199">
    <w:abstractNumId w:val="55"/>
  </w:num>
  <w:num w:numId="161" w16cid:durableId="1786342199">
    <w:abstractNumId w:val="151"/>
  </w:num>
  <w:num w:numId="162" w16cid:durableId="742874406">
    <w:abstractNumId w:val="97"/>
  </w:num>
  <w:num w:numId="163" w16cid:durableId="1337919592">
    <w:abstractNumId w:val="91"/>
  </w:num>
  <w:num w:numId="164" w16cid:durableId="1989624933">
    <w:abstractNumId w:val="6"/>
  </w:num>
  <w:num w:numId="165" w16cid:durableId="2121947123">
    <w:abstractNumId w:val="114"/>
  </w:num>
  <w:num w:numId="166" w16cid:durableId="1558130419">
    <w:abstractNumId w:val="116"/>
  </w:num>
  <w:num w:numId="167" w16cid:durableId="2129616483">
    <w:abstractNumId w:val="124"/>
  </w:num>
  <w:num w:numId="168" w16cid:durableId="683173004">
    <w:abstractNumId w:val="28"/>
  </w:num>
  <w:num w:numId="169" w16cid:durableId="352460763">
    <w:abstractNumId w:val="146"/>
  </w:num>
  <w:num w:numId="170" w16cid:durableId="627858654">
    <w:abstractNumId w:val="195"/>
  </w:num>
  <w:num w:numId="171" w16cid:durableId="495345390">
    <w:abstractNumId w:val="27"/>
  </w:num>
  <w:num w:numId="172" w16cid:durableId="2125493853">
    <w:abstractNumId w:val="61"/>
  </w:num>
  <w:num w:numId="173" w16cid:durableId="1692876745">
    <w:abstractNumId w:val="89"/>
  </w:num>
  <w:num w:numId="174" w16cid:durableId="2007592739">
    <w:abstractNumId w:val="185"/>
  </w:num>
  <w:num w:numId="175" w16cid:durableId="161511642">
    <w:abstractNumId w:val="24"/>
  </w:num>
  <w:num w:numId="176" w16cid:durableId="1236432198">
    <w:abstractNumId w:val="168"/>
  </w:num>
  <w:num w:numId="177" w16cid:durableId="1505125279">
    <w:abstractNumId w:val="50"/>
  </w:num>
  <w:num w:numId="178" w16cid:durableId="1536844427">
    <w:abstractNumId w:val="111"/>
  </w:num>
  <w:num w:numId="179" w16cid:durableId="633951423">
    <w:abstractNumId w:val="204"/>
  </w:num>
  <w:num w:numId="180" w16cid:durableId="83649077">
    <w:abstractNumId w:val="117"/>
  </w:num>
  <w:num w:numId="181" w16cid:durableId="1608267018">
    <w:abstractNumId w:val="189"/>
  </w:num>
  <w:num w:numId="182" w16cid:durableId="1421179465">
    <w:abstractNumId w:val="18"/>
  </w:num>
  <w:num w:numId="183" w16cid:durableId="1323922442">
    <w:abstractNumId w:val="169"/>
  </w:num>
  <w:num w:numId="184" w16cid:durableId="226497183">
    <w:abstractNumId w:val="0"/>
  </w:num>
  <w:num w:numId="185" w16cid:durableId="1855801885">
    <w:abstractNumId w:val="212"/>
  </w:num>
  <w:num w:numId="186" w16cid:durableId="584727234">
    <w:abstractNumId w:val="192"/>
  </w:num>
  <w:num w:numId="187" w16cid:durableId="354431604">
    <w:abstractNumId w:val="150"/>
  </w:num>
  <w:num w:numId="188" w16cid:durableId="2064210143">
    <w:abstractNumId w:val="62"/>
  </w:num>
  <w:num w:numId="189" w16cid:durableId="1848861356">
    <w:abstractNumId w:val="147"/>
  </w:num>
  <w:num w:numId="190" w16cid:durableId="454447504">
    <w:abstractNumId w:val="90"/>
  </w:num>
  <w:num w:numId="191" w16cid:durableId="505362328">
    <w:abstractNumId w:val="194"/>
  </w:num>
  <w:num w:numId="192" w16cid:durableId="105656353">
    <w:abstractNumId w:val="19"/>
  </w:num>
  <w:num w:numId="193" w16cid:durableId="1641955332">
    <w:abstractNumId w:val="38"/>
  </w:num>
  <w:num w:numId="194" w16cid:durableId="1073043225">
    <w:abstractNumId w:val="32"/>
  </w:num>
  <w:num w:numId="195" w16cid:durableId="1619556731">
    <w:abstractNumId w:val="52"/>
  </w:num>
  <w:num w:numId="196" w16cid:durableId="57674583">
    <w:abstractNumId w:val="103"/>
  </w:num>
  <w:num w:numId="197" w16cid:durableId="714964696">
    <w:abstractNumId w:val="134"/>
  </w:num>
  <w:num w:numId="198" w16cid:durableId="958610420">
    <w:abstractNumId w:val="108"/>
  </w:num>
  <w:num w:numId="199" w16cid:durableId="1058478141">
    <w:abstractNumId w:val="10"/>
  </w:num>
  <w:num w:numId="200" w16cid:durableId="1975255835">
    <w:abstractNumId w:val="81"/>
  </w:num>
  <w:num w:numId="201" w16cid:durableId="1522206127">
    <w:abstractNumId w:val="54"/>
  </w:num>
  <w:num w:numId="202" w16cid:durableId="1951353872">
    <w:abstractNumId w:val="85"/>
  </w:num>
  <w:num w:numId="203" w16cid:durableId="1988437980">
    <w:abstractNumId w:val="176"/>
  </w:num>
  <w:num w:numId="204" w16cid:durableId="435298064">
    <w:abstractNumId w:val="118"/>
  </w:num>
  <w:num w:numId="205" w16cid:durableId="1998025004">
    <w:abstractNumId w:val="64"/>
  </w:num>
  <w:num w:numId="206" w16cid:durableId="1986230893">
    <w:abstractNumId w:val="41"/>
  </w:num>
  <w:num w:numId="207" w16cid:durableId="701444772">
    <w:abstractNumId w:val="1"/>
  </w:num>
  <w:num w:numId="208" w16cid:durableId="333578468">
    <w:abstractNumId w:val="140"/>
  </w:num>
  <w:num w:numId="209" w16cid:durableId="221987222">
    <w:abstractNumId w:val="174"/>
  </w:num>
  <w:num w:numId="210" w16cid:durableId="1705443404">
    <w:abstractNumId w:val="144"/>
  </w:num>
  <w:num w:numId="211" w16cid:durableId="1994524568">
    <w:abstractNumId w:val="112"/>
  </w:num>
  <w:num w:numId="212" w16cid:durableId="1277256358">
    <w:abstractNumId w:val="78"/>
  </w:num>
  <w:num w:numId="213" w16cid:durableId="1742437295">
    <w:abstractNumId w:val="77"/>
  </w:num>
  <w:num w:numId="214" w16cid:durableId="1556429586">
    <w:abstractNumId w:val="120"/>
  </w:num>
  <w:num w:numId="215" w16cid:durableId="1425809832">
    <w:abstractNumId w:val="173"/>
  </w:num>
  <w:num w:numId="216" w16cid:durableId="533076940">
    <w:abstractNumId w:val="25"/>
  </w:num>
  <w:num w:numId="217" w16cid:durableId="121191615">
    <w:abstractNumId w:val="92"/>
  </w:num>
  <w:num w:numId="218" w16cid:durableId="196041689">
    <w:abstractNumId w:val="12"/>
  </w:num>
  <w:num w:numId="219" w16cid:durableId="2086995975">
    <w:abstractNumId w:val="49"/>
  </w:num>
  <w:num w:numId="220" w16cid:durableId="783964702">
    <w:abstractNumId w:val="119"/>
  </w:num>
  <w:num w:numId="221" w16cid:durableId="1978297784">
    <w:abstractNumId w:val="20"/>
  </w:num>
  <w:num w:numId="222" w16cid:durableId="334382359">
    <w:abstractNumId w:val="36"/>
  </w:num>
  <w:num w:numId="223" w16cid:durableId="85928594">
    <w:abstractNumId w:val="184"/>
  </w:num>
  <w:numIdMacAtCleanup w:val="2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defaultTabStop w:val="708"/>
  <w:hyphenationZone w:val="425"/>
  <w:evenAndOddHeaders/>
  <w:characterSpacingControl w:val="doNotCompress"/>
  <w:hdrShapeDefaults>
    <o:shapedefaults v:ext="edit" spidmax="3118"/>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2A143B"/>
    <w:rsid w:val="00003089"/>
    <w:rsid w:val="0000470E"/>
    <w:rsid w:val="00007264"/>
    <w:rsid w:val="00012668"/>
    <w:rsid w:val="000134F4"/>
    <w:rsid w:val="000145D2"/>
    <w:rsid w:val="00014937"/>
    <w:rsid w:val="000165AC"/>
    <w:rsid w:val="00016ECE"/>
    <w:rsid w:val="00017B8A"/>
    <w:rsid w:val="00017EC3"/>
    <w:rsid w:val="000226C4"/>
    <w:rsid w:val="000227D0"/>
    <w:rsid w:val="00024459"/>
    <w:rsid w:val="00025C72"/>
    <w:rsid w:val="00025D4A"/>
    <w:rsid w:val="00025EFD"/>
    <w:rsid w:val="0002655A"/>
    <w:rsid w:val="00026C16"/>
    <w:rsid w:val="00030736"/>
    <w:rsid w:val="0003418D"/>
    <w:rsid w:val="0004445C"/>
    <w:rsid w:val="00047BD1"/>
    <w:rsid w:val="00051760"/>
    <w:rsid w:val="00051C84"/>
    <w:rsid w:val="00051F47"/>
    <w:rsid w:val="00053DA0"/>
    <w:rsid w:val="00054E0D"/>
    <w:rsid w:val="000559C3"/>
    <w:rsid w:val="00057E16"/>
    <w:rsid w:val="000621AA"/>
    <w:rsid w:val="000674B5"/>
    <w:rsid w:val="0006784F"/>
    <w:rsid w:val="000705CB"/>
    <w:rsid w:val="00071341"/>
    <w:rsid w:val="00072459"/>
    <w:rsid w:val="000769AA"/>
    <w:rsid w:val="00076A21"/>
    <w:rsid w:val="00076F3E"/>
    <w:rsid w:val="00080456"/>
    <w:rsid w:val="00080FA0"/>
    <w:rsid w:val="000823D0"/>
    <w:rsid w:val="000829BF"/>
    <w:rsid w:val="000866B8"/>
    <w:rsid w:val="000900F4"/>
    <w:rsid w:val="0009313F"/>
    <w:rsid w:val="00095427"/>
    <w:rsid w:val="000A024C"/>
    <w:rsid w:val="000A43FC"/>
    <w:rsid w:val="000A45DE"/>
    <w:rsid w:val="000A672B"/>
    <w:rsid w:val="000B63D0"/>
    <w:rsid w:val="000C09E9"/>
    <w:rsid w:val="000C5035"/>
    <w:rsid w:val="000D283A"/>
    <w:rsid w:val="000D3B09"/>
    <w:rsid w:val="000D4009"/>
    <w:rsid w:val="000D421C"/>
    <w:rsid w:val="000D7A5C"/>
    <w:rsid w:val="000E039D"/>
    <w:rsid w:val="000E09C6"/>
    <w:rsid w:val="000E0FB1"/>
    <w:rsid w:val="000E4B4E"/>
    <w:rsid w:val="000E7344"/>
    <w:rsid w:val="000F131C"/>
    <w:rsid w:val="000F1399"/>
    <w:rsid w:val="000F4DE1"/>
    <w:rsid w:val="001057C1"/>
    <w:rsid w:val="001057F1"/>
    <w:rsid w:val="0010669A"/>
    <w:rsid w:val="00107781"/>
    <w:rsid w:val="00107DD8"/>
    <w:rsid w:val="00112BCC"/>
    <w:rsid w:val="0012006E"/>
    <w:rsid w:val="00120DC6"/>
    <w:rsid w:val="00122E5C"/>
    <w:rsid w:val="0012355C"/>
    <w:rsid w:val="001346B7"/>
    <w:rsid w:val="001353F0"/>
    <w:rsid w:val="001356B0"/>
    <w:rsid w:val="00136C65"/>
    <w:rsid w:val="00140798"/>
    <w:rsid w:val="001439CC"/>
    <w:rsid w:val="00143F6A"/>
    <w:rsid w:val="00145F39"/>
    <w:rsid w:val="0014706D"/>
    <w:rsid w:val="0015056D"/>
    <w:rsid w:val="00151DDD"/>
    <w:rsid w:val="001533DD"/>
    <w:rsid w:val="00154AC2"/>
    <w:rsid w:val="00155B82"/>
    <w:rsid w:val="0015623B"/>
    <w:rsid w:val="00162FEF"/>
    <w:rsid w:val="00165336"/>
    <w:rsid w:val="0016584A"/>
    <w:rsid w:val="00165EEB"/>
    <w:rsid w:val="00166864"/>
    <w:rsid w:val="0017380A"/>
    <w:rsid w:val="0017449D"/>
    <w:rsid w:val="00175586"/>
    <w:rsid w:val="00182B4A"/>
    <w:rsid w:val="0018715F"/>
    <w:rsid w:val="00187CEC"/>
    <w:rsid w:val="00190EAB"/>
    <w:rsid w:val="00195760"/>
    <w:rsid w:val="0019728B"/>
    <w:rsid w:val="001A0691"/>
    <w:rsid w:val="001A0C6D"/>
    <w:rsid w:val="001A156E"/>
    <w:rsid w:val="001A78B0"/>
    <w:rsid w:val="001B0C60"/>
    <w:rsid w:val="001B26EE"/>
    <w:rsid w:val="001B348B"/>
    <w:rsid w:val="001B4129"/>
    <w:rsid w:val="001C29D3"/>
    <w:rsid w:val="001C4F39"/>
    <w:rsid w:val="001D56EA"/>
    <w:rsid w:val="001D5BCE"/>
    <w:rsid w:val="001D6C7D"/>
    <w:rsid w:val="001E05AC"/>
    <w:rsid w:val="001E6195"/>
    <w:rsid w:val="001F2207"/>
    <w:rsid w:val="001F3AAC"/>
    <w:rsid w:val="001F3AF3"/>
    <w:rsid w:val="001F5AC3"/>
    <w:rsid w:val="001F6802"/>
    <w:rsid w:val="00201A74"/>
    <w:rsid w:val="00202DD5"/>
    <w:rsid w:val="00203B56"/>
    <w:rsid w:val="00204D3E"/>
    <w:rsid w:val="00204DE2"/>
    <w:rsid w:val="00207CE6"/>
    <w:rsid w:val="0021654E"/>
    <w:rsid w:val="0022602F"/>
    <w:rsid w:val="00231893"/>
    <w:rsid w:val="0023253D"/>
    <w:rsid w:val="00240FA1"/>
    <w:rsid w:val="00254F04"/>
    <w:rsid w:val="002557C6"/>
    <w:rsid w:val="002567B9"/>
    <w:rsid w:val="00257369"/>
    <w:rsid w:val="0025770E"/>
    <w:rsid w:val="0026196A"/>
    <w:rsid w:val="00264D4C"/>
    <w:rsid w:val="002654E3"/>
    <w:rsid w:val="00265A7F"/>
    <w:rsid w:val="00271BC1"/>
    <w:rsid w:val="002726FD"/>
    <w:rsid w:val="00276C20"/>
    <w:rsid w:val="00276D5A"/>
    <w:rsid w:val="00276FEF"/>
    <w:rsid w:val="00280553"/>
    <w:rsid w:val="00283474"/>
    <w:rsid w:val="002866AF"/>
    <w:rsid w:val="00287344"/>
    <w:rsid w:val="00293DD7"/>
    <w:rsid w:val="00294BE0"/>
    <w:rsid w:val="00294D45"/>
    <w:rsid w:val="002A0B0B"/>
    <w:rsid w:val="002A126E"/>
    <w:rsid w:val="002A128D"/>
    <w:rsid w:val="002A143B"/>
    <w:rsid w:val="002A2742"/>
    <w:rsid w:val="002A37F2"/>
    <w:rsid w:val="002B1A03"/>
    <w:rsid w:val="002B2B1B"/>
    <w:rsid w:val="002B51B7"/>
    <w:rsid w:val="002B5A42"/>
    <w:rsid w:val="002B666D"/>
    <w:rsid w:val="002B71E5"/>
    <w:rsid w:val="002C26DF"/>
    <w:rsid w:val="002C3926"/>
    <w:rsid w:val="002C4951"/>
    <w:rsid w:val="002C63E8"/>
    <w:rsid w:val="002C7734"/>
    <w:rsid w:val="002D2411"/>
    <w:rsid w:val="002D640A"/>
    <w:rsid w:val="002E311D"/>
    <w:rsid w:val="002E3AFA"/>
    <w:rsid w:val="002E5F6F"/>
    <w:rsid w:val="002E783C"/>
    <w:rsid w:val="002F3CD4"/>
    <w:rsid w:val="00300C40"/>
    <w:rsid w:val="0030233F"/>
    <w:rsid w:val="0030361A"/>
    <w:rsid w:val="00304171"/>
    <w:rsid w:val="00305BBF"/>
    <w:rsid w:val="0030630E"/>
    <w:rsid w:val="003105F7"/>
    <w:rsid w:val="003119DE"/>
    <w:rsid w:val="00312D58"/>
    <w:rsid w:val="00313325"/>
    <w:rsid w:val="00313B90"/>
    <w:rsid w:val="00316F85"/>
    <w:rsid w:val="0032234E"/>
    <w:rsid w:val="003340D8"/>
    <w:rsid w:val="003342A3"/>
    <w:rsid w:val="00347E63"/>
    <w:rsid w:val="0035131E"/>
    <w:rsid w:val="00354B2E"/>
    <w:rsid w:val="00356DCD"/>
    <w:rsid w:val="00361E65"/>
    <w:rsid w:val="003667C9"/>
    <w:rsid w:val="00367369"/>
    <w:rsid w:val="00371E2F"/>
    <w:rsid w:val="0037546C"/>
    <w:rsid w:val="003767CA"/>
    <w:rsid w:val="003768E2"/>
    <w:rsid w:val="0037712B"/>
    <w:rsid w:val="00381A03"/>
    <w:rsid w:val="00384CAB"/>
    <w:rsid w:val="0039268C"/>
    <w:rsid w:val="003947D4"/>
    <w:rsid w:val="00397605"/>
    <w:rsid w:val="003A2694"/>
    <w:rsid w:val="003A4AA2"/>
    <w:rsid w:val="003A547C"/>
    <w:rsid w:val="003C1D15"/>
    <w:rsid w:val="003C2DF2"/>
    <w:rsid w:val="003C3B45"/>
    <w:rsid w:val="003C6D01"/>
    <w:rsid w:val="003C743C"/>
    <w:rsid w:val="003C7C8A"/>
    <w:rsid w:val="003D2D56"/>
    <w:rsid w:val="003E13BB"/>
    <w:rsid w:val="003E371C"/>
    <w:rsid w:val="003E3A05"/>
    <w:rsid w:val="003E481B"/>
    <w:rsid w:val="003E6C34"/>
    <w:rsid w:val="003E6FD1"/>
    <w:rsid w:val="003F0562"/>
    <w:rsid w:val="003F57FB"/>
    <w:rsid w:val="00400423"/>
    <w:rsid w:val="004013E8"/>
    <w:rsid w:val="00401961"/>
    <w:rsid w:val="0040449C"/>
    <w:rsid w:val="00405E03"/>
    <w:rsid w:val="00405EE0"/>
    <w:rsid w:val="004113D4"/>
    <w:rsid w:val="004129E5"/>
    <w:rsid w:val="00413F27"/>
    <w:rsid w:val="00417BE5"/>
    <w:rsid w:val="00424018"/>
    <w:rsid w:val="004242A4"/>
    <w:rsid w:val="00425CFA"/>
    <w:rsid w:val="00430E0E"/>
    <w:rsid w:val="0043151C"/>
    <w:rsid w:val="0044241B"/>
    <w:rsid w:val="00443B72"/>
    <w:rsid w:val="00444DC7"/>
    <w:rsid w:val="00446DE2"/>
    <w:rsid w:val="00450D61"/>
    <w:rsid w:val="00450EF0"/>
    <w:rsid w:val="004513D3"/>
    <w:rsid w:val="004521EF"/>
    <w:rsid w:val="0045224E"/>
    <w:rsid w:val="004525C3"/>
    <w:rsid w:val="00452EC3"/>
    <w:rsid w:val="0046030C"/>
    <w:rsid w:val="0046199C"/>
    <w:rsid w:val="004652CA"/>
    <w:rsid w:val="004659EE"/>
    <w:rsid w:val="00466386"/>
    <w:rsid w:val="004671BB"/>
    <w:rsid w:val="00470199"/>
    <w:rsid w:val="00473A95"/>
    <w:rsid w:val="004773B3"/>
    <w:rsid w:val="00487A2A"/>
    <w:rsid w:val="00487CBE"/>
    <w:rsid w:val="004933FF"/>
    <w:rsid w:val="0049608F"/>
    <w:rsid w:val="00496347"/>
    <w:rsid w:val="004A16FE"/>
    <w:rsid w:val="004A5DD7"/>
    <w:rsid w:val="004A6CBC"/>
    <w:rsid w:val="004B0D5B"/>
    <w:rsid w:val="004B23A2"/>
    <w:rsid w:val="004B6113"/>
    <w:rsid w:val="004B69ED"/>
    <w:rsid w:val="004B7B92"/>
    <w:rsid w:val="004C1773"/>
    <w:rsid w:val="004C1AF1"/>
    <w:rsid w:val="004C5DDA"/>
    <w:rsid w:val="004C7016"/>
    <w:rsid w:val="004C77E0"/>
    <w:rsid w:val="004D0305"/>
    <w:rsid w:val="004D50C2"/>
    <w:rsid w:val="004E35DC"/>
    <w:rsid w:val="004E5700"/>
    <w:rsid w:val="004E74FB"/>
    <w:rsid w:val="004E7C91"/>
    <w:rsid w:val="004F29E3"/>
    <w:rsid w:val="004F519B"/>
    <w:rsid w:val="0050072C"/>
    <w:rsid w:val="00500922"/>
    <w:rsid w:val="00501625"/>
    <w:rsid w:val="00502521"/>
    <w:rsid w:val="005027CA"/>
    <w:rsid w:val="0050400C"/>
    <w:rsid w:val="00505609"/>
    <w:rsid w:val="00505AE3"/>
    <w:rsid w:val="0051333F"/>
    <w:rsid w:val="00515935"/>
    <w:rsid w:val="005217FD"/>
    <w:rsid w:val="005244A0"/>
    <w:rsid w:val="005258D8"/>
    <w:rsid w:val="005307B0"/>
    <w:rsid w:val="005404EF"/>
    <w:rsid w:val="00541B9E"/>
    <w:rsid w:val="0054483A"/>
    <w:rsid w:val="00553CA8"/>
    <w:rsid w:val="00556B38"/>
    <w:rsid w:val="0055722C"/>
    <w:rsid w:val="00557536"/>
    <w:rsid w:val="0056795A"/>
    <w:rsid w:val="00567DBE"/>
    <w:rsid w:val="00570D49"/>
    <w:rsid w:val="00577C50"/>
    <w:rsid w:val="00577ECF"/>
    <w:rsid w:val="00580403"/>
    <w:rsid w:val="005843E6"/>
    <w:rsid w:val="00586005"/>
    <w:rsid w:val="00587804"/>
    <w:rsid w:val="00587DB0"/>
    <w:rsid w:val="005933D7"/>
    <w:rsid w:val="00594EC0"/>
    <w:rsid w:val="00597799"/>
    <w:rsid w:val="00597995"/>
    <w:rsid w:val="005A0F13"/>
    <w:rsid w:val="005A1BEF"/>
    <w:rsid w:val="005A49CC"/>
    <w:rsid w:val="005A5594"/>
    <w:rsid w:val="005A569C"/>
    <w:rsid w:val="005A608F"/>
    <w:rsid w:val="005A6959"/>
    <w:rsid w:val="005B3AD1"/>
    <w:rsid w:val="005C0F2F"/>
    <w:rsid w:val="005D46FE"/>
    <w:rsid w:val="005D5F14"/>
    <w:rsid w:val="005D67D4"/>
    <w:rsid w:val="005E57B2"/>
    <w:rsid w:val="005F7C85"/>
    <w:rsid w:val="006008D5"/>
    <w:rsid w:val="00602310"/>
    <w:rsid w:val="00605EC1"/>
    <w:rsid w:val="00606AB9"/>
    <w:rsid w:val="00612599"/>
    <w:rsid w:val="00613011"/>
    <w:rsid w:val="00613516"/>
    <w:rsid w:val="0062147A"/>
    <w:rsid w:val="00621703"/>
    <w:rsid w:val="00622AD8"/>
    <w:rsid w:val="0062323E"/>
    <w:rsid w:val="00626B07"/>
    <w:rsid w:val="00626B83"/>
    <w:rsid w:val="006316A5"/>
    <w:rsid w:val="00631CB9"/>
    <w:rsid w:val="00635575"/>
    <w:rsid w:val="006370D7"/>
    <w:rsid w:val="0064053B"/>
    <w:rsid w:val="00643B79"/>
    <w:rsid w:val="00643D21"/>
    <w:rsid w:val="0064529D"/>
    <w:rsid w:val="00645717"/>
    <w:rsid w:val="006519D6"/>
    <w:rsid w:val="00652E8D"/>
    <w:rsid w:val="00652F99"/>
    <w:rsid w:val="0065602B"/>
    <w:rsid w:val="00660DC3"/>
    <w:rsid w:val="006617E3"/>
    <w:rsid w:val="00663BC2"/>
    <w:rsid w:val="0066416E"/>
    <w:rsid w:val="00666DCC"/>
    <w:rsid w:val="00667B3D"/>
    <w:rsid w:val="00674FC6"/>
    <w:rsid w:val="00675486"/>
    <w:rsid w:val="006773CF"/>
    <w:rsid w:val="00677F26"/>
    <w:rsid w:val="0068203F"/>
    <w:rsid w:val="006820AE"/>
    <w:rsid w:val="006823C2"/>
    <w:rsid w:val="006842C6"/>
    <w:rsid w:val="00685E31"/>
    <w:rsid w:val="00685EEC"/>
    <w:rsid w:val="00695167"/>
    <w:rsid w:val="00695E0D"/>
    <w:rsid w:val="00697CFD"/>
    <w:rsid w:val="006A0092"/>
    <w:rsid w:val="006A5C98"/>
    <w:rsid w:val="006A64B2"/>
    <w:rsid w:val="006A6C01"/>
    <w:rsid w:val="006B044F"/>
    <w:rsid w:val="006B1F86"/>
    <w:rsid w:val="006B20D9"/>
    <w:rsid w:val="006B6FA1"/>
    <w:rsid w:val="006B79A9"/>
    <w:rsid w:val="006C28F2"/>
    <w:rsid w:val="006C5B5C"/>
    <w:rsid w:val="006C734E"/>
    <w:rsid w:val="006C756F"/>
    <w:rsid w:val="006C77ED"/>
    <w:rsid w:val="006D1F02"/>
    <w:rsid w:val="006D2FC9"/>
    <w:rsid w:val="006D45EE"/>
    <w:rsid w:val="006E032E"/>
    <w:rsid w:val="006E0B57"/>
    <w:rsid w:val="006E34EA"/>
    <w:rsid w:val="006E3C08"/>
    <w:rsid w:val="006F5C6E"/>
    <w:rsid w:val="006F6912"/>
    <w:rsid w:val="006F6C49"/>
    <w:rsid w:val="00703EE6"/>
    <w:rsid w:val="00706665"/>
    <w:rsid w:val="0070674D"/>
    <w:rsid w:val="00710F07"/>
    <w:rsid w:val="00715D29"/>
    <w:rsid w:val="0072158E"/>
    <w:rsid w:val="00724B95"/>
    <w:rsid w:val="00727F14"/>
    <w:rsid w:val="00733A15"/>
    <w:rsid w:val="00734055"/>
    <w:rsid w:val="007413E8"/>
    <w:rsid w:val="0075066D"/>
    <w:rsid w:val="00752601"/>
    <w:rsid w:val="00752FE1"/>
    <w:rsid w:val="007536C0"/>
    <w:rsid w:val="00753A09"/>
    <w:rsid w:val="007606DB"/>
    <w:rsid w:val="00760C4C"/>
    <w:rsid w:val="00760F7D"/>
    <w:rsid w:val="007638C9"/>
    <w:rsid w:val="0077061D"/>
    <w:rsid w:val="00771D65"/>
    <w:rsid w:val="007730D0"/>
    <w:rsid w:val="00777255"/>
    <w:rsid w:val="00780E15"/>
    <w:rsid w:val="0078376D"/>
    <w:rsid w:val="00786811"/>
    <w:rsid w:val="00787972"/>
    <w:rsid w:val="007904D6"/>
    <w:rsid w:val="00791F8E"/>
    <w:rsid w:val="0079215C"/>
    <w:rsid w:val="007941B4"/>
    <w:rsid w:val="0079483A"/>
    <w:rsid w:val="00796764"/>
    <w:rsid w:val="007A035D"/>
    <w:rsid w:val="007A1E90"/>
    <w:rsid w:val="007A2ADE"/>
    <w:rsid w:val="007A7F96"/>
    <w:rsid w:val="007B0261"/>
    <w:rsid w:val="007B20E2"/>
    <w:rsid w:val="007B22A0"/>
    <w:rsid w:val="007B2F17"/>
    <w:rsid w:val="007B460D"/>
    <w:rsid w:val="007B4F2E"/>
    <w:rsid w:val="007B69B0"/>
    <w:rsid w:val="007C011B"/>
    <w:rsid w:val="007C04CB"/>
    <w:rsid w:val="007C185D"/>
    <w:rsid w:val="007C1F8F"/>
    <w:rsid w:val="007C2267"/>
    <w:rsid w:val="007C22B1"/>
    <w:rsid w:val="007C2695"/>
    <w:rsid w:val="007C32C5"/>
    <w:rsid w:val="007C44B9"/>
    <w:rsid w:val="007C7DCF"/>
    <w:rsid w:val="007D0BC8"/>
    <w:rsid w:val="007D3189"/>
    <w:rsid w:val="007D62F0"/>
    <w:rsid w:val="007E0460"/>
    <w:rsid w:val="007E04D8"/>
    <w:rsid w:val="007E3CB6"/>
    <w:rsid w:val="007E55D8"/>
    <w:rsid w:val="007F0B27"/>
    <w:rsid w:val="007F0E32"/>
    <w:rsid w:val="007F3A2D"/>
    <w:rsid w:val="007F56EA"/>
    <w:rsid w:val="007F5F64"/>
    <w:rsid w:val="007F74EB"/>
    <w:rsid w:val="00800F5E"/>
    <w:rsid w:val="00801E88"/>
    <w:rsid w:val="008026BB"/>
    <w:rsid w:val="00803E46"/>
    <w:rsid w:val="008110E6"/>
    <w:rsid w:val="0081447A"/>
    <w:rsid w:val="00815B49"/>
    <w:rsid w:val="008263A4"/>
    <w:rsid w:val="008263FD"/>
    <w:rsid w:val="00830C5E"/>
    <w:rsid w:val="00834D16"/>
    <w:rsid w:val="00835DDE"/>
    <w:rsid w:val="00843D47"/>
    <w:rsid w:val="00844F5D"/>
    <w:rsid w:val="0084715D"/>
    <w:rsid w:val="00847EB4"/>
    <w:rsid w:val="00847ECD"/>
    <w:rsid w:val="00851792"/>
    <w:rsid w:val="00855264"/>
    <w:rsid w:val="00856582"/>
    <w:rsid w:val="00862196"/>
    <w:rsid w:val="00864244"/>
    <w:rsid w:val="00864B7A"/>
    <w:rsid w:val="00865F2F"/>
    <w:rsid w:val="008711AB"/>
    <w:rsid w:val="0088245C"/>
    <w:rsid w:val="00885746"/>
    <w:rsid w:val="00885931"/>
    <w:rsid w:val="00893163"/>
    <w:rsid w:val="008958B9"/>
    <w:rsid w:val="00897FD7"/>
    <w:rsid w:val="008A0D47"/>
    <w:rsid w:val="008A3BA6"/>
    <w:rsid w:val="008A5624"/>
    <w:rsid w:val="008A7A72"/>
    <w:rsid w:val="008B30E6"/>
    <w:rsid w:val="008B330F"/>
    <w:rsid w:val="008B3BFB"/>
    <w:rsid w:val="008B7B4B"/>
    <w:rsid w:val="008C0496"/>
    <w:rsid w:val="008C0EA7"/>
    <w:rsid w:val="008C3213"/>
    <w:rsid w:val="008C33FB"/>
    <w:rsid w:val="008C55DA"/>
    <w:rsid w:val="008C5DBD"/>
    <w:rsid w:val="008D0491"/>
    <w:rsid w:val="008D15C5"/>
    <w:rsid w:val="008D2A5B"/>
    <w:rsid w:val="008E1E76"/>
    <w:rsid w:val="008E3305"/>
    <w:rsid w:val="008E4982"/>
    <w:rsid w:val="008F0012"/>
    <w:rsid w:val="008F1DCB"/>
    <w:rsid w:val="008F2BC7"/>
    <w:rsid w:val="008F3679"/>
    <w:rsid w:val="008F385A"/>
    <w:rsid w:val="008F4CC4"/>
    <w:rsid w:val="008F5EE1"/>
    <w:rsid w:val="008F7C7B"/>
    <w:rsid w:val="00900EE3"/>
    <w:rsid w:val="00901CD5"/>
    <w:rsid w:val="009056E8"/>
    <w:rsid w:val="00907207"/>
    <w:rsid w:val="00910D2B"/>
    <w:rsid w:val="00910F63"/>
    <w:rsid w:val="0091109B"/>
    <w:rsid w:val="009128BC"/>
    <w:rsid w:val="00913732"/>
    <w:rsid w:val="00913F4D"/>
    <w:rsid w:val="00916D29"/>
    <w:rsid w:val="009271A8"/>
    <w:rsid w:val="0093124D"/>
    <w:rsid w:val="00934120"/>
    <w:rsid w:val="009353BD"/>
    <w:rsid w:val="00937322"/>
    <w:rsid w:val="00940F9E"/>
    <w:rsid w:val="009434A4"/>
    <w:rsid w:val="0094422A"/>
    <w:rsid w:val="00944FE0"/>
    <w:rsid w:val="00946FD6"/>
    <w:rsid w:val="009504A7"/>
    <w:rsid w:val="00951A8E"/>
    <w:rsid w:val="0095371B"/>
    <w:rsid w:val="00954C4F"/>
    <w:rsid w:val="00966892"/>
    <w:rsid w:val="009731A1"/>
    <w:rsid w:val="00973D79"/>
    <w:rsid w:val="00973FE1"/>
    <w:rsid w:val="00974C04"/>
    <w:rsid w:val="00976508"/>
    <w:rsid w:val="00977448"/>
    <w:rsid w:val="00981B1F"/>
    <w:rsid w:val="009842A5"/>
    <w:rsid w:val="00986798"/>
    <w:rsid w:val="00986D30"/>
    <w:rsid w:val="00987409"/>
    <w:rsid w:val="00987991"/>
    <w:rsid w:val="009901BC"/>
    <w:rsid w:val="0099328A"/>
    <w:rsid w:val="009A1976"/>
    <w:rsid w:val="009A2B65"/>
    <w:rsid w:val="009A7510"/>
    <w:rsid w:val="009B1BC6"/>
    <w:rsid w:val="009B2410"/>
    <w:rsid w:val="009B26E5"/>
    <w:rsid w:val="009B6D7B"/>
    <w:rsid w:val="009C0FFC"/>
    <w:rsid w:val="009C2F6F"/>
    <w:rsid w:val="009D347C"/>
    <w:rsid w:val="009D4D8B"/>
    <w:rsid w:val="009D6C75"/>
    <w:rsid w:val="009E01B1"/>
    <w:rsid w:val="009E05A4"/>
    <w:rsid w:val="009E3CB1"/>
    <w:rsid w:val="009F04DD"/>
    <w:rsid w:val="009F623F"/>
    <w:rsid w:val="00A01276"/>
    <w:rsid w:val="00A01E0F"/>
    <w:rsid w:val="00A03703"/>
    <w:rsid w:val="00A06FEE"/>
    <w:rsid w:val="00A10893"/>
    <w:rsid w:val="00A10A4C"/>
    <w:rsid w:val="00A12FE2"/>
    <w:rsid w:val="00A15D3D"/>
    <w:rsid w:val="00A22619"/>
    <w:rsid w:val="00A23B3F"/>
    <w:rsid w:val="00A2506C"/>
    <w:rsid w:val="00A27A55"/>
    <w:rsid w:val="00A27B52"/>
    <w:rsid w:val="00A30E76"/>
    <w:rsid w:val="00A33876"/>
    <w:rsid w:val="00A34624"/>
    <w:rsid w:val="00A37461"/>
    <w:rsid w:val="00A458ED"/>
    <w:rsid w:val="00A45BAF"/>
    <w:rsid w:val="00A46261"/>
    <w:rsid w:val="00A464C5"/>
    <w:rsid w:val="00A46ABD"/>
    <w:rsid w:val="00A50835"/>
    <w:rsid w:val="00A54684"/>
    <w:rsid w:val="00A55C96"/>
    <w:rsid w:val="00A64F0E"/>
    <w:rsid w:val="00A65686"/>
    <w:rsid w:val="00A6583D"/>
    <w:rsid w:val="00A6588D"/>
    <w:rsid w:val="00A66D1C"/>
    <w:rsid w:val="00A675C1"/>
    <w:rsid w:val="00A7128D"/>
    <w:rsid w:val="00A71C47"/>
    <w:rsid w:val="00A81305"/>
    <w:rsid w:val="00A87789"/>
    <w:rsid w:val="00A90221"/>
    <w:rsid w:val="00A90BF7"/>
    <w:rsid w:val="00A938A5"/>
    <w:rsid w:val="00A9471F"/>
    <w:rsid w:val="00AA11A3"/>
    <w:rsid w:val="00AA245B"/>
    <w:rsid w:val="00AA279F"/>
    <w:rsid w:val="00AA58EC"/>
    <w:rsid w:val="00AA5EFE"/>
    <w:rsid w:val="00AB0A89"/>
    <w:rsid w:val="00AC0DDF"/>
    <w:rsid w:val="00AC1B2E"/>
    <w:rsid w:val="00AC2464"/>
    <w:rsid w:val="00AD0E18"/>
    <w:rsid w:val="00AE189C"/>
    <w:rsid w:val="00AE3F1B"/>
    <w:rsid w:val="00AE66E3"/>
    <w:rsid w:val="00AE69A6"/>
    <w:rsid w:val="00AF5446"/>
    <w:rsid w:val="00B0122F"/>
    <w:rsid w:val="00B01516"/>
    <w:rsid w:val="00B047D8"/>
    <w:rsid w:val="00B1000A"/>
    <w:rsid w:val="00B12102"/>
    <w:rsid w:val="00B14775"/>
    <w:rsid w:val="00B178FD"/>
    <w:rsid w:val="00B22EAF"/>
    <w:rsid w:val="00B23F0A"/>
    <w:rsid w:val="00B3461E"/>
    <w:rsid w:val="00B34B4D"/>
    <w:rsid w:val="00B34E3E"/>
    <w:rsid w:val="00B3609B"/>
    <w:rsid w:val="00B369AF"/>
    <w:rsid w:val="00B377D0"/>
    <w:rsid w:val="00B403CC"/>
    <w:rsid w:val="00B407AB"/>
    <w:rsid w:val="00B4156E"/>
    <w:rsid w:val="00B41FB6"/>
    <w:rsid w:val="00B44EF4"/>
    <w:rsid w:val="00B4584F"/>
    <w:rsid w:val="00B45E5F"/>
    <w:rsid w:val="00B50756"/>
    <w:rsid w:val="00B5187F"/>
    <w:rsid w:val="00B53D9A"/>
    <w:rsid w:val="00B612FD"/>
    <w:rsid w:val="00B6479B"/>
    <w:rsid w:val="00B70465"/>
    <w:rsid w:val="00B70EE3"/>
    <w:rsid w:val="00B719CD"/>
    <w:rsid w:val="00B72B29"/>
    <w:rsid w:val="00B72C66"/>
    <w:rsid w:val="00B75FC2"/>
    <w:rsid w:val="00B850C4"/>
    <w:rsid w:val="00B85ADF"/>
    <w:rsid w:val="00B87D8B"/>
    <w:rsid w:val="00B9015D"/>
    <w:rsid w:val="00B90A8C"/>
    <w:rsid w:val="00B925C8"/>
    <w:rsid w:val="00B94487"/>
    <w:rsid w:val="00B95310"/>
    <w:rsid w:val="00B95C84"/>
    <w:rsid w:val="00B96A56"/>
    <w:rsid w:val="00BA09B3"/>
    <w:rsid w:val="00BA2FC6"/>
    <w:rsid w:val="00BA33BE"/>
    <w:rsid w:val="00BA3597"/>
    <w:rsid w:val="00BA5131"/>
    <w:rsid w:val="00BA6D98"/>
    <w:rsid w:val="00BA7082"/>
    <w:rsid w:val="00BB00DE"/>
    <w:rsid w:val="00BB01D3"/>
    <w:rsid w:val="00BB1228"/>
    <w:rsid w:val="00BB15A1"/>
    <w:rsid w:val="00BB1B1C"/>
    <w:rsid w:val="00BB6556"/>
    <w:rsid w:val="00BC2B83"/>
    <w:rsid w:val="00BD127A"/>
    <w:rsid w:val="00BD20D0"/>
    <w:rsid w:val="00BE16CA"/>
    <w:rsid w:val="00BE2295"/>
    <w:rsid w:val="00BE269F"/>
    <w:rsid w:val="00BE3DC0"/>
    <w:rsid w:val="00BE6E1A"/>
    <w:rsid w:val="00BF1309"/>
    <w:rsid w:val="00BF480B"/>
    <w:rsid w:val="00BF4E2F"/>
    <w:rsid w:val="00C13197"/>
    <w:rsid w:val="00C137E7"/>
    <w:rsid w:val="00C14F8B"/>
    <w:rsid w:val="00C15C4F"/>
    <w:rsid w:val="00C20264"/>
    <w:rsid w:val="00C24CFF"/>
    <w:rsid w:val="00C2506D"/>
    <w:rsid w:val="00C25CA4"/>
    <w:rsid w:val="00C27CE5"/>
    <w:rsid w:val="00C30AA6"/>
    <w:rsid w:val="00C311CC"/>
    <w:rsid w:val="00C317E0"/>
    <w:rsid w:val="00C331F4"/>
    <w:rsid w:val="00C3520B"/>
    <w:rsid w:val="00C354D9"/>
    <w:rsid w:val="00C40E56"/>
    <w:rsid w:val="00C412AB"/>
    <w:rsid w:val="00C41986"/>
    <w:rsid w:val="00C42319"/>
    <w:rsid w:val="00C42589"/>
    <w:rsid w:val="00C42DAF"/>
    <w:rsid w:val="00C4362D"/>
    <w:rsid w:val="00C44BB1"/>
    <w:rsid w:val="00C468C9"/>
    <w:rsid w:val="00C50211"/>
    <w:rsid w:val="00C5187C"/>
    <w:rsid w:val="00C520F9"/>
    <w:rsid w:val="00C52F3E"/>
    <w:rsid w:val="00C53521"/>
    <w:rsid w:val="00C61E24"/>
    <w:rsid w:val="00C61F43"/>
    <w:rsid w:val="00C648AA"/>
    <w:rsid w:val="00C65215"/>
    <w:rsid w:val="00C671DC"/>
    <w:rsid w:val="00C67399"/>
    <w:rsid w:val="00C67EB0"/>
    <w:rsid w:val="00C70960"/>
    <w:rsid w:val="00C7264E"/>
    <w:rsid w:val="00C732C2"/>
    <w:rsid w:val="00C73787"/>
    <w:rsid w:val="00C73D30"/>
    <w:rsid w:val="00C82B84"/>
    <w:rsid w:val="00C848B5"/>
    <w:rsid w:val="00C85FD7"/>
    <w:rsid w:val="00C862EF"/>
    <w:rsid w:val="00C8632C"/>
    <w:rsid w:val="00C90447"/>
    <w:rsid w:val="00C911FF"/>
    <w:rsid w:val="00C926A8"/>
    <w:rsid w:val="00C946CD"/>
    <w:rsid w:val="00C96488"/>
    <w:rsid w:val="00CA5FB4"/>
    <w:rsid w:val="00CA65D1"/>
    <w:rsid w:val="00CB037A"/>
    <w:rsid w:val="00CB64A1"/>
    <w:rsid w:val="00CB794E"/>
    <w:rsid w:val="00CC104B"/>
    <w:rsid w:val="00CC4646"/>
    <w:rsid w:val="00CD0595"/>
    <w:rsid w:val="00CD2FAC"/>
    <w:rsid w:val="00CD6A17"/>
    <w:rsid w:val="00CE2412"/>
    <w:rsid w:val="00CE2DB8"/>
    <w:rsid w:val="00CE3642"/>
    <w:rsid w:val="00CE4F75"/>
    <w:rsid w:val="00CE648D"/>
    <w:rsid w:val="00CE7219"/>
    <w:rsid w:val="00CF48D3"/>
    <w:rsid w:val="00D03B1E"/>
    <w:rsid w:val="00D1071A"/>
    <w:rsid w:val="00D114F2"/>
    <w:rsid w:val="00D12613"/>
    <w:rsid w:val="00D12C3D"/>
    <w:rsid w:val="00D14BFF"/>
    <w:rsid w:val="00D17A9A"/>
    <w:rsid w:val="00D2057C"/>
    <w:rsid w:val="00D24955"/>
    <w:rsid w:val="00D27531"/>
    <w:rsid w:val="00D30F44"/>
    <w:rsid w:val="00D34B01"/>
    <w:rsid w:val="00D355A3"/>
    <w:rsid w:val="00D356CE"/>
    <w:rsid w:val="00D36E70"/>
    <w:rsid w:val="00D40E14"/>
    <w:rsid w:val="00D41B11"/>
    <w:rsid w:val="00D43D31"/>
    <w:rsid w:val="00D4605C"/>
    <w:rsid w:val="00D51FF2"/>
    <w:rsid w:val="00D5269A"/>
    <w:rsid w:val="00D54830"/>
    <w:rsid w:val="00D5704C"/>
    <w:rsid w:val="00D6028C"/>
    <w:rsid w:val="00D62586"/>
    <w:rsid w:val="00D62A6C"/>
    <w:rsid w:val="00D63016"/>
    <w:rsid w:val="00D64F0D"/>
    <w:rsid w:val="00D7016A"/>
    <w:rsid w:val="00D71EAD"/>
    <w:rsid w:val="00D72FB3"/>
    <w:rsid w:val="00D77525"/>
    <w:rsid w:val="00D83CD6"/>
    <w:rsid w:val="00D87E4B"/>
    <w:rsid w:val="00D90517"/>
    <w:rsid w:val="00D91695"/>
    <w:rsid w:val="00D92804"/>
    <w:rsid w:val="00D92A64"/>
    <w:rsid w:val="00D946FF"/>
    <w:rsid w:val="00D949F2"/>
    <w:rsid w:val="00DA1187"/>
    <w:rsid w:val="00DA12DF"/>
    <w:rsid w:val="00DA145D"/>
    <w:rsid w:val="00DA3BF1"/>
    <w:rsid w:val="00DA495A"/>
    <w:rsid w:val="00DA52BE"/>
    <w:rsid w:val="00DA550D"/>
    <w:rsid w:val="00DA5AD6"/>
    <w:rsid w:val="00DA6CB2"/>
    <w:rsid w:val="00DA701F"/>
    <w:rsid w:val="00DB18C9"/>
    <w:rsid w:val="00DB6EC6"/>
    <w:rsid w:val="00DB7523"/>
    <w:rsid w:val="00DC6280"/>
    <w:rsid w:val="00DD2709"/>
    <w:rsid w:val="00DD5AB5"/>
    <w:rsid w:val="00DD750F"/>
    <w:rsid w:val="00DD7A8E"/>
    <w:rsid w:val="00DE0503"/>
    <w:rsid w:val="00DE08CC"/>
    <w:rsid w:val="00DE0FBF"/>
    <w:rsid w:val="00DE37D3"/>
    <w:rsid w:val="00DE7B8C"/>
    <w:rsid w:val="00DF5EA6"/>
    <w:rsid w:val="00E00630"/>
    <w:rsid w:val="00E025CF"/>
    <w:rsid w:val="00E10E14"/>
    <w:rsid w:val="00E130C9"/>
    <w:rsid w:val="00E15BB4"/>
    <w:rsid w:val="00E21346"/>
    <w:rsid w:val="00E24A7A"/>
    <w:rsid w:val="00E3689C"/>
    <w:rsid w:val="00E41976"/>
    <w:rsid w:val="00E4249D"/>
    <w:rsid w:val="00E42F9C"/>
    <w:rsid w:val="00E43BD1"/>
    <w:rsid w:val="00E53E27"/>
    <w:rsid w:val="00E54053"/>
    <w:rsid w:val="00E553E7"/>
    <w:rsid w:val="00E55C41"/>
    <w:rsid w:val="00E55DC3"/>
    <w:rsid w:val="00E61FCA"/>
    <w:rsid w:val="00E63D3F"/>
    <w:rsid w:val="00E7635B"/>
    <w:rsid w:val="00E83853"/>
    <w:rsid w:val="00E84EEF"/>
    <w:rsid w:val="00E90C02"/>
    <w:rsid w:val="00E94C0E"/>
    <w:rsid w:val="00E94DCC"/>
    <w:rsid w:val="00EA0D68"/>
    <w:rsid w:val="00EA4D3A"/>
    <w:rsid w:val="00EB07AB"/>
    <w:rsid w:val="00EB0DD5"/>
    <w:rsid w:val="00EB4713"/>
    <w:rsid w:val="00EB4A6D"/>
    <w:rsid w:val="00EC039D"/>
    <w:rsid w:val="00EC14FB"/>
    <w:rsid w:val="00EC36C2"/>
    <w:rsid w:val="00EC64EE"/>
    <w:rsid w:val="00EC66B9"/>
    <w:rsid w:val="00EC67EC"/>
    <w:rsid w:val="00ED138E"/>
    <w:rsid w:val="00ED1C0C"/>
    <w:rsid w:val="00ED1DFE"/>
    <w:rsid w:val="00ED4118"/>
    <w:rsid w:val="00ED4C62"/>
    <w:rsid w:val="00EE166A"/>
    <w:rsid w:val="00EE7B63"/>
    <w:rsid w:val="00EF2D7E"/>
    <w:rsid w:val="00EF3F0E"/>
    <w:rsid w:val="00EF4ECD"/>
    <w:rsid w:val="00F003C0"/>
    <w:rsid w:val="00F03639"/>
    <w:rsid w:val="00F043F0"/>
    <w:rsid w:val="00F05DA9"/>
    <w:rsid w:val="00F06737"/>
    <w:rsid w:val="00F13618"/>
    <w:rsid w:val="00F14A5F"/>
    <w:rsid w:val="00F15C7F"/>
    <w:rsid w:val="00F17929"/>
    <w:rsid w:val="00F20AEE"/>
    <w:rsid w:val="00F211C0"/>
    <w:rsid w:val="00F2384C"/>
    <w:rsid w:val="00F3086E"/>
    <w:rsid w:val="00F331DF"/>
    <w:rsid w:val="00F34B4B"/>
    <w:rsid w:val="00F41BEE"/>
    <w:rsid w:val="00F42C35"/>
    <w:rsid w:val="00F44119"/>
    <w:rsid w:val="00F470E3"/>
    <w:rsid w:val="00F50172"/>
    <w:rsid w:val="00F507DD"/>
    <w:rsid w:val="00F547F4"/>
    <w:rsid w:val="00F5565C"/>
    <w:rsid w:val="00F570EE"/>
    <w:rsid w:val="00F601DE"/>
    <w:rsid w:val="00F6180C"/>
    <w:rsid w:val="00F61B71"/>
    <w:rsid w:val="00F65FCC"/>
    <w:rsid w:val="00F70408"/>
    <w:rsid w:val="00F70F95"/>
    <w:rsid w:val="00F72D2D"/>
    <w:rsid w:val="00F74608"/>
    <w:rsid w:val="00F77545"/>
    <w:rsid w:val="00F814C5"/>
    <w:rsid w:val="00F81DAE"/>
    <w:rsid w:val="00F82733"/>
    <w:rsid w:val="00F879BA"/>
    <w:rsid w:val="00F87A3C"/>
    <w:rsid w:val="00F911AF"/>
    <w:rsid w:val="00F93094"/>
    <w:rsid w:val="00F943E0"/>
    <w:rsid w:val="00FA0E61"/>
    <w:rsid w:val="00FA1044"/>
    <w:rsid w:val="00FA1F0C"/>
    <w:rsid w:val="00FA26D5"/>
    <w:rsid w:val="00FA34FA"/>
    <w:rsid w:val="00FA398F"/>
    <w:rsid w:val="00FA5A97"/>
    <w:rsid w:val="00FA7556"/>
    <w:rsid w:val="00FB3B27"/>
    <w:rsid w:val="00FC0D85"/>
    <w:rsid w:val="00FC6C5C"/>
    <w:rsid w:val="00FD51A2"/>
    <w:rsid w:val="00FD6C24"/>
    <w:rsid w:val="00FE41C8"/>
    <w:rsid w:val="00FE6508"/>
    <w:rsid w:val="00FF23BB"/>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118"/>
    <o:shapelayout v:ext="edit">
      <o:idmap v:ext="edit" data="2,3"/>
    </o:shapelayout>
  </w:shapeDefaults>
  <w:decimalSymbol w:val=","/>
  <w:listSeparator w:val=";"/>
  <w14:docId w14:val="3D43B86B"/>
  <w15:docId w15:val="{616AD535-B487-43D0-BD96-ADE73133B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pl-PL" w:eastAsia="en-US" w:bidi="ar-SA"/>
      </w:rPr>
    </w:rPrDefault>
    <w:pPrDefault>
      <w:pPr>
        <w:spacing w:after="8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B7523"/>
  </w:style>
  <w:style w:type="paragraph" w:styleId="Nagwek1">
    <w:name w:val="heading 1"/>
    <w:basedOn w:val="Normalny"/>
    <w:next w:val="Normalny"/>
    <w:link w:val="Nagwek1Znak"/>
    <w:uiPriority w:val="9"/>
    <w:qFormat/>
    <w:rsid w:val="00DB7523"/>
    <w:pPr>
      <w:spacing w:before="300" w:after="40"/>
      <w:jc w:val="left"/>
      <w:outlineLvl w:val="0"/>
    </w:pPr>
    <w:rPr>
      <w:smallCaps/>
      <w:spacing w:val="5"/>
      <w:sz w:val="32"/>
      <w:szCs w:val="32"/>
    </w:rPr>
  </w:style>
  <w:style w:type="paragraph" w:styleId="Nagwek2">
    <w:name w:val="heading 2"/>
    <w:basedOn w:val="Normalny"/>
    <w:next w:val="Normalny"/>
    <w:link w:val="Nagwek2Znak"/>
    <w:uiPriority w:val="9"/>
    <w:unhideWhenUsed/>
    <w:qFormat/>
    <w:rsid w:val="00DB7523"/>
    <w:pPr>
      <w:spacing w:after="0"/>
      <w:jc w:val="left"/>
      <w:outlineLvl w:val="1"/>
    </w:pPr>
    <w:rPr>
      <w:smallCaps/>
      <w:spacing w:val="5"/>
      <w:sz w:val="28"/>
      <w:szCs w:val="28"/>
    </w:rPr>
  </w:style>
  <w:style w:type="paragraph" w:styleId="Nagwek3">
    <w:name w:val="heading 3"/>
    <w:basedOn w:val="Normalny"/>
    <w:next w:val="Normalny"/>
    <w:link w:val="Nagwek3Znak"/>
    <w:uiPriority w:val="9"/>
    <w:unhideWhenUsed/>
    <w:qFormat/>
    <w:rsid w:val="00DB7523"/>
    <w:pPr>
      <w:spacing w:after="0"/>
      <w:jc w:val="left"/>
      <w:outlineLvl w:val="2"/>
    </w:pPr>
    <w:rPr>
      <w:smallCaps/>
      <w:spacing w:val="5"/>
      <w:sz w:val="24"/>
      <w:szCs w:val="24"/>
    </w:rPr>
  </w:style>
  <w:style w:type="paragraph" w:styleId="Nagwek4">
    <w:name w:val="heading 4"/>
    <w:basedOn w:val="Normalny"/>
    <w:next w:val="Normalny"/>
    <w:link w:val="Nagwek4Znak"/>
    <w:uiPriority w:val="9"/>
    <w:unhideWhenUsed/>
    <w:qFormat/>
    <w:rsid w:val="00DB7523"/>
    <w:pPr>
      <w:spacing w:after="0"/>
      <w:jc w:val="left"/>
      <w:outlineLvl w:val="3"/>
    </w:pPr>
    <w:rPr>
      <w:i/>
      <w:iCs/>
      <w:smallCaps/>
      <w:spacing w:val="10"/>
      <w:sz w:val="22"/>
      <w:szCs w:val="22"/>
    </w:rPr>
  </w:style>
  <w:style w:type="paragraph" w:styleId="Nagwek5">
    <w:name w:val="heading 5"/>
    <w:basedOn w:val="Normalny"/>
    <w:next w:val="Normalny"/>
    <w:link w:val="Nagwek5Znak"/>
    <w:uiPriority w:val="9"/>
    <w:semiHidden/>
    <w:unhideWhenUsed/>
    <w:qFormat/>
    <w:rsid w:val="00DB7523"/>
    <w:pPr>
      <w:spacing w:after="0"/>
      <w:jc w:val="left"/>
      <w:outlineLvl w:val="4"/>
    </w:pPr>
    <w:rPr>
      <w:smallCaps/>
      <w:color w:val="3A7C22" w:themeColor="accent6" w:themeShade="BF"/>
      <w:spacing w:val="10"/>
      <w:sz w:val="22"/>
      <w:szCs w:val="22"/>
    </w:rPr>
  </w:style>
  <w:style w:type="paragraph" w:styleId="Nagwek6">
    <w:name w:val="heading 6"/>
    <w:basedOn w:val="Normalny"/>
    <w:next w:val="Normalny"/>
    <w:link w:val="Nagwek6Znak"/>
    <w:uiPriority w:val="9"/>
    <w:semiHidden/>
    <w:unhideWhenUsed/>
    <w:qFormat/>
    <w:rsid w:val="00DB7523"/>
    <w:pPr>
      <w:spacing w:after="0"/>
      <w:jc w:val="left"/>
      <w:outlineLvl w:val="5"/>
    </w:pPr>
    <w:rPr>
      <w:smallCaps/>
      <w:color w:val="4EA72E" w:themeColor="accent6"/>
      <w:spacing w:val="5"/>
      <w:sz w:val="22"/>
      <w:szCs w:val="22"/>
    </w:rPr>
  </w:style>
  <w:style w:type="paragraph" w:styleId="Nagwek7">
    <w:name w:val="heading 7"/>
    <w:basedOn w:val="Normalny"/>
    <w:next w:val="Normalny"/>
    <w:link w:val="Nagwek7Znak"/>
    <w:uiPriority w:val="9"/>
    <w:semiHidden/>
    <w:unhideWhenUsed/>
    <w:qFormat/>
    <w:rsid w:val="00DB7523"/>
    <w:pPr>
      <w:spacing w:after="0"/>
      <w:jc w:val="left"/>
      <w:outlineLvl w:val="6"/>
    </w:pPr>
    <w:rPr>
      <w:b/>
      <w:bCs/>
      <w:smallCaps/>
      <w:color w:val="4EA72E" w:themeColor="accent6"/>
      <w:spacing w:val="10"/>
    </w:rPr>
  </w:style>
  <w:style w:type="paragraph" w:styleId="Nagwek8">
    <w:name w:val="heading 8"/>
    <w:basedOn w:val="Normalny"/>
    <w:next w:val="Normalny"/>
    <w:link w:val="Nagwek8Znak"/>
    <w:uiPriority w:val="9"/>
    <w:semiHidden/>
    <w:unhideWhenUsed/>
    <w:qFormat/>
    <w:rsid w:val="00DB7523"/>
    <w:pPr>
      <w:spacing w:after="0"/>
      <w:jc w:val="left"/>
      <w:outlineLvl w:val="7"/>
    </w:pPr>
    <w:rPr>
      <w:b/>
      <w:bCs/>
      <w:i/>
      <w:iCs/>
      <w:smallCaps/>
      <w:color w:val="3A7C22" w:themeColor="accent6" w:themeShade="BF"/>
    </w:rPr>
  </w:style>
  <w:style w:type="paragraph" w:styleId="Nagwek9">
    <w:name w:val="heading 9"/>
    <w:basedOn w:val="Normalny"/>
    <w:next w:val="Normalny"/>
    <w:link w:val="Nagwek9Znak"/>
    <w:uiPriority w:val="9"/>
    <w:semiHidden/>
    <w:unhideWhenUsed/>
    <w:qFormat/>
    <w:rsid w:val="00DB7523"/>
    <w:pPr>
      <w:spacing w:after="0"/>
      <w:jc w:val="left"/>
      <w:outlineLvl w:val="8"/>
    </w:pPr>
    <w:rPr>
      <w:b/>
      <w:bCs/>
      <w:i/>
      <w:iCs/>
      <w:smallCaps/>
      <w:color w:val="275317" w:themeColor="accent6" w:themeShade="8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4Znak">
    <w:name w:val="Nagłówek 4 Znak"/>
    <w:basedOn w:val="Domylnaczcionkaakapitu"/>
    <w:link w:val="Nagwek4"/>
    <w:uiPriority w:val="9"/>
    <w:rsid w:val="00DB7523"/>
    <w:rPr>
      <w:i/>
      <w:iCs/>
      <w:smallCaps/>
      <w:spacing w:val="10"/>
      <w:sz w:val="22"/>
      <w:szCs w:val="22"/>
    </w:rPr>
  </w:style>
  <w:style w:type="character" w:customStyle="1" w:styleId="Nagwek2Znak">
    <w:name w:val="Nagłówek 2 Znak"/>
    <w:basedOn w:val="Domylnaczcionkaakapitu"/>
    <w:link w:val="Nagwek2"/>
    <w:uiPriority w:val="9"/>
    <w:rsid w:val="00DB7523"/>
    <w:rPr>
      <w:smallCaps/>
      <w:spacing w:val="5"/>
      <w:sz w:val="28"/>
      <w:szCs w:val="28"/>
    </w:rPr>
  </w:style>
  <w:style w:type="character" w:customStyle="1" w:styleId="Nagwek1Znak">
    <w:name w:val="Nagłówek 1 Znak"/>
    <w:basedOn w:val="Domylnaczcionkaakapitu"/>
    <w:link w:val="Nagwek1"/>
    <w:uiPriority w:val="9"/>
    <w:rsid w:val="00DB7523"/>
    <w:rPr>
      <w:smallCaps/>
      <w:spacing w:val="5"/>
      <w:sz w:val="32"/>
      <w:szCs w:val="32"/>
    </w:rPr>
  </w:style>
  <w:style w:type="character" w:customStyle="1" w:styleId="Nagwek3Znak">
    <w:name w:val="Nagłówek 3 Znak"/>
    <w:basedOn w:val="Domylnaczcionkaakapitu"/>
    <w:link w:val="Nagwek3"/>
    <w:uiPriority w:val="9"/>
    <w:rsid w:val="00DB7523"/>
    <w:rPr>
      <w:smallCaps/>
      <w:spacing w:val="5"/>
      <w:sz w:val="24"/>
      <w:szCs w:val="24"/>
    </w:rPr>
  </w:style>
  <w:style w:type="table" w:customStyle="1" w:styleId="TableGrid">
    <w:name w:val="TableGrid"/>
    <w:rsid w:val="00E55C41"/>
    <w:pPr>
      <w:spacing w:after="0"/>
    </w:pPr>
    <w:tblPr>
      <w:tblCellMar>
        <w:top w:w="0" w:type="dxa"/>
        <w:left w:w="0" w:type="dxa"/>
        <w:bottom w:w="0" w:type="dxa"/>
        <w:right w:w="0" w:type="dxa"/>
      </w:tblCellMar>
    </w:tblPr>
  </w:style>
  <w:style w:type="paragraph" w:styleId="Bezodstpw">
    <w:name w:val="No Spacing"/>
    <w:link w:val="BezodstpwZnak"/>
    <w:uiPriority w:val="1"/>
    <w:qFormat/>
    <w:rsid w:val="00DB7523"/>
    <w:pPr>
      <w:spacing w:after="0"/>
    </w:pPr>
  </w:style>
  <w:style w:type="paragraph" w:styleId="Akapitzlist">
    <w:name w:val="List Paragraph"/>
    <w:basedOn w:val="Normalny"/>
    <w:uiPriority w:val="34"/>
    <w:qFormat/>
    <w:rsid w:val="00BE16CA"/>
    <w:pPr>
      <w:ind w:left="720"/>
      <w:contextualSpacing/>
    </w:pPr>
  </w:style>
  <w:style w:type="paragraph" w:styleId="Stopka">
    <w:name w:val="footer"/>
    <w:basedOn w:val="Normalny"/>
    <w:link w:val="StopkaZnak"/>
    <w:uiPriority w:val="99"/>
    <w:unhideWhenUsed/>
    <w:rsid w:val="00553CA8"/>
    <w:pPr>
      <w:tabs>
        <w:tab w:val="center" w:pos="4536"/>
        <w:tab w:val="right" w:pos="9072"/>
      </w:tabs>
      <w:spacing w:after="0"/>
    </w:pPr>
  </w:style>
  <w:style w:type="character" w:customStyle="1" w:styleId="StopkaZnak">
    <w:name w:val="Stopka Znak"/>
    <w:basedOn w:val="Domylnaczcionkaakapitu"/>
    <w:link w:val="Stopka"/>
    <w:uiPriority w:val="99"/>
    <w:rsid w:val="00553CA8"/>
    <w:rPr>
      <w:rFonts w:ascii="Times New Roman" w:eastAsia="Times New Roman" w:hAnsi="Times New Roman" w:cs="Times New Roman"/>
      <w:color w:val="000000"/>
    </w:rPr>
  </w:style>
  <w:style w:type="character" w:styleId="Hipercze">
    <w:name w:val="Hyperlink"/>
    <w:basedOn w:val="Domylnaczcionkaakapitu"/>
    <w:uiPriority w:val="99"/>
    <w:unhideWhenUsed/>
    <w:rsid w:val="00973FE1"/>
    <w:rPr>
      <w:color w:val="467886" w:themeColor="hyperlink"/>
      <w:u w:val="single"/>
    </w:rPr>
  </w:style>
  <w:style w:type="character" w:customStyle="1" w:styleId="Nierozpoznanawzmianka1">
    <w:name w:val="Nierozpoznana wzmianka1"/>
    <w:basedOn w:val="Domylnaczcionkaakapitu"/>
    <w:uiPriority w:val="99"/>
    <w:semiHidden/>
    <w:unhideWhenUsed/>
    <w:rsid w:val="00973FE1"/>
    <w:rPr>
      <w:color w:val="605E5C"/>
      <w:shd w:val="clear" w:color="auto" w:fill="E1DFDD"/>
    </w:rPr>
  </w:style>
  <w:style w:type="numbering" w:customStyle="1" w:styleId="Biecalista1">
    <w:name w:val="Bieżąca lista1"/>
    <w:uiPriority w:val="99"/>
    <w:rsid w:val="003E6C34"/>
    <w:pPr>
      <w:numPr>
        <w:numId w:val="14"/>
      </w:numPr>
    </w:pPr>
  </w:style>
  <w:style w:type="numbering" w:customStyle="1" w:styleId="Biecalista2">
    <w:name w:val="Bieżąca lista2"/>
    <w:uiPriority w:val="99"/>
    <w:rsid w:val="008263FD"/>
    <w:pPr>
      <w:numPr>
        <w:numId w:val="15"/>
      </w:numPr>
    </w:pPr>
  </w:style>
  <w:style w:type="numbering" w:customStyle="1" w:styleId="Biecalista3">
    <w:name w:val="Bieżąca lista3"/>
    <w:uiPriority w:val="99"/>
    <w:rsid w:val="008263FD"/>
    <w:pPr>
      <w:numPr>
        <w:numId w:val="16"/>
      </w:numPr>
    </w:pPr>
  </w:style>
  <w:style w:type="numbering" w:customStyle="1" w:styleId="Biecalista4">
    <w:name w:val="Bieżąca lista4"/>
    <w:uiPriority w:val="99"/>
    <w:rsid w:val="007536C0"/>
    <w:pPr>
      <w:numPr>
        <w:numId w:val="17"/>
      </w:numPr>
    </w:pPr>
  </w:style>
  <w:style w:type="character" w:styleId="Tekstzastpczy">
    <w:name w:val="Placeholder Text"/>
    <w:basedOn w:val="Domylnaczcionkaakapitu"/>
    <w:uiPriority w:val="99"/>
    <w:semiHidden/>
    <w:rsid w:val="00025EFD"/>
    <w:rPr>
      <w:color w:val="666666"/>
    </w:rPr>
  </w:style>
  <w:style w:type="paragraph" w:styleId="Tekstprzypisukocowego">
    <w:name w:val="endnote text"/>
    <w:basedOn w:val="Normalny"/>
    <w:link w:val="TekstprzypisukocowegoZnak"/>
    <w:uiPriority w:val="99"/>
    <w:semiHidden/>
    <w:unhideWhenUsed/>
    <w:rsid w:val="00F82733"/>
    <w:pPr>
      <w:spacing w:after="0"/>
    </w:pPr>
  </w:style>
  <w:style w:type="character" w:customStyle="1" w:styleId="TekstprzypisukocowegoZnak">
    <w:name w:val="Tekst przypisu końcowego Znak"/>
    <w:basedOn w:val="Domylnaczcionkaakapitu"/>
    <w:link w:val="Tekstprzypisukocowego"/>
    <w:uiPriority w:val="99"/>
    <w:semiHidden/>
    <w:rsid w:val="00F82733"/>
    <w:rPr>
      <w:rFonts w:ascii="Times New Roman" w:eastAsia="Times New Roman" w:hAnsi="Times New Roman" w:cs="Times New Roman"/>
      <w:color w:val="000000"/>
      <w:sz w:val="20"/>
      <w:szCs w:val="20"/>
    </w:rPr>
  </w:style>
  <w:style w:type="character" w:styleId="Odwoanieprzypisukocowego">
    <w:name w:val="endnote reference"/>
    <w:basedOn w:val="Domylnaczcionkaakapitu"/>
    <w:uiPriority w:val="99"/>
    <w:semiHidden/>
    <w:unhideWhenUsed/>
    <w:rsid w:val="00F82733"/>
    <w:rPr>
      <w:vertAlign w:val="superscript"/>
    </w:rPr>
  </w:style>
  <w:style w:type="paragraph" w:styleId="Nagwek">
    <w:name w:val="header"/>
    <w:basedOn w:val="Normalny"/>
    <w:link w:val="NagwekZnak"/>
    <w:uiPriority w:val="99"/>
    <w:unhideWhenUsed/>
    <w:rsid w:val="006C28F2"/>
    <w:pPr>
      <w:tabs>
        <w:tab w:val="center" w:pos="4536"/>
        <w:tab w:val="right" w:pos="9072"/>
      </w:tabs>
      <w:spacing w:after="0"/>
      <w:ind w:left="1266" w:firstLine="4"/>
    </w:pPr>
  </w:style>
  <w:style w:type="character" w:customStyle="1" w:styleId="NagwekZnak">
    <w:name w:val="Nagłówek Znak"/>
    <w:basedOn w:val="Domylnaczcionkaakapitu"/>
    <w:link w:val="Nagwek"/>
    <w:uiPriority w:val="99"/>
    <w:rsid w:val="006C28F2"/>
    <w:rPr>
      <w:rFonts w:ascii="Times New Roman" w:eastAsia="Times New Roman" w:hAnsi="Times New Roman" w:cs="Times New Roman"/>
      <w:color w:val="000000"/>
    </w:rPr>
  </w:style>
  <w:style w:type="table" w:customStyle="1" w:styleId="TableGrid1">
    <w:name w:val="TableGrid1"/>
    <w:rsid w:val="004D0305"/>
    <w:pPr>
      <w:spacing w:after="0"/>
    </w:pPr>
    <w:tblPr>
      <w:tblCellMar>
        <w:top w:w="0" w:type="dxa"/>
        <w:left w:w="0" w:type="dxa"/>
        <w:bottom w:w="0" w:type="dxa"/>
        <w:right w:w="0" w:type="dxa"/>
      </w:tblCellMar>
    </w:tblPr>
  </w:style>
  <w:style w:type="table" w:customStyle="1" w:styleId="TableGrid2">
    <w:name w:val="TableGrid2"/>
    <w:rsid w:val="00780E15"/>
    <w:pPr>
      <w:spacing w:after="0"/>
    </w:pPr>
    <w:tblPr>
      <w:tblCellMar>
        <w:top w:w="0" w:type="dxa"/>
        <w:left w:w="0" w:type="dxa"/>
        <w:bottom w:w="0" w:type="dxa"/>
        <w:right w:w="0" w:type="dxa"/>
      </w:tblCellMar>
    </w:tblPr>
  </w:style>
  <w:style w:type="table" w:customStyle="1" w:styleId="TableGrid3">
    <w:name w:val="TableGrid3"/>
    <w:rsid w:val="00D92804"/>
    <w:pPr>
      <w:spacing w:after="0"/>
    </w:pPr>
    <w:tblPr>
      <w:tblCellMar>
        <w:top w:w="0" w:type="dxa"/>
        <w:left w:w="0" w:type="dxa"/>
        <w:bottom w:w="0" w:type="dxa"/>
        <w:right w:w="0" w:type="dxa"/>
      </w:tblCellMar>
    </w:tblPr>
  </w:style>
  <w:style w:type="numbering" w:customStyle="1" w:styleId="Biecalista5">
    <w:name w:val="Bieżąca lista5"/>
    <w:uiPriority w:val="99"/>
    <w:rsid w:val="006A6C01"/>
    <w:pPr>
      <w:numPr>
        <w:numId w:val="45"/>
      </w:numPr>
    </w:pPr>
  </w:style>
  <w:style w:type="character" w:customStyle="1" w:styleId="BezodstpwZnak">
    <w:name w:val="Bez odstępów Znak"/>
    <w:basedOn w:val="Domylnaczcionkaakapitu"/>
    <w:link w:val="Bezodstpw"/>
    <w:uiPriority w:val="1"/>
    <w:rsid w:val="007A7F96"/>
  </w:style>
  <w:style w:type="character" w:customStyle="1" w:styleId="Nagwek5Znak">
    <w:name w:val="Nagłówek 5 Znak"/>
    <w:basedOn w:val="Domylnaczcionkaakapitu"/>
    <w:link w:val="Nagwek5"/>
    <w:uiPriority w:val="9"/>
    <w:semiHidden/>
    <w:rsid w:val="00DB7523"/>
    <w:rPr>
      <w:smallCaps/>
      <w:color w:val="3A7C22" w:themeColor="accent6" w:themeShade="BF"/>
      <w:spacing w:val="10"/>
      <w:sz w:val="22"/>
      <w:szCs w:val="22"/>
    </w:rPr>
  </w:style>
  <w:style w:type="character" w:customStyle="1" w:styleId="Nagwek6Znak">
    <w:name w:val="Nagłówek 6 Znak"/>
    <w:basedOn w:val="Domylnaczcionkaakapitu"/>
    <w:link w:val="Nagwek6"/>
    <w:uiPriority w:val="9"/>
    <w:semiHidden/>
    <w:rsid w:val="00DB7523"/>
    <w:rPr>
      <w:smallCaps/>
      <w:color w:val="4EA72E" w:themeColor="accent6"/>
      <w:spacing w:val="5"/>
      <w:sz w:val="22"/>
      <w:szCs w:val="22"/>
    </w:rPr>
  </w:style>
  <w:style w:type="character" w:customStyle="1" w:styleId="Nagwek7Znak">
    <w:name w:val="Nagłówek 7 Znak"/>
    <w:basedOn w:val="Domylnaczcionkaakapitu"/>
    <w:link w:val="Nagwek7"/>
    <w:uiPriority w:val="9"/>
    <w:semiHidden/>
    <w:rsid w:val="00DB7523"/>
    <w:rPr>
      <w:b/>
      <w:bCs/>
      <w:smallCaps/>
      <w:color w:val="4EA72E" w:themeColor="accent6"/>
      <w:spacing w:val="10"/>
    </w:rPr>
  </w:style>
  <w:style w:type="character" w:customStyle="1" w:styleId="Nagwek8Znak">
    <w:name w:val="Nagłówek 8 Znak"/>
    <w:basedOn w:val="Domylnaczcionkaakapitu"/>
    <w:link w:val="Nagwek8"/>
    <w:uiPriority w:val="9"/>
    <w:semiHidden/>
    <w:rsid w:val="00DB7523"/>
    <w:rPr>
      <w:b/>
      <w:bCs/>
      <w:i/>
      <w:iCs/>
      <w:smallCaps/>
      <w:color w:val="3A7C22" w:themeColor="accent6" w:themeShade="BF"/>
    </w:rPr>
  </w:style>
  <w:style w:type="character" w:customStyle="1" w:styleId="Nagwek9Znak">
    <w:name w:val="Nagłówek 9 Znak"/>
    <w:basedOn w:val="Domylnaczcionkaakapitu"/>
    <w:link w:val="Nagwek9"/>
    <w:uiPriority w:val="9"/>
    <w:semiHidden/>
    <w:rsid w:val="00DB7523"/>
    <w:rPr>
      <w:b/>
      <w:bCs/>
      <w:i/>
      <w:iCs/>
      <w:smallCaps/>
      <w:color w:val="275317" w:themeColor="accent6" w:themeShade="80"/>
    </w:rPr>
  </w:style>
  <w:style w:type="paragraph" w:styleId="Legenda">
    <w:name w:val="caption"/>
    <w:basedOn w:val="Normalny"/>
    <w:next w:val="Normalny"/>
    <w:uiPriority w:val="35"/>
    <w:semiHidden/>
    <w:unhideWhenUsed/>
    <w:qFormat/>
    <w:rsid w:val="00DB7523"/>
    <w:rPr>
      <w:b/>
      <w:bCs/>
      <w:caps/>
      <w:sz w:val="16"/>
      <w:szCs w:val="16"/>
    </w:rPr>
  </w:style>
  <w:style w:type="paragraph" w:styleId="Tytu">
    <w:name w:val="Title"/>
    <w:basedOn w:val="Normalny"/>
    <w:next w:val="Normalny"/>
    <w:link w:val="TytuZnak"/>
    <w:uiPriority w:val="10"/>
    <w:qFormat/>
    <w:rsid w:val="00DB7523"/>
    <w:pPr>
      <w:pBdr>
        <w:top w:val="single" w:sz="8" w:space="1" w:color="4EA72E" w:themeColor="accent6"/>
      </w:pBdr>
      <w:spacing w:after="120"/>
      <w:jc w:val="right"/>
    </w:pPr>
    <w:rPr>
      <w:smallCaps/>
      <w:color w:val="262626" w:themeColor="text1" w:themeTint="D9"/>
      <w:sz w:val="52"/>
      <w:szCs w:val="52"/>
    </w:rPr>
  </w:style>
  <w:style w:type="character" w:customStyle="1" w:styleId="TytuZnak">
    <w:name w:val="Tytuł Znak"/>
    <w:basedOn w:val="Domylnaczcionkaakapitu"/>
    <w:link w:val="Tytu"/>
    <w:uiPriority w:val="10"/>
    <w:rsid w:val="00DB7523"/>
    <w:rPr>
      <w:smallCaps/>
      <w:color w:val="262626" w:themeColor="text1" w:themeTint="D9"/>
      <w:sz w:val="52"/>
      <w:szCs w:val="52"/>
    </w:rPr>
  </w:style>
  <w:style w:type="paragraph" w:styleId="Podtytu">
    <w:name w:val="Subtitle"/>
    <w:basedOn w:val="Normalny"/>
    <w:next w:val="Normalny"/>
    <w:link w:val="PodtytuZnak"/>
    <w:uiPriority w:val="11"/>
    <w:qFormat/>
    <w:rsid w:val="00DB7523"/>
    <w:pPr>
      <w:spacing w:after="720"/>
      <w:jc w:val="right"/>
    </w:pPr>
    <w:rPr>
      <w:rFonts w:asciiTheme="majorHAnsi" w:eastAsiaTheme="majorEastAsia" w:hAnsiTheme="majorHAnsi" w:cstheme="majorBidi"/>
    </w:rPr>
  </w:style>
  <w:style w:type="character" w:customStyle="1" w:styleId="PodtytuZnak">
    <w:name w:val="Podtytuł Znak"/>
    <w:basedOn w:val="Domylnaczcionkaakapitu"/>
    <w:link w:val="Podtytu"/>
    <w:uiPriority w:val="11"/>
    <w:rsid w:val="00DB7523"/>
    <w:rPr>
      <w:rFonts w:asciiTheme="majorHAnsi" w:eastAsiaTheme="majorEastAsia" w:hAnsiTheme="majorHAnsi" w:cstheme="majorBidi"/>
    </w:rPr>
  </w:style>
  <w:style w:type="character" w:styleId="Pogrubienie">
    <w:name w:val="Strong"/>
    <w:uiPriority w:val="22"/>
    <w:qFormat/>
    <w:rsid w:val="00DB7523"/>
    <w:rPr>
      <w:b/>
      <w:bCs/>
      <w:color w:val="4EA72E" w:themeColor="accent6"/>
    </w:rPr>
  </w:style>
  <w:style w:type="character" w:styleId="Uwydatnienie">
    <w:name w:val="Emphasis"/>
    <w:uiPriority w:val="20"/>
    <w:qFormat/>
    <w:rsid w:val="00DB7523"/>
    <w:rPr>
      <w:b/>
      <w:bCs/>
      <w:i/>
      <w:iCs/>
      <w:spacing w:val="10"/>
    </w:rPr>
  </w:style>
  <w:style w:type="paragraph" w:styleId="Cytat">
    <w:name w:val="Quote"/>
    <w:basedOn w:val="Normalny"/>
    <w:next w:val="Normalny"/>
    <w:link w:val="CytatZnak"/>
    <w:uiPriority w:val="29"/>
    <w:qFormat/>
    <w:rsid w:val="00DB7523"/>
    <w:rPr>
      <w:i/>
      <w:iCs/>
    </w:rPr>
  </w:style>
  <w:style w:type="character" w:customStyle="1" w:styleId="CytatZnak">
    <w:name w:val="Cytat Znak"/>
    <w:basedOn w:val="Domylnaczcionkaakapitu"/>
    <w:link w:val="Cytat"/>
    <w:uiPriority w:val="29"/>
    <w:rsid w:val="00DB7523"/>
    <w:rPr>
      <w:i/>
      <w:iCs/>
    </w:rPr>
  </w:style>
  <w:style w:type="paragraph" w:styleId="Cytatintensywny">
    <w:name w:val="Intense Quote"/>
    <w:basedOn w:val="Normalny"/>
    <w:next w:val="Normalny"/>
    <w:link w:val="CytatintensywnyZnak"/>
    <w:uiPriority w:val="30"/>
    <w:qFormat/>
    <w:rsid w:val="00DB7523"/>
    <w:pPr>
      <w:pBdr>
        <w:top w:val="single" w:sz="8" w:space="1" w:color="4EA72E" w:themeColor="accent6"/>
      </w:pBdr>
      <w:spacing w:before="140" w:after="140"/>
      <w:ind w:left="1440" w:right="1440"/>
    </w:pPr>
    <w:rPr>
      <w:b/>
      <w:bCs/>
      <w:i/>
      <w:iCs/>
    </w:rPr>
  </w:style>
  <w:style w:type="character" w:customStyle="1" w:styleId="CytatintensywnyZnak">
    <w:name w:val="Cytat intensywny Znak"/>
    <w:basedOn w:val="Domylnaczcionkaakapitu"/>
    <w:link w:val="Cytatintensywny"/>
    <w:uiPriority w:val="30"/>
    <w:rsid w:val="00DB7523"/>
    <w:rPr>
      <w:b/>
      <w:bCs/>
      <w:i/>
      <w:iCs/>
    </w:rPr>
  </w:style>
  <w:style w:type="character" w:styleId="Wyrnieniedelikatne">
    <w:name w:val="Subtle Emphasis"/>
    <w:uiPriority w:val="19"/>
    <w:qFormat/>
    <w:rsid w:val="00DB7523"/>
    <w:rPr>
      <w:i/>
      <w:iCs/>
    </w:rPr>
  </w:style>
  <w:style w:type="character" w:styleId="Wyrnienieintensywne">
    <w:name w:val="Intense Emphasis"/>
    <w:uiPriority w:val="21"/>
    <w:qFormat/>
    <w:rsid w:val="00DB7523"/>
    <w:rPr>
      <w:b/>
      <w:bCs/>
      <w:i/>
      <w:iCs/>
      <w:color w:val="4EA72E" w:themeColor="accent6"/>
      <w:spacing w:val="10"/>
    </w:rPr>
  </w:style>
  <w:style w:type="character" w:styleId="Odwoaniedelikatne">
    <w:name w:val="Subtle Reference"/>
    <w:uiPriority w:val="31"/>
    <w:qFormat/>
    <w:rsid w:val="00DB7523"/>
    <w:rPr>
      <w:b/>
      <w:bCs/>
    </w:rPr>
  </w:style>
  <w:style w:type="character" w:styleId="Odwoanieintensywne">
    <w:name w:val="Intense Reference"/>
    <w:uiPriority w:val="32"/>
    <w:qFormat/>
    <w:rsid w:val="00DB7523"/>
    <w:rPr>
      <w:b/>
      <w:bCs/>
      <w:smallCaps/>
      <w:spacing w:val="5"/>
      <w:sz w:val="22"/>
      <w:szCs w:val="22"/>
      <w:u w:val="single"/>
    </w:rPr>
  </w:style>
  <w:style w:type="character" w:styleId="Tytuksiki">
    <w:name w:val="Book Title"/>
    <w:uiPriority w:val="33"/>
    <w:qFormat/>
    <w:rsid w:val="00DB7523"/>
    <w:rPr>
      <w:rFonts w:asciiTheme="majorHAnsi" w:eastAsiaTheme="majorEastAsia" w:hAnsiTheme="majorHAnsi" w:cstheme="majorBidi"/>
      <w:i/>
      <w:iCs/>
      <w:sz w:val="20"/>
      <w:szCs w:val="20"/>
    </w:rPr>
  </w:style>
  <w:style w:type="paragraph" w:styleId="Nagwekspisutreci">
    <w:name w:val="TOC Heading"/>
    <w:basedOn w:val="Nagwek1"/>
    <w:next w:val="Normalny"/>
    <w:uiPriority w:val="39"/>
    <w:unhideWhenUsed/>
    <w:qFormat/>
    <w:rsid w:val="00DB7523"/>
    <w:pPr>
      <w:outlineLvl w:val="9"/>
    </w:pPr>
  </w:style>
  <w:style w:type="character" w:styleId="Numerwiersza">
    <w:name w:val="line number"/>
    <w:basedOn w:val="Domylnaczcionkaakapitu"/>
    <w:uiPriority w:val="99"/>
    <w:semiHidden/>
    <w:unhideWhenUsed/>
    <w:rsid w:val="00DB7523"/>
  </w:style>
  <w:style w:type="paragraph" w:styleId="Spistreci1">
    <w:name w:val="toc 1"/>
    <w:basedOn w:val="Normalny"/>
    <w:next w:val="Normalny"/>
    <w:autoRedefine/>
    <w:uiPriority w:val="39"/>
    <w:unhideWhenUsed/>
    <w:rsid w:val="0003418D"/>
    <w:pPr>
      <w:numPr>
        <w:numId w:val="61"/>
      </w:numPr>
      <w:spacing w:before="360" w:after="0"/>
      <w:ind w:left="567" w:hanging="567"/>
      <w:jc w:val="left"/>
    </w:pPr>
    <w:rPr>
      <w:rFonts w:asciiTheme="majorHAnsi" w:hAnsiTheme="majorHAnsi"/>
      <w:b/>
      <w:bCs/>
      <w:caps/>
      <w:sz w:val="24"/>
      <w:szCs w:val="24"/>
    </w:rPr>
  </w:style>
  <w:style w:type="paragraph" w:styleId="Spistreci2">
    <w:name w:val="toc 2"/>
    <w:basedOn w:val="Normalny"/>
    <w:next w:val="Normalny"/>
    <w:autoRedefine/>
    <w:uiPriority w:val="39"/>
    <w:unhideWhenUsed/>
    <w:rsid w:val="00913732"/>
    <w:pPr>
      <w:tabs>
        <w:tab w:val="right" w:leader="hyphen" w:pos="9622"/>
      </w:tabs>
      <w:spacing w:before="240" w:after="0"/>
      <w:jc w:val="left"/>
    </w:pPr>
    <w:rPr>
      <w:b/>
      <w:bCs/>
    </w:rPr>
  </w:style>
  <w:style w:type="paragraph" w:styleId="Spistreci3">
    <w:name w:val="toc 3"/>
    <w:basedOn w:val="Normalny"/>
    <w:next w:val="Normalny"/>
    <w:autoRedefine/>
    <w:uiPriority w:val="39"/>
    <w:unhideWhenUsed/>
    <w:rsid w:val="001B4129"/>
    <w:pPr>
      <w:spacing w:after="0"/>
      <w:ind w:left="200"/>
      <w:jc w:val="left"/>
    </w:pPr>
  </w:style>
  <w:style w:type="paragraph" w:styleId="Spistreci4">
    <w:name w:val="toc 4"/>
    <w:basedOn w:val="Normalny"/>
    <w:next w:val="Normalny"/>
    <w:autoRedefine/>
    <w:uiPriority w:val="39"/>
    <w:unhideWhenUsed/>
    <w:rsid w:val="001B4129"/>
    <w:pPr>
      <w:spacing w:after="0"/>
      <w:ind w:left="400"/>
      <w:jc w:val="left"/>
    </w:pPr>
  </w:style>
  <w:style w:type="paragraph" w:styleId="Spistreci5">
    <w:name w:val="toc 5"/>
    <w:basedOn w:val="Normalny"/>
    <w:next w:val="Normalny"/>
    <w:autoRedefine/>
    <w:uiPriority w:val="39"/>
    <w:unhideWhenUsed/>
    <w:rsid w:val="001B4129"/>
    <w:pPr>
      <w:spacing w:after="0"/>
      <w:ind w:left="600"/>
      <w:jc w:val="left"/>
    </w:pPr>
  </w:style>
  <w:style w:type="paragraph" w:styleId="Spistreci6">
    <w:name w:val="toc 6"/>
    <w:basedOn w:val="Normalny"/>
    <w:next w:val="Normalny"/>
    <w:autoRedefine/>
    <w:uiPriority w:val="39"/>
    <w:unhideWhenUsed/>
    <w:rsid w:val="001B4129"/>
    <w:pPr>
      <w:spacing w:after="0"/>
      <w:ind w:left="800"/>
      <w:jc w:val="left"/>
    </w:pPr>
  </w:style>
  <w:style w:type="paragraph" w:styleId="Spistreci7">
    <w:name w:val="toc 7"/>
    <w:basedOn w:val="Normalny"/>
    <w:next w:val="Normalny"/>
    <w:autoRedefine/>
    <w:uiPriority w:val="39"/>
    <w:unhideWhenUsed/>
    <w:rsid w:val="001B4129"/>
    <w:pPr>
      <w:spacing w:after="0"/>
      <w:ind w:left="1000"/>
      <w:jc w:val="left"/>
    </w:pPr>
  </w:style>
  <w:style w:type="paragraph" w:styleId="Spistreci8">
    <w:name w:val="toc 8"/>
    <w:basedOn w:val="Normalny"/>
    <w:next w:val="Normalny"/>
    <w:autoRedefine/>
    <w:uiPriority w:val="39"/>
    <w:unhideWhenUsed/>
    <w:rsid w:val="001B4129"/>
    <w:pPr>
      <w:spacing w:after="0"/>
      <w:ind w:left="1200"/>
      <w:jc w:val="left"/>
    </w:pPr>
  </w:style>
  <w:style w:type="paragraph" w:styleId="Spistreci9">
    <w:name w:val="toc 9"/>
    <w:basedOn w:val="Normalny"/>
    <w:next w:val="Normalny"/>
    <w:autoRedefine/>
    <w:uiPriority w:val="39"/>
    <w:unhideWhenUsed/>
    <w:rsid w:val="001B4129"/>
    <w:pPr>
      <w:spacing w:after="0"/>
      <w:ind w:left="1400"/>
      <w:jc w:val="left"/>
    </w:pPr>
  </w:style>
  <w:style w:type="numbering" w:customStyle="1" w:styleId="Biecalista6">
    <w:name w:val="Bieżąca lista6"/>
    <w:uiPriority w:val="99"/>
    <w:rsid w:val="00D83CD6"/>
    <w:pPr>
      <w:numPr>
        <w:numId w:val="58"/>
      </w:numPr>
    </w:pPr>
  </w:style>
  <w:style w:type="numbering" w:customStyle="1" w:styleId="Biecalista7">
    <w:name w:val="Bieżąca lista7"/>
    <w:uiPriority w:val="99"/>
    <w:rsid w:val="00D83CD6"/>
    <w:pPr>
      <w:numPr>
        <w:numId w:val="59"/>
      </w:numPr>
    </w:pPr>
  </w:style>
  <w:style w:type="numbering" w:customStyle="1" w:styleId="Biecalista8">
    <w:name w:val="Bieżąca lista8"/>
    <w:uiPriority w:val="99"/>
    <w:rsid w:val="00D83CD6"/>
    <w:pPr>
      <w:numPr>
        <w:numId w:val="60"/>
      </w:numPr>
    </w:pPr>
  </w:style>
  <w:style w:type="paragraph" w:styleId="Indeks1">
    <w:name w:val="index 1"/>
    <w:basedOn w:val="Normalny"/>
    <w:next w:val="Normalny"/>
    <w:autoRedefine/>
    <w:uiPriority w:val="99"/>
    <w:semiHidden/>
    <w:unhideWhenUsed/>
    <w:rsid w:val="007B0261"/>
    <w:pPr>
      <w:spacing w:after="0"/>
      <w:ind w:left="200" w:hanging="200"/>
    </w:pPr>
  </w:style>
  <w:style w:type="paragraph" w:styleId="Tekstdymka">
    <w:name w:val="Balloon Text"/>
    <w:basedOn w:val="Normalny"/>
    <w:link w:val="TekstdymkaZnak"/>
    <w:uiPriority w:val="99"/>
    <w:semiHidden/>
    <w:unhideWhenUsed/>
    <w:rsid w:val="0039268C"/>
    <w:pPr>
      <w:spacing w:after="0"/>
    </w:pPr>
    <w:rPr>
      <w:rFonts w:ascii="Tahoma" w:hAnsi="Tahoma" w:cs="Tahoma"/>
      <w:sz w:val="16"/>
      <w:szCs w:val="16"/>
    </w:rPr>
  </w:style>
  <w:style w:type="character" w:customStyle="1" w:styleId="TekstdymkaZnak">
    <w:name w:val="Tekst dymka Znak"/>
    <w:basedOn w:val="Domylnaczcionkaakapitu"/>
    <w:link w:val="Tekstdymka"/>
    <w:uiPriority w:val="99"/>
    <w:semiHidden/>
    <w:rsid w:val="0039268C"/>
    <w:rPr>
      <w:rFonts w:ascii="Tahoma" w:hAnsi="Tahoma" w:cs="Tahoma"/>
      <w:sz w:val="16"/>
      <w:szCs w:val="16"/>
    </w:rPr>
  </w:style>
  <w:style w:type="paragraph" w:styleId="Poprawka">
    <w:name w:val="Revision"/>
    <w:hidden/>
    <w:uiPriority w:val="99"/>
    <w:semiHidden/>
    <w:rsid w:val="007C2695"/>
    <w:pPr>
      <w:spacing w:after="0"/>
      <w:jc w:val="left"/>
    </w:pPr>
  </w:style>
  <w:style w:type="character" w:styleId="Odwoaniedokomentarza">
    <w:name w:val="annotation reference"/>
    <w:basedOn w:val="Domylnaczcionkaakapitu"/>
    <w:uiPriority w:val="99"/>
    <w:semiHidden/>
    <w:unhideWhenUsed/>
    <w:rsid w:val="003A2694"/>
    <w:rPr>
      <w:sz w:val="16"/>
      <w:szCs w:val="16"/>
    </w:rPr>
  </w:style>
  <w:style w:type="paragraph" w:styleId="Tekstkomentarza">
    <w:name w:val="annotation text"/>
    <w:basedOn w:val="Normalny"/>
    <w:link w:val="TekstkomentarzaZnak"/>
    <w:uiPriority w:val="99"/>
    <w:unhideWhenUsed/>
    <w:rsid w:val="003A2694"/>
  </w:style>
  <w:style w:type="character" w:customStyle="1" w:styleId="TekstkomentarzaZnak">
    <w:name w:val="Tekst komentarza Znak"/>
    <w:basedOn w:val="Domylnaczcionkaakapitu"/>
    <w:link w:val="Tekstkomentarza"/>
    <w:uiPriority w:val="99"/>
    <w:rsid w:val="003A2694"/>
  </w:style>
  <w:style w:type="paragraph" w:styleId="Tematkomentarza">
    <w:name w:val="annotation subject"/>
    <w:basedOn w:val="Tekstkomentarza"/>
    <w:next w:val="Tekstkomentarza"/>
    <w:link w:val="TematkomentarzaZnak"/>
    <w:uiPriority w:val="99"/>
    <w:semiHidden/>
    <w:unhideWhenUsed/>
    <w:rsid w:val="003A2694"/>
    <w:rPr>
      <w:b/>
      <w:bCs/>
    </w:rPr>
  </w:style>
  <w:style w:type="character" w:customStyle="1" w:styleId="TematkomentarzaZnak">
    <w:name w:val="Temat komentarza Znak"/>
    <w:basedOn w:val="TekstkomentarzaZnak"/>
    <w:link w:val="Tematkomentarza"/>
    <w:uiPriority w:val="99"/>
    <w:semiHidden/>
    <w:rsid w:val="003A2694"/>
    <w:rPr>
      <w:b/>
      <w:bCs/>
    </w:rPr>
  </w:style>
  <w:style w:type="table" w:customStyle="1" w:styleId="TableGrid4">
    <w:name w:val="TableGrid4"/>
    <w:rsid w:val="00DE0FBF"/>
    <w:pPr>
      <w:spacing w:after="0"/>
      <w:jc w:val="left"/>
    </w:pPr>
    <w:rPr>
      <w:kern w:val="2"/>
      <w:sz w:val="24"/>
      <w:szCs w:val="24"/>
      <w:lang w:eastAsia="pl-P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15475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eader" Target="header1.xml"/><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footer" Target="footer2.xml"/><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8.jpeg"/><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4.jpeg"/><Relationship Id="rId53" Type="http://schemas.openxmlformats.org/officeDocument/2006/relationships/footer" Target="footer3.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industria.eu/dystrybucja/" TargetMode="External"/><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g"/><Relationship Id="rId48" Type="http://schemas.openxmlformats.org/officeDocument/2006/relationships/image" Target="media/image37.jpeg"/><Relationship Id="rId56" Type="http://schemas.openxmlformats.org/officeDocument/2006/relationships/footer" Target="footer5.xml"/><Relationship Id="rId8" Type="http://schemas.openxmlformats.org/officeDocument/2006/relationships/hyperlink" Target="http://www.industria.eu/dystrybucja/" TargetMode="External"/><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0" Type="http://schemas.openxmlformats.org/officeDocument/2006/relationships/footer" Target="footer1.xml"/><Relationship Id="rId41" Type="http://schemas.openxmlformats.org/officeDocument/2006/relationships/image" Target="media/image30.png"/><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image" Target="media/image20.jpeg"/><Relationship Id="rId44" Type="http://schemas.openxmlformats.org/officeDocument/2006/relationships/image" Target="media/image33.jpg"/><Relationship Id="rId52"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0.em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Garamond">
      <a:majorFont>
        <a:latin typeface="Garamond"/>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78CCD-5213-4FC6-9CED-23E6BC4E4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1116</TotalTime>
  <Pages>139</Pages>
  <Words>49355</Words>
  <Characters>296136</Characters>
  <Application>Microsoft Office Word</Application>
  <DocSecurity>0</DocSecurity>
  <Lines>2467</Lines>
  <Paragraphs>689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344802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Małgorzata Sionko</dc:creator>
  <cp:lastModifiedBy>Wojciech Lipiec</cp:lastModifiedBy>
  <cp:revision>81</cp:revision>
  <cp:lastPrinted>2026-03-11T08:48:00Z</cp:lastPrinted>
  <dcterms:created xsi:type="dcterms:W3CDTF">2024-09-26T14:34:00Z</dcterms:created>
  <dcterms:modified xsi:type="dcterms:W3CDTF">2026-03-16T10:31:00Z</dcterms:modified>
</cp:coreProperties>
</file>